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DC14A0"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01C457E7" w:rsidR="00CD33A8" w:rsidRPr="00FC187F" w:rsidRDefault="00CD33A8" w:rsidP="00FC187F">
      <w:pPr>
        <w:rPr>
          <w:b/>
          <w:bCs/>
          <w:szCs w:val="24"/>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FC187F" w:rsidRPr="00507834">
        <w:rPr>
          <w:b/>
          <w:bCs/>
          <w:szCs w:val="24"/>
          <w:lang w:val="nl-NL"/>
        </w:rPr>
        <w:t xml:space="preserve">INTRODUCTION TO INDEPENDENT RESEARCH </w:t>
      </w:r>
    </w:p>
    <w:p w14:paraId="537571AF" w14:textId="5787B310"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w:t>
      </w:r>
      <w:r w:rsidR="00FC187F">
        <w:rPr>
          <w:rFonts w:ascii="Arial" w:hAnsi="Arial" w:cs="Arial"/>
          <w:b/>
          <w:bCs/>
          <w:sz w:val="28"/>
          <w:szCs w:val="28"/>
        </w:rPr>
        <w:t xml:space="preserve">e: </w:t>
      </w:r>
      <w:r w:rsidR="00FC187F" w:rsidRPr="00507834">
        <w:rPr>
          <w:b/>
          <w:bCs/>
          <w:szCs w:val="24"/>
        </w:rPr>
        <w:t>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22F3DBB5"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FC187F">
        <w:rPr>
          <w:rFonts w:ascii="Arial" w:hAnsi="Arial" w:cs="Arial"/>
          <w:sz w:val="28"/>
          <w:szCs w:val="28"/>
          <w:lang w:val="nl-NL"/>
        </w:rPr>
        <w:t xml:space="preserve"> </w:t>
      </w:r>
      <w:r w:rsidR="00FC187F" w:rsidRPr="00FC187F">
        <w:rPr>
          <w:rFonts w:ascii="Arial" w:hAnsi="Arial" w:cs="Arial"/>
          <w:b/>
          <w:bCs/>
          <w:sz w:val="28"/>
          <w:szCs w:val="28"/>
          <w:lang w:val="nl-NL"/>
        </w:rPr>
        <w:t>Spogmay Ahmadzai</w:t>
      </w:r>
      <w:r w:rsidR="00FC187F">
        <w:rPr>
          <w:rFonts w:ascii="Arial" w:hAnsi="Arial" w:cs="Arial"/>
          <w:sz w:val="28"/>
          <w:szCs w:val="28"/>
          <w:lang w:val="nl-NL"/>
        </w:rPr>
        <w:t xml:space="preserve"> </w:t>
      </w:r>
    </w:p>
    <w:p w14:paraId="66D42770" w14:textId="77777777" w:rsidR="00FC187F" w:rsidRPr="00AD0E8D" w:rsidRDefault="00074402" w:rsidP="00FC187F">
      <w:pPr>
        <w:spacing w:line="360" w:lineRule="auto"/>
        <w:rPr>
          <w:rFonts w:ascii="Arial" w:hAnsi="Arial" w:cs="Arial"/>
          <w:sz w:val="28"/>
          <w:szCs w:val="28"/>
        </w:rPr>
      </w:pPr>
      <w:r w:rsidRPr="00CD33A8">
        <w:rPr>
          <w:rFonts w:ascii="Arial" w:hAnsi="Arial" w:cs="Arial"/>
          <w:b/>
          <w:bCs/>
          <w:sz w:val="28"/>
          <w:szCs w:val="28"/>
          <w:lang w:val="nl-NL"/>
        </w:rPr>
        <w:t>Student ID</w:t>
      </w:r>
      <w:r w:rsidR="00FC187F">
        <w:rPr>
          <w:rFonts w:ascii="Arial" w:hAnsi="Arial" w:cs="Arial"/>
          <w:sz w:val="28"/>
          <w:szCs w:val="28"/>
          <w:lang w:val="nl-NL"/>
        </w:rPr>
        <w:t xml:space="preserve">: </w:t>
      </w:r>
      <w:r w:rsidR="00FC187F" w:rsidRPr="00FC187F">
        <w:rPr>
          <w:rFonts w:ascii="Arial" w:hAnsi="Arial" w:cs="Arial"/>
          <w:b/>
          <w:bCs/>
          <w:sz w:val="28"/>
          <w:szCs w:val="28"/>
        </w:rPr>
        <w:t>2335183</w:t>
      </w:r>
    </w:p>
    <w:p w14:paraId="39AA4413" w14:textId="73F9E29E" w:rsidR="00074402" w:rsidRPr="00CD33A8" w:rsidRDefault="00074402" w:rsidP="00CD33A8">
      <w:pPr>
        <w:tabs>
          <w:tab w:val="left" w:pos="6540"/>
        </w:tabs>
        <w:spacing w:line="360" w:lineRule="auto"/>
        <w:rPr>
          <w:rFonts w:ascii="Arial" w:hAnsi="Arial" w:cs="Arial"/>
          <w:sz w:val="28"/>
          <w:szCs w:val="28"/>
          <w:lang w:val="nl-NL"/>
        </w:rPr>
      </w:pP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780E1407" w:rsidR="00074402"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w:t>
      </w:r>
      <w:r w:rsidR="00FC187F">
        <w:rPr>
          <w:rFonts w:ascii="Arial" w:hAnsi="Arial" w:cs="Arial"/>
          <w:b/>
          <w:bCs/>
          <w:sz w:val="28"/>
          <w:szCs w:val="28"/>
        </w:rPr>
        <w:t>t: 4100</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714B4569" w14:textId="77777777" w:rsidR="00FC187F" w:rsidRDefault="00FC187F" w:rsidP="00FC187F">
      <w:pPr>
        <w:spacing w:line="360" w:lineRule="auto"/>
        <w:rPr>
          <w:rFonts w:asciiTheme="minorBidi" w:hAnsiTheme="minorBidi"/>
          <w:sz w:val="22"/>
        </w:rPr>
      </w:pPr>
    </w:p>
    <w:p w14:paraId="382C5049" w14:textId="77777777" w:rsidR="00FC187F" w:rsidRDefault="00FC187F" w:rsidP="00FC187F">
      <w:pPr>
        <w:spacing w:line="360" w:lineRule="auto"/>
        <w:rPr>
          <w:rFonts w:asciiTheme="minorBidi" w:hAnsiTheme="minorBidi"/>
          <w:sz w:val="22"/>
        </w:rPr>
      </w:pPr>
    </w:p>
    <w:p w14:paraId="7C22D243" w14:textId="77777777" w:rsidR="00FC187F" w:rsidRDefault="00FC187F" w:rsidP="00FC187F">
      <w:pPr>
        <w:spacing w:line="360" w:lineRule="auto"/>
        <w:rPr>
          <w:rFonts w:asciiTheme="minorBidi" w:hAnsiTheme="minorBidi"/>
          <w:sz w:val="22"/>
        </w:rPr>
      </w:pPr>
    </w:p>
    <w:p w14:paraId="3A00D75D" w14:textId="77777777" w:rsidR="00FC187F" w:rsidRDefault="00FC187F" w:rsidP="00FC187F">
      <w:pPr>
        <w:spacing w:line="360" w:lineRule="auto"/>
        <w:rPr>
          <w:rFonts w:asciiTheme="minorBidi" w:hAnsiTheme="minorBidi"/>
          <w:sz w:val="22"/>
        </w:rPr>
      </w:pPr>
    </w:p>
    <w:p w14:paraId="7D25A1CE" w14:textId="77777777" w:rsidR="00FC187F" w:rsidRDefault="00FC187F" w:rsidP="00FC187F">
      <w:pPr>
        <w:spacing w:line="360" w:lineRule="auto"/>
        <w:rPr>
          <w:rFonts w:asciiTheme="minorBidi" w:hAnsiTheme="minorBidi"/>
          <w:sz w:val="22"/>
        </w:rPr>
      </w:pPr>
    </w:p>
    <w:p w14:paraId="27E24D8D" w14:textId="77777777" w:rsidR="00FC187F" w:rsidRDefault="00FC187F" w:rsidP="00FC187F">
      <w:pPr>
        <w:spacing w:line="360" w:lineRule="auto"/>
        <w:rPr>
          <w:rFonts w:asciiTheme="minorBidi" w:hAnsiTheme="minorBidi"/>
          <w:sz w:val="22"/>
        </w:rPr>
      </w:pPr>
    </w:p>
    <w:p w14:paraId="533D3484" w14:textId="77777777" w:rsidR="00FC187F" w:rsidRDefault="00FC187F" w:rsidP="00FC187F">
      <w:pPr>
        <w:spacing w:line="360" w:lineRule="auto"/>
        <w:rPr>
          <w:rFonts w:asciiTheme="minorBidi" w:hAnsiTheme="minorBidi"/>
          <w:sz w:val="22"/>
        </w:rPr>
      </w:pPr>
    </w:p>
    <w:p w14:paraId="2671567F" w14:textId="77777777" w:rsidR="00FC187F" w:rsidRDefault="00FC187F" w:rsidP="00FC187F">
      <w:pPr>
        <w:spacing w:line="360" w:lineRule="auto"/>
        <w:rPr>
          <w:rFonts w:asciiTheme="minorBidi" w:hAnsiTheme="minorBidi"/>
          <w:sz w:val="22"/>
        </w:rPr>
      </w:pPr>
    </w:p>
    <w:p w14:paraId="7123769B" w14:textId="6E1493A7" w:rsidR="005E69D0" w:rsidRPr="00FC187F" w:rsidRDefault="005E69D0" w:rsidP="00FC187F">
      <w:pPr>
        <w:spacing w:line="360" w:lineRule="auto"/>
        <w:rPr>
          <w:rFonts w:asciiTheme="minorBidi" w:hAnsiTheme="minorBidi"/>
          <w:sz w:val="22"/>
        </w:rPr>
      </w:pPr>
      <w:r w:rsidRPr="00FC187F">
        <w:rPr>
          <w:rFonts w:ascii="Arial" w:eastAsiaTheme="majorEastAsia" w:hAnsi="Arial" w:cs="Arial"/>
          <w:b/>
          <w:bCs/>
          <w:sz w:val="22"/>
        </w:rPr>
        <w:lastRenderedPageBreak/>
        <w:t>1. Introduction</w:t>
      </w:r>
    </w:p>
    <w:p w14:paraId="788A1CC7"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Digital health technologies have become an increasingly important part of primary care delivery in the United Kingdom, particularly over the past decade. The term 'digital health technologies' refers to a broad range of tools such as video consultations, online triage systems, electronic messaging, remote monitoring devices, and digital applications used to support communication, diagnosis, treatment, and self</w:t>
      </w:r>
      <w:r w:rsidRPr="00FC187F">
        <w:rPr>
          <w:rFonts w:ascii="Arial" w:eastAsiaTheme="majorEastAsia" w:hAnsi="Arial" w:cs="Arial"/>
          <w:bCs/>
          <w:sz w:val="22"/>
        </w:rPr>
        <w:noBreakHyphen/>
        <w:t>management (NHS England, 2019). Within primary care, these technologies are used to improve access, enhance efficiency, and support new models of care. Primary care in the UK is the first point of contact for most patients and includes general practice, community services, and out</w:t>
      </w:r>
      <w:r w:rsidRPr="00FC187F">
        <w:rPr>
          <w:rFonts w:ascii="Arial" w:eastAsiaTheme="majorEastAsia" w:hAnsi="Arial" w:cs="Arial"/>
          <w:bCs/>
          <w:sz w:val="22"/>
        </w:rPr>
        <w:noBreakHyphen/>
        <w:t>of</w:t>
      </w:r>
      <w:r w:rsidRPr="00FC187F">
        <w:rPr>
          <w:rFonts w:ascii="Arial" w:eastAsiaTheme="majorEastAsia" w:hAnsi="Arial" w:cs="Arial"/>
          <w:bCs/>
          <w:sz w:val="22"/>
        </w:rPr>
        <w:noBreakHyphen/>
        <w:t>hours care (BMA, 2022). As demand for primary care continues to rise, digital tools have been promoted as a way to manage workload pressures, improve patient experience, and support continuity of care.</w:t>
      </w:r>
    </w:p>
    <w:p w14:paraId="657F03E3"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shift towards digital care accelerated rapidly during the COVID</w:t>
      </w:r>
      <w:r w:rsidRPr="00FC187F">
        <w:rPr>
          <w:rFonts w:ascii="Arial" w:eastAsiaTheme="majorEastAsia" w:hAnsi="Arial" w:cs="Arial"/>
          <w:bCs/>
          <w:sz w:val="22"/>
        </w:rPr>
        <w:noBreakHyphen/>
        <w:t>19 pandemic, when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contact was restricted and remote consultations became the default mode of access (Greenhalgh et al., 2020). Although digital transformation had already been encouraged through national policy, the pandemic created an urgent need for widespread adoption. As a result, general practices across the UK implemented video consultations, telephone triage, online booking systems, and digital communication tools at an unprecedented scale (Murphy et al., 2021). This rapid change has generated a growing body of research examining how digital health technologies are implemented in primary care and what impact they have on patients, clinicians, and service delivery.</w:t>
      </w:r>
    </w:p>
    <w:p w14:paraId="54C51692"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Despite this expanding evidence base, there remains uncertainty about the overall impact of digital technologies on primary care. Some studies highlight benefits such as improved access, convenience, and efficiency (Shaw et al., 2018), while others raise concerns about digital exclusion, increased workload, and challenges in maintaining quality of care (Atherton et al., 2018). Policymakers continue to promote digital-first approaches, yet frontline experiences vary widely. A scoping review is therefore appropriate to map the existing evidence, identify key themes, and highlight gaps in knowledge.</w:t>
      </w:r>
    </w:p>
    <w:p w14:paraId="27FFC997"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Review Question</w:t>
      </w:r>
    </w:p>
    <w:p w14:paraId="1AE56493"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What is the current evidence on the implementation and impact of digital health technologies on primary care services within the UK?</w:t>
      </w:r>
    </w:p>
    <w:p w14:paraId="6D501026"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Objectives</w:t>
      </w:r>
    </w:p>
    <w:p w14:paraId="33887D36"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objectives of this scoping review are to:</w:t>
      </w:r>
    </w:p>
    <w:p w14:paraId="163860C1" w14:textId="77777777" w:rsidR="005E69D0" w:rsidRPr="00FC187F" w:rsidRDefault="005E69D0" w:rsidP="00FC187F">
      <w:pPr>
        <w:numPr>
          <w:ilvl w:val="0"/>
          <w:numId w:val="1"/>
        </w:numPr>
        <w:spacing w:line="360" w:lineRule="auto"/>
        <w:jc w:val="both"/>
        <w:rPr>
          <w:rFonts w:ascii="Arial" w:eastAsiaTheme="majorEastAsia" w:hAnsi="Arial" w:cs="Arial"/>
          <w:bCs/>
          <w:sz w:val="22"/>
        </w:rPr>
      </w:pPr>
      <w:r w:rsidRPr="00FC187F">
        <w:rPr>
          <w:rFonts w:ascii="Arial" w:eastAsiaTheme="majorEastAsia" w:hAnsi="Arial" w:cs="Arial"/>
          <w:bCs/>
          <w:sz w:val="22"/>
        </w:rPr>
        <w:lastRenderedPageBreak/>
        <w:t>Identify and summarise peer</w:t>
      </w:r>
      <w:r w:rsidRPr="00FC187F">
        <w:rPr>
          <w:rFonts w:ascii="Arial" w:eastAsiaTheme="majorEastAsia" w:hAnsi="Arial" w:cs="Arial"/>
          <w:bCs/>
          <w:sz w:val="22"/>
        </w:rPr>
        <w:noBreakHyphen/>
        <w:t>reviewed UK research examining digital health technologies in primary care.</w:t>
      </w:r>
    </w:p>
    <w:p w14:paraId="0BE48151" w14:textId="77777777" w:rsidR="005E69D0" w:rsidRPr="00FC187F" w:rsidRDefault="005E69D0" w:rsidP="00FC187F">
      <w:pPr>
        <w:numPr>
          <w:ilvl w:val="0"/>
          <w:numId w:val="1"/>
        </w:numPr>
        <w:spacing w:line="360" w:lineRule="auto"/>
        <w:jc w:val="both"/>
        <w:rPr>
          <w:rFonts w:ascii="Arial" w:eastAsiaTheme="majorEastAsia" w:hAnsi="Arial" w:cs="Arial"/>
          <w:bCs/>
          <w:sz w:val="22"/>
        </w:rPr>
      </w:pPr>
      <w:r w:rsidRPr="00FC187F">
        <w:rPr>
          <w:rFonts w:ascii="Arial" w:eastAsiaTheme="majorEastAsia" w:hAnsi="Arial" w:cs="Arial"/>
          <w:bCs/>
          <w:sz w:val="22"/>
        </w:rPr>
        <w:t>Explore how digital technologies have been implemented within general practice and related services.</w:t>
      </w:r>
    </w:p>
    <w:p w14:paraId="5841B28D" w14:textId="77777777" w:rsidR="005E69D0" w:rsidRPr="00FC187F" w:rsidRDefault="005E69D0" w:rsidP="00FC187F">
      <w:pPr>
        <w:numPr>
          <w:ilvl w:val="0"/>
          <w:numId w:val="1"/>
        </w:numPr>
        <w:spacing w:line="360" w:lineRule="auto"/>
        <w:jc w:val="both"/>
        <w:rPr>
          <w:rFonts w:ascii="Arial" w:eastAsiaTheme="majorEastAsia" w:hAnsi="Arial" w:cs="Arial"/>
          <w:bCs/>
          <w:sz w:val="22"/>
        </w:rPr>
      </w:pPr>
      <w:r w:rsidRPr="00FC187F">
        <w:rPr>
          <w:rFonts w:ascii="Arial" w:eastAsiaTheme="majorEastAsia" w:hAnsi="Arial" w:cs="Arial"/>
          <w:bCs/>
          <w:sz w:val="22"/>
        </w:rPr>
        <w:t>Assess the reported impacts of digital tools on access, workload, patient experience, and quality of care.</w:t>
      </w:r>
    </w:p>
    <w:p w14:paraId="6B6BB8EA" w14:textId="77777777" w:rsidR="005E69D0" w:rsidRPr="00FC187F" w:rsidRDefault="005E69D0" w:rsidP="00FC187F">
      <w:pPr>
        <w:numPr>
          <w:ilvl w:val="0"/>
          <w:numId w:val="1"/>
        </w:numPr>
        <w:spacing w:line="360" w:lineRule="auto"/>
        <w:jc w:val="both"/>
        <w:rPr>
          <w:rFonts w:ascii="Arial" w:eastAsiaTheme="majorEastAsia" w:hAnsi="Arial" w:cs="Arial"/>
          <w:bCs/>
          <w:sz w:val="22"/>
        </w:rPr>
      </w:pPr>
      <w:r w:rsidRPr="00FC187F">
        <w:rPr>
          <w:rFonts w:ascii="Arial" w:eastAsiaTheme="majorEastAsia" w:hAnsi="Arial" w:cs="Arial"/>
          <w:bCs/>
          <w:sz w:val="22"/>
        </w:rPr>
        <w:t>Identify common themes, challenges, and opportunities emerging from the literature.</w:t>
      </w:r>
    </w:p>
    <w:p w14:paraId="1EA1E637" w14:textId="77777777" w:rsidR="005E69D0" w:rsidRPr="00FC187F" w:rsidRDefault="005E69D0" w:rsidP="00FC187F">
      <w:pPr>
        <w:numPr>
          <w:ilvl w:val="0"/>
          <w:numId w:val="1"/>
        </w:numPr>
        <w:spacing w:line="360" w:lineRule="auto"/>
        <w:jc w:val="both"/>
        <w:rPr>
          <w:rFonts w:ascii="Arial" w:eastAsiaTheme="majorEastAsia" w:hAnsi="Arial" w:cs="Arial"/>
          <w:bCs/>
          <w:sz w:val="22"/>
        </w:rPr>
      </w:pPr>
      <w:r w:rsidRPr="00FC187F">
        <w:rPr>
          <w:rFonts w:ascii="Arial" w:eastAsiaTheme="majorEastAsia" w:hAnsi="Arial" w:cs="Arial"/>
          <w:bCs/>
          <w:sz w:val="22"/>
        </w:rPr>
        <w:t>Highlight implications for future research, policy, and practice in the UK primary care context.</w:t>
      </w:r>
    </w:p>
    <w:p w14:paraId="44099389"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Rationale</w:t>
      </w:r>
    </w:p>
    <w:p w14:paraId="3E6DDA8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topic is highly relevant to current UK health policy. The NHS Long Term Plan (2019) emphasises the need for digitally enabled care, including online consultations and remote monitoring. The GP Contract Framework (NHS England, 2020) requires practices to offer digital access routes, while the GP Access Recovery Plan (2023) continues to prioritise digital transformation as a way to manage rising demand. Understanding the evidence behind these initiatives is essential for evaluating whether digital technologies are achieving their intended goals.</w:t>
      </w:r>
    </w:p>
    <w:p w14:paraId="1764DB70"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 scoping review is the most suitable approach because it allows for the mapping of diverse evidence, including qualitative and quantitative studies, without restricting the review to a narrow set of outcomes. This method supports a broad exploration of how digital technologies are being used in UK primary care and what impacts have been observed.</w:t>
      </w:r>
    </w:p>
    <w:p w14:paraId="1343173B"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2. Background</w:t>
      </w:r>
    </w:p>
    <w:p w14:paraId="0FDEE71D"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Digital health technologies have become central to the modernisation of primary care in the United Kingdom. Over the past decade, the NHS has increasingly promoted digital tools as a way to improve access, manage rising demand, and support more efficient models of care. This background section outlines the key policy drivers, service pressures, and contextual factors shaping the implementation of digital health technologies in UK primary care.</w:t>
      </w:r>
    </w:p>
    <w:p w14:paraId="7554EB3F"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2.1 Policy Context and National Strategy</w:t>
      </w:r>
    </w:p>
    <w:p w14:paraId="55D1B411"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 xml:space="preserve">The UK government has made digital transformation a core priority for the health and social care system. The NHS Long Term Plan (2019) set out a commitment for all patients to have access to digital-first primary care, including online consultations, remote monitoring, and digital communication tools. The plan emphasised the need for technology to support </w:t>
      </w:r>
      <w:r w:rsidRPr="00FC187F">
        <w:rPr>
          <w:rFonts w:ascii="Arial" w:eastAsiaTheme="majorEastAsia" w:hAnsi="Arial" w:cs="Arial"/>
          <w:bCs/>
          <w:sz w:val="22"/>
        </w:rPr>
        <w:lastRenderedPageBreak/>
        <w:t>prevention, early intervention, and personalised care. It also highlighted the importance of reducing unnecessary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appointments by offering digital alternatives where appropriate.</w:t>
      </w:r>
    </w:p>
    <w:p w14:paraId="68F5C478"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 xml:space="preserve">Following this, the GP Contract Framework (2020/21–2023/24) required general practices to provide online and video consultations, digital triage systems, and improved digital access routes. Practices were expected to adopt tools such as eConsult, </w:t>
      </w:r>
      <w:proofErr w:type="spellStart"/>
      <w:r w:rsidRPr="00FC187F">
        <w:rPr>
          <w:rFonts w:ascii="Arial" w:eastAsiaTheme="majorEastAsia" w:hAnsi="Arial" w:cs="Arial"/>
          <w:bCs/>
          <w:sz w:val="22"/>
        </w:rPr>
        <w:t>AccuRx</w:t>
      </w:r>
      <w:proofErr w:type="spellEnd"/>
      <w:r w:rsidRPr="00FC187F">
        <w:rPr>
          <w:rFonts w:ascii="Arial" w:eastAsiaTheme="majorEastAsia" w:hAnsi="Arial" w:cs="Arial"/>
          <w:bCs/>
          <w:sz w:val="22"/>
        </w:rPr>
        <w:t>, and other online platforms to support patient communication and appointment booking. These requirements aimed to standardise digital access across England and reduce variation between practices.</w:t>
      </w:r>
    </w:p>
    <w:p w14:paraId="377F16B2"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NHS Digital First Primary Care Programme further supported the rollout of digital tools by providing funding, guidance, and technical support to practices. This programme encouraged the use of digital triage, remote consultations, and integrated digital systems to streamline patient journeys. In addition, the GP Access Recovery Plan (2023) reinforced the need for digital solutions to manage increasing demand, reduce waiting times, and improve patient satisfaction.</w:t>
      </w:r>
    </w:p>
    <w:p w14:paraId="2196821C"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2.2 Primary Care Pressures and Workforce Challenges</w:t>
      </w:r>
    </w:p>
    <w:p w14:paraId="260A1EAD"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Primary care in the UK faces significant pressures, including rising patient demand, workforce shortages, and increasing complexity of care. The British Medical Association (2022) reported that GP workloads have reached unsustainable levels, with fewer GPs managing larger patient lists. Many practices struggle to recruit and retain staff, particularly in deprived or rural areas.</w:t>
      </w:r>
    </w:p>
    <w:p w14:paraId="6D4796A8"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Digital health technologies have been promoted as a way to alleviate these pressures by:</w:t>
      </w:r>
    </w:p>
    <w:p w14:paraId="6E6B93A1" w14:textId="77777777" w:rsidR="005E69D0" w:rsidRPr="00FC187F" w:rsidRDefault="005E69D0" w:rsidP="00FC187F">
      <w:pPr>
        <w:numPr>
          <w:ilvl w:val="0"/>
          <w:numId w:val="2"/>
        </w:numPr>
        <w:spacing w:line="360" w:lineRule="auto"/>
        <w:jc w:val="both"/>
        <w:rPr>
          <w:rFonts w:ascii="Arial" w:eastAsiaTheme="majorEastAsia" w:hAnsi="Arial" w:cs="Arial"/>
          <w:bCs/>
          <w:sz w:val="22"/>
        </w:rPr>
      </w:pPr>
      <w:r w:rsidRPr="00FC187F">
        <w:rPr>
          <w:rFonts w:ascii="Arial" w:eastAsiaTheme="majorEastAsia" w:hAnsi="Arial" w:cs="Arial"/>
          <w:bCs/>
          <w:sz w:val="22"/>
        </w:rPr>
        <w:t>reducing unnecessary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appointments</w:t>
      </w:r>
    </w:p>
    <w:p w14:paraId="300B7735" w14:textId="77777777" w:rsidR="005E69D0" w:rsidRPr="00FC187F" w:rsidRDefault="005E69D0" w:rsidP="00FC187F">
      <w:pPr>
        <w:numPr>
          <w:ilvl w:val="0"/>
          <w:numId w:val="2"/>
        </w:numPr>
        <w:spacing w:line="360" w:lineRule="auto"/>
        <w:jc w:val="both"/>
        <w:rPr>
          <w:rFonts w:ascii="Arial" w:eastAsiaTheme="majorEastAsia" w:hAnsi="Arial" w:cs="Arial"/>
          <w:bCs/>
          <w:sz w:val="22"/>
        </w:rPr>
      </w:pPr>
      <w:r w:rsidRPr="00FC187F">
        <w:rPr>
          <w:rFonts w:ascii="Arial" w:eastAsiaTheme="majorEastAsia" w:hAnsi="Arial" w:cs="Arial"/>
          <w:bCs/>
          <w:sz w:val="22"/>
        </w:rPr>
        <w:t>enabling remote triage</w:t>
      </w:r>
    </w:p>
    <w:p w14:paraId="42E8FF80" w14:textId="77777777" w:rsidR="005E69D0" w:rsidRPr="00FC187F" w:rsidRDefault="005E69D0" w:rsidP="00FC187F">
      <w:pPr>
        <w:numPr>
          <w:ilvl w:val="0"/>
          <w:numId w:val="2"/>
        </w:numPr>
        <w:spacing w:line="360" w:lineRule="auto"/>
        <w:jc w:val="both"/>
        <w:rPr>
          <w:rFonts w:ascii="Arial" w:eastAsiaTheme="majorEastAsia" w:hAnsi="Arial" w:cs="Arial"/>
          <w:bCs/>
          <w:sz w:val="22"/>
        </w:rPr>
      </w:pPr>
      <w:r w:rsidRPr="00FC187F">
        <w:rPr>
          <w:rFonts w:ascii="Arial" w:eastAsiaTheme="majorEastAsia" w:hAnsi="Arial" w:cs="Arial"/>
          <w:bCs/>
          <w:sz w:val="22"/>
        </w:rPr>
        <w:t>improving communication between patients and clinicians</w:t>
      </w:r>
    </w:p>
    <w:p w14:paraId="7F9EA3C5" w14:textId="77777777" w:rsidR="005E69D0" w:rsidRPr="00FC187F" w:rsidRDefault="005E69D0" w:rsidP="00FC187F">
      <w:pPr>
        <w:numPr>
          <w:ilvl w:val="0"/>
          <w:numId w:val="2"/>
        </w:numPr>
        <w:spacing w:line="360" w:lineRule="auto"/>
        <w:jc w:val="both"/>
        <w:rPr>
          <w:rFonts w:ascii="Arial" w:eastAsiaTheme="majorEastAsia" w:hAnsi="Arial" w:cs="Arial"/>
          <w:bCs/>
          <w:sz w:val="22"/>
        </w:rPr>
      </w:pPr>
      <w:r w:rsidRPr="00FC187F">
        <w:rPr>
          <w:rFonts w:ascii="Arial" w:eastAsiaTheme="majorEastAsia" w:hAnsi="Arial" w:cs="Arial"/>
          <w:bCs/>
          <w:sz w:val="22"/>
        </w:rPr>
        <w:t>supporting self</w:t>
      </w:r>
      <w:r w:rsidRPr="00FC187F">
        <w:rPr>
          <w:rFonts w:ascii="Arial" w:eastAsiaTheme="majorEastAsia" w:hAnsi="Arial" w:cs="Arial"/>
          <w:bCs/>
          <w:sz w:val="22"/>
        </w:rPr>
        <w:noBreakHyphen/>
        <w:t>management of long</w:t>
      </w:r>
      <w:r w:rsidRPr="00FC187F">
        <w:rPr>
          <w:rFonts w:ascii="Arial" w:eastAsiaTheme="majorEastAsia" w:hAnsi="Arial" w:cs="Arial"/>
          <w:bCs/>
          <w:sz w:val="22"/>
        </w:rPr>
        <w:noBreakHyphen/>
        <w:t>term conditions</w:t>
      </w:r>
    </w:p>
    <w:p w14:paraId="03FDA758" w14:textId="77777777" w:rsidR="005E69D0" w:rsidRPr="00FC187F" w:rsidRDefault="005E69D0" w:rsidP="00FC187F">
      <w:pPr>
        <w:numPr>
          <w:ilvl w:val="0"/>
          <w:numId w:val="2"/>
        </w:numPr>
        <w:spacing w:line="360" w:lineRule="auto"/>
        <w:jc w:val="both"/>
        <w:rPr>
          <w:rFonts w:ascii="Arial" w:eastAsiaTheme="majorEastAsia" w:hAnsi="Arial" w:cs="Arial"/>
          <w:bCs/>
          <w:sz w:val="22"/>
        </w:rPr>
      </w:pPr>
      <w:r w:rsidRPr="00FC187F">
        <w:rPr>
          <w:rFonts w:ascii="Arial" w:eastAsiaTheme="majorEastAsia" w:hAnsi="Arial" w:cs="Arial"/>
          <w:bCs/>
          <w:sz w:val="22"/>
        </w:rPr>
        <w:t>streamlining administrative tasks</w:t>
      </w:r>
    </w:p>
    <w:p w14:paraId="3509884D"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However, the impact of these technologies on workload is mixed. Some studies suggest digital tools can reduce pressure by filtering demand, while others report increased administrative burden and more complex digital workflows.</w:t>
      </w:r>
    </w:p>
    <w:p w14:paraId="49BEC7B1"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2.3 COVID</w:t>
      </w:r>
      <w:r w:rsidRPr="00FC187F">
        <w:rPr>
          <w:rFonts w:ascii="Arial" w:eastAsiaTheme="majorEastAsia" w:hAnsi="Arial" w:cs="Arial"/>
          <w:b/>
          <w:bCs/>
          <w:sz w:val="22"/>
        </w:rPr>
        <w:noBreakHyphen/>
        <w:t>19 and the Acceleration of Digital Care</w:t>
      </w:r>
    </w:p>
    <w:p w14:paraId="36FFA359"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COVID</w:t>
      </w:r>
      <w:r w:rsidRPr="00FC187F">
        <w:rPr>
          <w:rFonts w:ascii="Arial" w:eastAsiaTheme="majorEastAsia" w:hAnsi="Arial" w:cs="Arial"/>
          <w:bCs/>
          <w:sz w:val="22"/>
        </w:rPr>
        <w:noBreakHyphen/>
        <w:t xml:space="preserve">19 pandemic dramatically accelerated the adoption of digital health technologies in primary care. In March 2020, NHS England instructed practices to move to a </w:t>
      </w:r>
      <w:r w:rsidRPr="00FC187F">
        <w:rPr>
          <w:rFonts w:ascii="Arial" w:eastAsiaTheme="majorEastAsia" w:hAnsi="Arial" w:cs="Arial"/>
          <w:bCs/>
          <w:sz w:val="22"/>
        </w:rPr>
        <w:lastRenderedPageBreak/>
        <w:t>“remote</w:t>
      </w:r>
      <w:r w:rsidRPr="00FC187F">
        <w:rPr>
          <w:rFonts w:ascii="Arial" w:eastAsiaTheme="majorEastAsia" w:hAnsi="Arial" w:cs="Arial"/>
          <w:bCs/>
          <w:sz w:val="22"/>
        </w:rPr>
        <w:noBreakHyphen/>
        <w:t>by</w:t>
      </w:r>
      <w:r w:rsidRPr="00FC187F">
        <w:rPr>
          <w:rFonts w:ascii="Arial" w:eastAsiaTheme="majorEastAsia" w:hAnsi="Arial" w:cs="Arial"/>
          <w:bCs/>
          <w:sz w:val="22"/>
        </w:rPr>
        <w:noBreakHyphen/>
        <w:t>default” model to reduce infection risk. As a result, telephone, video, and online consultations became the primary mode of access almost overnight.</w:t>
      </w:r>
    </w:p>
    <w:p w14:paraId="082A633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rapid shift created both opportunities and challenges. On one hand, digital tools enabled continuity of care during lockdowns and protected vulnerable patients. On the other hand, the speed of implementation meant that many practices had limited time for training, planning, or evaluation. Research following the pandemic has explored how these changes affected patient experience, clinical decision</w:t>
      </w:r>
      <w:r w:rsidRPr="00FC187F">
        <w:rPr>
          <w:rFonts w:ascii="Arial" w:eastAsiaTheme="majorEastAsia" w:hAnsi="Arial" w:cs="Arial"/>
          <w:bCs/>
          <w:sz w:val="22"/>
        </w:rPr>
        <w:noBreakHyphen/>
        <w:t>making, and equity of access.</w:t>
      </w:r>
    </w:p>
    <w:p w14:paraId="5D2C7B82"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2.4 Digital Inequalities and Access Barriers</w:t>
      </w:r>
    </w:p>
    <w:p w14:paraId="0E8B1E38"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While digital technologies can improve access for many patients, they also risk widening inequalities. Digital exclusion affects groups such as older adults, people with disabilities, those with low digital literacy, and individuals without reliable internet access or devices. The Office for National Statistics (2022) reported that millions of adults in the UK still lack basic digital skills.</w:t>
      </w:r>
    </w:p>
    <w:p w14:paraId="0A1304B7"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In primary care, digital exclusion can lead to:</w:t>
      </w:r>
    </w:p>
    <w:p w14:paraId="16A8A711" w14:textId="77777777" w:rsidR="005E69D0" w:rsidRPr="00FC187F" w:rsidRDefault="005E69D0" w:rsidP="00FC187F">
      <w:pPr>
        <w:numPr>
          <w:ilvl w:val="0"/>
          <w:numId w:val="3"/>
        </w:numPr>
        <w:spacing w:line="360" w:lineRule="auto"/>
        <w:jc w:val="both"/>
        <w:rPr>
          <w:rFonts w:ascii="Arial" w:eastAsiaTheme="majorEastAsia" w:hAnsi="Arial" w:cs="Arial"/>
          <w:bCs/>
          <w:sz w:val="22"/>
        </w:rPr>
      </w:pPr>
      <w:r w:rsidRPr="00FC187F">
        <w:rPr>
          <w:rFonts w:ascii="Arial" w:eastAsiaTheme="majorEastAsia" w:hAnsi="Arial" w:cs="Arial"/>
          <w:bCs/>
          <w:sz w:val="22"/>
        </w:rPr>
        <w:t>difficulties using online triage systems</w:t>
      </w:r>
    </w:p>
    <w:p w14:paraId="5F1DEEB2" w14:textId="77777777" w:rsidR="005E69D0" w:rsidRPr="00FC187F" w:rsidRDefault="005E69D0" w:rsidP="00FC187F">
      <w:pPr>
        <w:numPr>
          <w:ilvl w:val="0"/>
          <w:numId w:val="3"/>
        </w:numPr>
        <w:spacing w:line="360" w:lineRule="auto"/>
        <w:jc w:val="both"/>
        <w:rPr>
          <w:rFonts w:ascii="Arial" w:eastAsiaTheme="majorEastAsia" w:hAnsi="Arial" w:cs="Arial"/>
          <w:bCs/>
          <w:sz w:val="22"/>
        </w:rPr>
      </w:pPr>
      <w:r w:rsidRPr="00FC187F">
        <w:rPr>
          <w:rFonts w:ascii="Arial" w:eastAsiaTheme="majorEastAsia" w:hAnsi="Arial" w:cs="Arial"/>
          <w:bCs/>
          <w:sz w:val="22"/>
        </w:rPr>
        <w:t>challenges accessing video consultations</w:t>
      </w:r>
    </w:p>
    <w:p w14:paraId="1A5B135C" w14:textId="77777777" w:rsidR="005E69D0" w:rsidRPr="00FC187F" w:rsidRDefault="005E69D0" w:rsidP="00FC187F">
      <w:pPr>
        <w:numPr>
          <w:ilvl w:val="0"/>
          <w:numId w:val="3"/>
        </w:numPr>
        <w:spacing w:line="360" w:lineRule="auto"/>
        <w:jc w:val="both"/>
        <w:rPr>
          <w:rFonts w:ascii="Arial" w:eastAsiaTheme="majorEastAsia" w:hAnsi="Arial" w:cs="Arial"/>
          <w:bCs/>
          <w:sz w:val="22"/>
        </w:rPr>
      </w:pPr>
      <w:r w:rsidRPr="00FC187F">
        <w:rPr>
          <w:rFonts w:ascii="Arial" w:eastAsiaTheme="majorEastAsia" w:hAnsi="Arial" w:cs="Arial"/>
          <w:bCs/>
          <w:sz w:val="22"/>
        </w:rPr>
        <w:t>reduced ability to navigate digital health apps</w:t>
      </w:r>
    </w:p>
    <w:p w14:paraId="33026B18" w14:textId="77777777" w:rsidR="005E69D0" w:rsidRPr="00FC187F" w:rsidRDefault="005E69D0" w:rsidP="00FC187F">
      <w:pPr>
        <w:numPr>
          <w:ilvl w:val="0"/>
          <w:numId w:val="3"/>
        </w:numPr>
        <w:spacing w:line="360" w:lineRule="auto"/>
        <w:jc w:val="both"/>
        <w:rPr>
          <w:rFonts w:ascii="Arial" w:eastAsiaTheme="majorEastAsia" w:hAnsi="Arial" w:cs="Arial"/>
          <w:bCs/>
          <w:sz w:val="22"/>
        </w:rPr>
      </w:pPr>
      <w:r w:rsidRPr="00FC187F">
        <w:rPr>
          <w:rFonts w:ascii="Arial" w:eastAsiaTheme="majorEastAsia" w:hAnsi="Arial" w:cs="Arial"/>
          <w:bCs/>
          <w:sz w:val="22"/>
        </w:rPr>
        <w:t>increased reliance on family members or carers</w:t>
      </w:r>
    </w:p>
    <w:p w14:paraId="7ED333C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These inequalities raise concerns about fairness, accessibility, and the potential for digital tools to disadvantage already marginalised groups.</w:t>
      </w:r>
    </w:p>
    <w:p w14:paraId="07777FF8"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2.5 Professional Guidance and Regulatory Frameworks</w:t>
      </w:r>
    </w:p>
    <w:p w14:paraId="0E74F2A3"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Several UK organisations provide guidance on the safe and effective use of digital health technologies. The National Institute for Health and Care Excellence (NICE) offers evidence</w:t>
      </w:r>
      <w:r w:rsidRPr="00FC187F">
        <w:rPr>
          <w:rFonts w:ascii="Arial" w:eastAsiaTheme="majorEastAsia" w:hAnsi="Arial" w:cs="Arial"/>
          <w:bCs/>
          <w:sz w:val="22"/>
        </w:rPr>
        <w:noBreakHyphen/>
        <w:t>based recommendations on digital interventions, including remote monitoring and digital self</w:t>
      </w:r>
      <w:r w:rsidRPr="00FC187F">
        <w:rPr>
          <w:rFonts w:ascii="Arial" w:eastAsiaTheme="majorEastAsia" w:hAnsi="Arial" w:cs="Arial"/>
          <w:bCs/>
          <w:sz w:val="22"/>
        </w:rPr>
        <w:noBreakHyphen/>
        <w:t>management tools. The General Medical Council (GMC) provides guidance on remote consultations, emphasising the need for clinicians to maintain patient safety, confidentiality, and informed consent.</w:t>
      </w:r>
    </w:p>
    <w:p w14:paraId="378D0AC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Care Quality Commission (CQC) regulates digital services and assesses how well practices use technology to deliver safe, effective, and person</w:t>
      </w:r>
      <w:r w:rsidRPr="00FC187F">
        <w:rPr>
          <w:rFonts w:ascii="Arial" w:eastAsiaTheme="majorEastAsia" w:hAnsi="Arial" w:cs="Arial"/>
          <w:bCs/>
          <w:sz w:val="22"/>
        </w:rPr>
        <w:noBreakHyphen/>
        <w:t>centred care. Their inspections highlight both good practice and areas where digital systems may compromise quality or safety.</w:t>
      </w:r>
    </w:p>
    <w:p w14:paraId="38E2D9D8"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lastRenderedPageBreak/>
        <w:t>3. Methods</w:t>
      </w:r>
    </w:p>
    <w:p w14:paraId="71CC08BC"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scoping review followed the methodological framework developed by Arksey and O’Malley (2005) and later refined by the Joanna Briggs Institute (JBI) guidance for scoping reviews (Peters et al., 2020). This approach was chosen because it supports the systematic mapping of key concepts, evidence types, and research gaps within a broad and emerging field such as digital health in UK primary care. The review process included five stages: identifying the research question, identifying relevant studies, selecting studies, charting the data, and collating and summarising the results.</w:t>
      </w:r>
    </w:p>
    <w:p w14:paraId="3B780943"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3.1 Identifying the Research Question</w:t>
      </w:r>
    </w:p>
    <w:p w14:paraId="070817A6"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research question guiding this review was:</w:t>
      </w:r>
    </w:p>
    <w:p w14:paraId="5C7FF9A5"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“What is the current evidence on the implementation and impact of digital health technologies on primary care services within the UK?”</w:t>
      </w:r>
    </w:p>
    <w:p w14:paraId="34990D9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question was intentionally broad to capture a wide range of digital tools used in general practice, including video consultations, telephone triage, online communication systems, and digital platforms supporting remote care.</w:t>
      </w:r>
    </w:p>
    <w:p w14:paraId="6EAAAA0C"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3.2 Search Strategy</w:t>
      </w:r>
    </w:p>
    <w:p w14:paraId="244A92E9"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 structured search strategy was developed to identify peer</w:t>
      </w:r>
      <w:r w:rsidRPr="00FC187F">
        <w:rPr>
          <w:rFonts w:ascii="Arial" w:eastAsiaTheme="majorEastAsia" w:hAnsi="Arial" w:cs="Arial"/>
          <w:bCs/>
          <w:sz w:val="22"/>
        </w:rPr>
        <w:noBreakHyphen/>
        <w:t>reviewed primary and secondary research studies published in English and focused on the UK. Searches were conducted across three major academic databases commonly used in health and social care research:</w:t>
      </w:r>
    </w:p>
    <w:p w14:paraId="5BF2B48F" w14:textId="77777777" w:rsidR="005E69D0" w:rsidRPr="00FC187F" w:rsidRDefault="005E69D0" w:rsidP="00FC187F">
      <w:pPr>
        <w:numPr>
          <w:ilvl w:val="0"/>
          <w:numId w:val="4"/>
        </w:numPr>
        <w:spacing w:line="360" w:lineRule="auto"/>
        <w:jc w:val="both"/>
        <w:rPr>
          <w:rFonts w:ascii="Arial" w:eastAsiaTheme="majorEastAsia" w:hAnsi="Arial" w:cs="Arial"/>
          <w:bCs/>
          <w:sz w:val="22"/>
        </w:rPr>
      </w:pPr>
      <w:r w:rsidRPr="00FC187F">
        <w:rPr>
          <w:rFonts w:ascii="Arial" w:eastAsiaTheme="majorEastAsia" w:hAnsi="Arial" w:cs="Arial"/>
          <w:bCs/>
          <w:sz w:val="22"/>
        </w:rPr>
        <w:t>PubMed</w:t>
      </w:r>
    </w:p>
    <w:p w14:paraId="0905A978" w14:textId="77777777" w:rsidR="005E69D0" w:rsidRPr="00FC187F" w:rsidRDefault="005E69D0" w:rsidP="00FC187F">
      <w:pPr>
        <w:numPr>
          <w:ilvl w:val="0"/>
          <w:numId w:val="4"/>
        </w:numPr>
        <w:spacing w:line="360" w:lineRule="auto"/>
        <w:jc w:val="both"/>
        <w:rPr>
          <w:rFonts w:ascii="Arial" w:eastAsiaTheme="majorEastAsia" w:hAnsi="Arial" w:cs="Arial"/>
          <w:bCs/>
          <w:sz w:val="22"/>
        </w:rPr>
      </w:pPr>
      <w:r w:rsidRPr="00FC187F">
        <w:rPr>
          <w:rFonts w:ascii="Arial" w:eastAsiaTheme="majorEastAsia" w:hAnsi="Arial" w:cs="Arial"/>
          <w:bCs/>
          <w:sz w:val="22"/>
        </w:rPr>
        <w:t>EBSCOhost (CINAHL and Academic Search Complete)</w:t>
      </w:r>
    </w:p>
    <w:p w14:paraId="39431A11" w14:textId="77777777" w:rsidR="005E69D0" w:rsidRPr="00FC187F" w:rsidRDefault="005E69D0" w:rsidP="00FC187F">
      <w:pPr>
        <w:numPr>
          <w:ilvl w:val="0"/>
          <w:numId w:val="4"/>
        </w:numPr>
        <w:spacing w:line="360" w:lineRule="auto"/>
        <w:jc w:val="both"/>
        <w:rPr>
          <w:rFonts w:ascii="Arial" w:eastAsiaTheme="majorEastAsia" w:hAnsi="Arial" w:cs="Arial"/>
          <w:bCs/>
          <w:sz w:val="22"/>
        </w:rPr>
      </w:pPr>
      <w:r w:rsidRPr="00FC187F">
        <w:rPr>
          <w:rFonts w:ascii="Arial" w:eastAsiaTheme="majorEastAsia" w:hAnsi="Arial" w:cs="Arial"/>
          <w:bCs/>
          <w:sz w:val="22"/>
        </w:rPr>
        <w:t>SAGE Journals</w:t>
      </w:r>
    </w:p>
    <w:p w14:paraId="5E4BBDDD"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Search terms were developed using keywords and Boolean operators. The main search terms included the following:</w:t>
      </w:r>
    </w:p>
    <w:p w14:paraId="1ABFB043" w14:textId="77777777" w:rsidR="005E69D0" w:rsidRPr="00FC187F" w:rsidRDefault="005E69D0" w:rsidP="00FC187F">
      <w:pPr>
        <w:numPr>
          <w:ilvl w:val="0"/>
          <w:numId w:val="5"/>
        </w:numPr>
        <w:spacing w:line="360" w:lineRule="auto"/>
        <w:jc w:val="both"/>
        <w:rPr>
          <w:rFonts w:ascii="Arial" w:eastAsiaTheme="majorEastAsia" w:hAnsi="Arial" w:cs="Arial"/>
          <w:bCs/>
          <w:sz w:val="22"/>
        </w:rPr>
      </w:pPr>
      <w:r w:rsidRPr="00FC187F">
        <w:rPr>
          <w:rFonts w:ascii="Arial" w:eastAsiaTheme="majorEastAsia" w:hAnsi="Arial" w:cs="Arial"/>
          <w:bCs/>
          <w:sz w:val="22"/>
        </w:rPr>
        <w:t>“</w:t>
      </w:r>
      <w:proofErr w:type="gramStart"/>
      <w:r w:rsidRPr="00FC187F">
        <w:rPr>
          <w:rFonts w:ascii="Arial" w:eastAsiaTheme="majorEastAsia" w:hAnsi="Arial" w:cs="Arial"/>
          <w:bCs/>
          <w:sz w:val="22"/>
        </w:rPr>
        <w:t>digital</w:t>
      </w:r>
      <w:proofErr w:type="gramEnd"/>
      <w:r w:rsidRPr="00FC187F">
        <w:rPr>
          <w:rFonts w:ascii="Arial" w:eastAsiaTheme="majorEastAsia" w:hAnsi="Arial" w:cs="Arial"/>
          <w:bCs/>
          <w:sz w:val="22"/>
        </w:rPr>
        <w:t xml:space="preserve"> health” OR “digital technology” OR “remote consultation” OR “video consultation” OR “online consultation” OR “telehealth”</w:t>
      </w:r>
    </w:p>
    <w:p w14:paraId="46D9C02C" w14:textId="77777777" w:rsidR="005E69D0" w:rsidRPr="00FC187F" w:rsidRDefault="005E69D0" w:rsidP="00FC187F">
      <w:pPr>
        <w:numPr>
          <w:ilvl w:val="0"/>
          <w:numId w:val="5"/>
        </w:numPr>
        <w:spacing w:line="360" w:lineRule="auto"/>
        <w:jc w:val="both"/>
        <w:rPr>
          <w:rFonts w:ascii="Arial" w:eastAsiaTheme="majorEastAsia" w:hAnsi="Arial" w:cs="Arial"/>
          <w:bCs/>
          <w:sz w:val="22"/>
        </w:rPr>
      </w:pPr>
      <w:r w:rsidRPr="00FC187F">
        <w:rPr>
          <w:rFonts w:ascii="Arial" w:eastAsiaTheme="majorEastAsia" w:hAnsi="Arial" w:cs="Arial"/>
          <w:bCs/>
          <w:sz w:val="22"/>
        </w:rPr>
        <w:t>AND “primary care” OR “general practice”</w:t>
      </w:r>
    </w:p>
    <w:p w14:paraId="2AAE3CEA" w14:textId="77777777" w:rsidR="005E69D0" w:rsidRPr="00FC187F" w:rsidRDefault="005E69D0" w:rsidP="00FC187F">
      <w:pPr>
        <w:numPr>
          <w:ilvl w:val="0"/>
          <w:numId w:val="5"/>
        </w:numPr>
        <w:spacing w:line="360" w:lineRule="auto"/>
        <w:jc w:val="both"/>
        <w:rPr>
          <w:rFonts w:ascii="Arial" w:eastAsiaTheme="majorEastAsia" w:hAnsi="Arial" w:cs="Arial"/>
          <w:bCs/>
          <w:sz w:val="22"/>
        </w:rPr>
      </w:pPr>
      <w:r w:rsidRPr="00FC187F">
        <w:rPr>
          <w:rFonts w:ascii="Arial" w:eastAsiaTheme="majorEastAsia" w:hAnsi="Arial" w:cs="Arial"/>
          <w:bCs/>
          <w:sz w:val="22"/>
        </w:rPr>
        <w:t>AND “United Kingdom” OR “UK” OR “England” OR “NHS”</w:t>
      </w:r>
    </w:p>
    <w:p w14:paraId="7963AA2E"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Searches were limited to studies published between 2015 and 2024, reflecting the period of rapid digital transformation in UK primary care.</w:t>
      </w:r>
    </w:p>
    <w:p w14:paraId="7F84AA5B"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lastRenderedPageBreak/>
        <w:t>3.3 Inclusion and Exclusion Criteria</w:t>
      </w:r>
    </w:p>
    <w:p w14:paraId="1F886AC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To ensure relevance and quality, the following inclusion criteria were applied:</w:t>
      </w:r>
    </w:p>
    <w:p w14:paraId="4F764384" w14:textId="77777777" w:rsidR="005E69D0" w:rsidRPr="00FC187F" w:rsidRDefault="005E69D0" w:rsidP="00FC187F">
      <w:pPr>
        <w:numPr>
          <w:ilvl w:val="0"/>
          <w:numId w:val="6"/>
        </w:numPr>
        <w:spacing w:line="360" w:lineRule="auto"/>
        <w:jc w:val="both"/>
        <w:rPr>
          <w:rFonts w:ascii="Arial" w:eastAsiaTheme="majorEastAsia" w:hAnsi="Arial" w:cs="Arial"/>
          <w:bCs/>
          <w:sz w:val="22"/>
        </w:rPr>
      </w:pPr>
      <w:r w:rsidRPr="00FC187F">
        <w:rPr>
          <w:rFonts w:ascii="Arial" w:eastAsiaTheme="majorEastAsia" w:hAnsi="Arial" w:cs="Arial"/>
          <w:bCs/>
          <w:sz w:val="22"/>
        </w:rPr>
        <w:t>Peer</w:t>
      </w:r>
      <w:r w:rsidRPr="00FC187F">
        <w:rPr>
          <w:rFonts w:ascii="Arial" w:eastAsiaTheme="majorEastAsia" w:hAnsi="Arial" w:cs="Arial"/>
          <w:bCs/>
          <w:sz w:val="22"/>
        </w:rPr>
        <w:noBreakHyphen/>
        <w:t>reviewed primary or secondary research</w:t>
      </w:r>
    </w:p>
    <w:p w14:paraId="07090143" w14:textId="77777777" w:rsidR="005E69D0" w:rsidRPr="00FC187F" w:rsidRDefault="005E69D0" w:rsidP="00FC187F">
      <w:pPr>
        <w:numPr>
          <w:ilvl w:val="0"/>
          <w:numId w:val="6"/>
        </w:numPr>
        <w:spacing w:line="360" w:lineRule="auto"/>
        <w:jc w:val="both"/>
        <w:rPr>
          <w:rFonts w:ascii="Arial" w:eastAsiaTheme="majorEastAsia" w:hAnsi="Arial" w:cs="Arial"/>
          <w:bCs/>
          <w:sz w:val="22"/>
        </w:rPr>
      </w:pPr>
      <w:r w:rsidRPr="00FC187F">
        <w:rPr>
          <w:rFonts w:ascii="Arial" w:eastAsiaTheme="majorEastAsia" w:hAnsi="Arial" w:cs="Arial"/>
          <w:bCs/>
          <w:sz w:val="22"/>
        </w:rPr>
        <w:t>Focused on digital health technologies used in UK primary care</w:t>
      </w:r>
    </w:p>
    <w:p w14:paraId="7F8226CD" w14:textId="77777777" w:rsidR="005E69D0" w:rsidRPr="00FC187F" w:rsidRDefault="005E69D0" w:rsidP="00FC187F">
      <w:pPr>
        <w:numPr>
          <w:ilvl w:val="0"/>
          <w:numId w:val="6"/>
        </w:numPr>
        <w:spacing w:line="360" w:lineRule="auto"/>
        <w:jc w:val="both"/>
        <w:rPr>
          <w:rFonts w:ascii="Arial" w:eastAsiaTheme="majorEastAsia" w:hAnsi="Arial" w:cs="Arial"/>
          <w:bCs/>
          <w:sz w:val="22"/>
        </w:rPr>
      </w:pPr>
      <w:r w:rsidRPr="00FC187F">
        <w:rPr>
          <w:rFonts w:ascii="Arial" w:eastAsiaTheme="majorEastAsia" w:hAnsi="Arial" w:cs="Arial"/>
          <w:bCs/>
          <w:sz w:val="22"/>
        </w:rPr>
        <w:t>Examined implementation, experiences, or impacts</w:t>
      </w:r>
    </w:p>
    <w:p w14:paraId="3F1780E8" w14:textId="77777777" w:rsidR="005E69D0" w:rsidRPr="00FC187F" w:rsidRDefault="005E69D0" w:rsidP="00FC187F">
      <w:pPr>
        <w:numPr>
          <w:ilvl w:val="0"/>
          <w:numId w:val="6"/>
        </w:numPr>
        <w:spacing w:line="360" w:lineRule="auto"/>
        <w:jc w:val="both"/>
        <w:rPr>
          <w:rFonts w:ascii="Arial" w:eastAsiaTheme="majorEastAsia" w:hAnsi="Arial" w:cs="Arial"/>
          <w:bCs/>
          <w:sz w:val="22"/>
        </w:rPr>
      </w:pPr>
      <w:r w:rsidRPr="00FC187F">
        <w:rPr>
          <w:rFonts w:ascii="Arial" w:eastAsiaTheme="majorEastAsia" w:hAnsi="Arial" w:cs="Arial"/>
          <w:bCs/>
          <w:sz w:val="22"/>
        </w:rPr>
        <w:t>Published in English</w:t>
      </w:r>
    </w:p>
    <w:p w14:paraId="03B916A2" w14:textId="77777777" w:rsidR="005E69D0" w:rsidRPr="00FC187F" w:rsidRDefault="005E69D0" w:rsidP="00FC187F">
      <w:pPr>
        <w:numPr>
          <w:ilvl w:val="0"/>
          <w:numId w:val="6"/>
        </w:numPr>
        <w:spacing w:line="360" w:lineRule="auto"/>
        <w:jc w:val="both"/>
        <w:rPr>
          <w:rFonts w:ascii="Arial" w:eastAsiaTheme="majorEastAsia" w:hAnsi="Arial" w:cs="Arial"/>
          <w:bCs/>
          <w:sz w:val="22"/>
        </w:rPr>
      </w:pPr>
      <w:r w:rsidRPr="00FC187F">
        <w:rPr>
          <w:rFonts w:ascii="Arial" w:eastAsiaTheme="majorEastAsia" w:hAnsi="Arial" w:cs="Arial"/>
          <w:bCs/>
          <w:sz w:val="22"/>
        </w:rPr>
        <w:t>Conducted within NHS general practice or related primary care services</w:t>
      </w:r>
    </w:p>
    <w:p w14:paraId="6EA5E9DD"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Exclusion criteria included:</w:t>
      </w:r>
    </w:p>
    <w:p w14:paraId="6E09B925" w14:textId="77777777" w:rsidR="005E69D0" w:rsidRPr="00FC187F" w:rsidRDefault="005E69D0" w:rsidP="00FC187F">
      <w:pPr>
        <w:numPr>
          <w:ilvl w:val="0"/>
          <w:numId w:val="7"/>
        </w:numPr>
        <w:spacing w:line="360" w:lineRule="auto"/>
        <w:jc w:val="both"/>
        <w:rPr>
          <w:rFonts w:ascii="Arial" w:eastAsiaTheme="majorEastAsia" w:hAnsi="Arial" w:cs="Arial"/>
          <w:bCs/>
          <w:sz w:val="22"/>
        </w:rPr>
      </w:pPr>
      <w:r w:rsidRPr="00FC187F">
        <w:rPr>
          <w:rFonts w:ascii="Arial" w:eastAsiaTheme="majorEastAsia" w:hAnsi="Arial" w:cs="Arial"/>
          <w:bCs/>
          <w:sz w:val="22"/>
        </w:rPr>
        <w:t>Non</w:t>
      </w:r>
      <w:r w:rsidRPr="00FC187F">
        <w:rPr>
          <w:rFonts w:ascii="Arial" w:eastAsiaTheme="majorEastAsia" w:hAnsi="Arial" w:cs="Arial"/>
          <w:bCs/>
          <w:sz w:val="22"/>
        </w:rPr>
        <w:noBreakHyphen/>
        <w:t>UK studies</w:t>
      </w:r>
    </w:p>
    <w:p w14:paraId="0610B602" w14:textId="77777777" w:rsidR="005E69D0" w:rsidRPr="00FC187F" w:rsidRDefault="005E69D0" w:rsidP="00FC187F">
      <w:pPr>
        <w:numPr>
          <w:ilvl w:val="0"/>
          <w:numId w:val="7"/>
        </w:numPr>
        <w:spacing w:line="360" w:lineRule="auto"/>
        <w:jc w:val="both"/>
        <w:rPr>
          <w:rFonts w:ascii="Arial" w:eastAsiaTheme="majorEastAsia" w:hAnsi="Arial" w:cs="Arial"/>
          <w:bCs/>
          <w:sz w:val="22"/>
        </w:rPr>
      </w:pPr>
      <w:r w:rsidRPr="00FC187F">
        <w:rPr>
          <w:rFonts w:ascii="Arial" w:eastAsiaTheme="majorEastAsia" w:hAnsi="Arial" w:cs="Arial"/>
          <w:bCs/>
          <w:sz w:val="22"/>
        </w:rPr>
        <w:t>Policy papers, commentaries, editorials, conference abstracts</w:t>
      </w:r>
    </w:p>
    <w:p w14:paraId="4A231E0D" w14:textId="77777777" w:rsidR="005E69D0" w:rsidRPr="00FC187F" w:rsidRDefault="005E69D0" w:rsidP="00FC187F">
      <w:pPr>
        <w:numPr>
          <w:ilvl w:val="0"/>
          <w:numId w:val="7"/>
        </w:numPr>
        <w:spacing w:line="360" w:lineRule="auto"/>
        <w:jc w:val="both"/>
        <w:rPr>
          <w:rFonts w:ascii="Arial" w:eastAsiaTheme="majorEastAsia" w:hAnsi="Arial" w:cs="Arial"/>
          <w:bCs/>
          <w:sz w:val="22"/>
        </w:rPr>
      </w:pPr>
      <w:r w:rsidRPr="00FC187F">
        <w:rPr>
          <w:rFonts w:ascii="Arial" w:eastAsiaTheme="majorEastAsia" w:hAnsi="Arial" w:cs="Arial"/>
          <w:bCs/>
          <w:sz w:val="22"/>
        </w:rPr>
        <w:t>Studies focused solely on secondary care or social care</w:t>
      </w:r>
    </w:p>
    <w:p w14:paraId="4044C2D2" w14:textId="77777777" w:rsidR="005E69D0" w:rsidRPr="00FC187F" w:rsidRDefault="005E69D0" w:rsidP="00FC187F">
      <w:pPr>
        <w:numPr>
          <w:ilvl w:val="0"/>
          <w:numId w:val="7"/>
        </w:numPr>
        <w:spacing w:line="360" w:lineRule="auto"/>
        <w:jc w:val="both"/>
        <w:rPr>
          <w:rFonts w:ascii="Arial" w:eastAsiaTheme="majorEastAsia" w:hAnsi="Arial" w:cs="Arial"/>
          <w:bCs/>
          <w:sz w:val="22"/>
        </w:rPr>
      </w:pPr>
      <w:r w:rsidRPr="00FC187F">
        <w:rPr>
          <w:rFonts w:ascii="Arial" w:eastAsiaTheme="majorEastAsia" w:hAnsi="Arial" w:cs="Arial"/>
          <w:bCs/>
          <w:sz w:val="22"/>
        </w:rPr>
        <w:t>Non</w:t>
      </w:r>
      <w:r w:rsidRPr="00FC187F">
        <w:rPr>
          <w:rFonts w:ascii="Arial" w:eastAsiaTheme="majorEastAsia" w:hAnsi="Arial" w:cs="Arial"/>
          <w:bCs/>
          <w:sz w:val="22"/>
        </w:rPr>
        <w:noBreakHyphen/>
        <w:t>peer</w:t>
      </w:r>
      <w:r w:rsidRPr="00FC187F">
        <w:rPr>
          <w:rFonts w:ascii="Arial" w:eastAsiaTheme="majorEastAsia" w:hAnsi="Arial" w:cs="Arial"/>
          <w:bCs/>
          <w:sz w:val="22"/>
        </w:rPr>
        <w:noBreakHyphen/>
        <w:t>reviewed sources</w:t>
      </w:r>
    </w:p>
    <w:p w14:paraId="28F2D3EC" w14:textId="77777777" w:rsidR="005E69D0" w:rsidRPr="00FC187F" w:rsidRDefault="005E69D0" w:rsidP="00FC187F">
      <w:pPr>
        <w:numPr>
          <w:ilvl w:val="0"/>
          <w:numId w:val="7"/>
        </w:numPr>
        <w:spacing w:line="360" w:lineRule="auto"/>
        <w:jc w:val="both"/>
        <w:rPr>
          <w:rFonts w:ascii="Arial" w:eastAsiaTheme="majorEastAsia" w:hAnsi="Arial" w:cs="Arial"/>
          <w:bCs/>
          <w:sz w:val="22"/>
        </w:rPr>
      </w:pPr>
      <w:r w:rsidRPr="00FC187F">
        <w:rPr>
          <w:rFonts w:ascii="Arial" w:eastAsiaTheme="majorEastAsia" w:hAnsi="Arial" w:cs="Arial"/>
          <w:bCs/>
          <w:sz w:val="22"/>
        </w:rPr>
        <w:t>Digital interventions unrelated to primary care delivery</w:t>
      </w:r>
    </w:p>
    <w:p w14:paraId="06B8D237"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These criteria ensured that only high</w:t>
      </w:r>
      <w:r w:rsidRPr="00FC187F">
        <w:rPr>
          <w:rFonts w:ascii="Arial" w:eastAsiaTheme="majorEastAsia" w:hAnsi="Arial" w:cs="Arial"/>
          <w:bCs/>
          <w:sz w:val="22"/>
        </w:rPr>
        <w:noBreakHyphen/>
        <w:t>quality, relevant studies were included in the final review.</w:t>
      </w:r>
    </w:p>
    <w:p w14:paraId="7B653469"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3.4 Study Selection Process</w:t>
      </w:r>
    </w:p>
    <w:p w14:paraId="7498955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search results were exported into a screening spreadsheet. Titles and abstracts were screened first to remove irrelevant studies. Full</w:t>
      </w:r>
      <w:r w:rsidRPr="00FC187F">
        <w:rPr>
          <w:rFonts w:ascii="Arial" w:eastAsiaTheme="majorEastAsia" w:hAnsi="Arial" w:cs="Arial"/>
          <w:bCs/>
          <w:sz w:val="22"/>
        </w:rPr>
        <w:noBreakHyphen/>
        <w:t>text screening was then conducted to confirm eligibility. A total of five studies met all inclusion criteria and were selected for detailed analysis. These studies were:</w:t>
      </w:r>
    </w:p>
    <w:p w14:paraId="1CA5BB04" w14:textId="77777777" w:rsidR="005E69D0" w:rsidRPr="00FC187F" w:rsidRDefault="005E69D0" w:rsidP="00FC187F">
      <w:pPr>
        <w:numPr>
          <w:ilvl w:val="0"/>
          <w:numId w:val="8"/>
        </w:numPr>
        <w:spacing w:line="360" w:lineRule="auto"/>
        <w:jc w:val="both"/>
        <w:rPr>
          <w:rFonts w:ascii="Arial" w:eastAsiaTheme="majorEastAsia" w:hAnsi="Arial" w:cs="Arial"/>
          <w:bCs/>
          <w:sz w:val="22"/>
        </w:rPr>
      </w:pPr>
      <w:r w:rsidRPr="00FC187F">
        <w:rPr>
          <w:rFonts w:ascii="Arial" w:eastAsiaTheme="majorEastAsia" w:hAnsi="Arial" w:cs="Arial"/>
          <w:bCs/>
          <w:sz w:val="22"/>
        </w:rPr>
        <w:t>Greenhalgh et al. (2018)</w:t>
      </w:r>
    </w:p>
    <w:p w14:paraId="1D0459E7" w14:textId="77777777" w:rsidR="005E69D0" w:rsidRPr="00FC187F" w:rsidRDefault="005E69D0" w:rsidP="00FC187F">
      <w:pPr>
        <w:numPr>
          <w:ilvl w:val="0"/>
          <w:numId w:val="8"/>
        </w:numPr>
        <w:spacing w:line="360" w:lineRule="auto"/>
        <w:jc w:val="both"/>
        <w:rPr>
          <w:rFonts w:ascii="Arial" w:eastAsiaTheme="majorEastAsia" w:hAnsi="Arial" w:cs="Arial"/>
          <w:bCs/>
          <w:sz w:val="22"/>
        </w:rPr>
      </w:pPr>
      <w:r w:rsidRPr="00FC187F">
        <w:rPr>
          <w:rFonts w:ascii="Arial" w:eastAsiaTheme="majorEastAsia" w:hAnsi="Arial" w:cs="Arial"/>
          <w:bCs/>
          <w:sz w:val="22"/>
        </w:rPr>
        <w:t>Atherton et al. (2018)</w:t>
      </w:r>
    </w:p>
    <w:p w14:paraId="4AF9B767" w14:textId="77777777" w:rsidR="005E69D0" w:rsidRPr="00FC187F" w:rsidRDefault="005E69D0" w:rsidP="00FC187F">
      <w:pPr>
        <w:numPr>
          <w:ilvl w:val="0"/>
          <w:numId w:val="8"/>
        </w:numPr>
        <w:spacing w:line="360" w:lineRule="auto"/>
        <w:jc w:val="both"/>
        <w:rPr>
          <w:rFonts w:ascii="Arial" w:eastAsiaTheme="majorEastAsia" w:hAnsi="Arial" w:cs="Arial"/>
          <w:bCs/>
          <w:sz w:val="22"/>
        </w:rPr>
      </w:pPr>
      <w:r w:rsidRPr="00FC187F">
        <w:rPr>
          <w:rFonts w:ascii="Arial" w:eastAsiaTheme="majorEastAsia" w:hAnsi="Arial" w:cs="Arial"/>
          <w:bCs/>
          <w:sz w:val="22"/>
        </w:rPr>
        <w:t>Shaw et al. (2018)</w:t>
      </w:r>
    </w:p>
    <w:p w14:paraId="68FDC501" w14:textId="77777777" w:rsidR="005E69D0" w:rsidRPr="00FC187F" w:rsidRDefault="005E69D0" w:rsidP="00FC187F">
      <w:pPr>
        <w:numPr>
          <w:ilvl w:val="0"/>
          <w:numId w:val="8"/>
        </w:numPr>
        <w:spacing w:line="360" w:lineRule="auto"/>
        <w:jc w:val="both"/>
        <w:rPr>
          <w:rFonts w:ascii="Arial" w:eastAsiaTheme="majorEastAsia" w:hAnsi="Arial" w:cs="Arial"/>
          <w:bCs/>
          <w:sz w:val="22"/>
        </w:rPr>
      </w:pPr>
      <w:r w:rsidRPr="00FC187F">
        <w:rPr>
          <w:rFonts w:ascii="Arial" w:eastAsiaTheme="majorEastAsia" w:hAnsi="Arial" w:cs="Arial"/>
          <w:bCs/>
          <w:sz w:val="22"/>
        </w:rPr>
        <w:t>Hammersley et al. (2019)</w:t>
      </w:r>
    </w:p>
    <w:p w14:paraId="6A7BA85A" w14:textId="77777777" w:rsidR="005E69D0" w:rsidRPr="00FC187F" w:rsidRDefault="005E69D0" w:rsidP="00FC187F">
      <w:pPr>
        <w:numPr>
          <w:ilvl w:val="0"/>
          <w:numId w:val="8"/>
        </w:numPr>
        <w:spacing w:line="360" w:lineRule="auto"/>
        <w:jc w:val="both"/>
        <w:rPr>
          <w:rFonts w:ascii="Arial" w:eastAsiaTheme="majorEastAsia" w:hAnsi="Arial" w:cs="Arial"/>
          <w:bCs/>
          <w:sz w:val="22"/>
        </w:rPr>
      </w:pPr>
      <w:r w:rsidRPr="00FC187F">
        <w:rPr>
          <w:rFonts w:ascii="Arial" w:eastAsiaTheme="majorEastAsia" w:hAnsi="Arial" w:cs="Arial"/>
          <w:bCs/>
          <w:sz w:val="22"/>
        </w:rPr>
        <w:t>Murphy et al. (2021)</w:t>
      </w:r>
    </w:p>
    <w:p w14:paraId="24F6819A"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These studies represent a mix of qualitative, mixed</w:t>
      </w:r>
      <w:r w:rsidRPr="00FC187F">
        <w:rPr>
          <w:rFonts w:ascii="Arial" w:eastAsiaTheme="majorEastAsia" w:hAnsi="Arial" w:cs="Arial"/>
          <w:bCs/>
          <w:sz w:val="22"/>
        </w:rPr>
        <w:noBreakHyphen/>
        <w:t>methods, and observational research, providing a broad understanding of digital health implementation in UK primary care.</w:t>
      </w:r>
    </w:p>
    <w:p w14:paraId="1FD6C2EB"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3.5 Data Extraction</w:t>
      </w:r>
    </w:p>
    <w:p w14:paraId="0D008046"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lastRenderedPageBreak/>
        <w:t>A data extraction table was developed to systematically chart key information from each study. Extracted data included:</w:t>
      </w:r>
    </w:p>
    <w:p w14:paraId="6745BB2B" w14:textId="77777777" w:rsidR="005E69D0" w:rsidRPr="00FC187F" w:rsidRDefault="005E69D0" w:rsidP="00FC187F">
      <w:pPr>
        <w:numPr>
          <w:ilvl w:val="0"/>
          <w:numId w:val="9"/>
        </w:numPr>
        <w:spacing w:line="360" w:lineRule="auto"/>
        <w:jc w:val="both"/>
        <w:rPr>
          <w:rFonts w:ascii="Arial" w:eastAsiaTheme="majorEastAsia" w:hAnsi="Arial" w:cs="Arial"/>
          <w:bCs/>
          <w:sz w:val="22"/>
        </w:rPr>
      </w:pPr>
      <w:r w:rsidRPr="00FC187F">
        <w:rPr>
          <w:rFonts w:ascii="Arial" w:eastAsiaTheme="majorEastAsia" w:hAnsi="Arial" w:cs="Arial"/>
          <w:bCs/>
          <w:sz w:val="22"/>
        </w:rPr>
        <w:t>Author(s) and year</w:t>
      </w:r>
    </w:p>
    <w:p w14:paraId="792A543B" w14:textId="77777777" w:rsidR="005E69D0" w:rsidRPr="00FC187F" w:rsidRDefault="005E69D0" w:rsidP="00FC187F">
      <w:pPr>
        <w:numPr>
          <w:ilvl w:val="0"/>
          <w:numId w:val="9"/>
        </w:numPr>
        <w:spacing w:line="360" w:lineRule="auto"/>
        <w:jc w:val="both"/>
        <w:rPr>
          <w:rFonts w:ascii="Arial" w:eastAsiaTheme="majorEastAsia" w:hAnsi="Arial" w:cs="Arial"/>
          <w:bCs/>
          <w:sz w:val="22"/>
        </w:rPr>
      </w:pPr>
      <w:r w:rsidRPr="00FC187F">
        <w:rPr>
          <w:rFonts w:ascii="Arial" w:eastAsiaTheme="majorEastAsia" w:hAnsi="Arial" w:cs="Arial"/>
          <w:bCs/>
          <w:sz w:val="22"/>
        </w:rPr>
        <w:t>Study aim</w:t>
      </w:r>
    </w:p>
    <w:p w14:paraId="67EE660D" w14:textId="77777777" w:rsidR="005E69D0" w:rsidRPr="00FC187F" w:rsidRDefault="005E69D0" w:rsidP="00FC187F">
      <w:pPr>
        <w:numPr>
          <w:ilvl w:val="0"/>
          <w:numId w:val="9"/>
        </w:numPr>
        <w:spacing w:line="360" w:lineRule="auto"/>
        <w:jc w:val="both"/>
        <w:rPr>
          <w:rFonts w:ascii="Arial" w:eastAsiaTheme="majorEastAsia" w:hAnsi="Arial" w:cs="Arial"/>
          <w:bCs/>
          <w:sz w:val="22"/>
        </w:rPr>
      </w:pPr>
      <w:r w:rsidRPr="00FC187F">
        <w:rPr>
          <w:rFonts w:ascii="Arial" w:eastAsiaTheme="majorEastAsia" w:hAnsi="Arial" w:cs="Arial"/>
          <w:bCs/>
          <w:sz w:val="22"/>
        </w:rPr>
        <w:t>Setting and population</w:t>
      </w:r>
    </w:p>
    <w:p w14:paraId="3FCDDC10" w14:textId="77777777" w:rsidR="005E69D0" w:rsidRPr="00FC187F" w:rsidRDefault="005E69D0" w:rsidP="00FC187F">
      <w:pPr>
        <w:numPr>
          <w:ilvl w:val="0"/>
          <w:numId w:val="9"/>
        </w:numPr>
        <w:spacing w:line="360" w:lineRule="auto"/>
        <w:jc w:val="both"/>
        <w:rPr>
          <w:rFonts w:ascii="Arial" w:eastAsiaTheme="majorEastAsia" w:hAnsi="Arial" w:cs="Arial"/>
          <w:bCs/>
          <w:sz w:val="22"/>
        </w:rPr>
      </w:pPr>
      <w:r w:rsidRPr="00FC187F">
        <w:rPr>
          <w:rFonts w:ascii="Arial" w:eastAsiaTheme="majorEastAsia" w:hAnsi="Arial" w:cs="Arial"/>
          <w:bCs/>
          <w:sz w:val="22"/>
        </w:rPr>
        <w:t>Digital technology examined</w:t>
      </w:r>
    </w:p>
    <w:p w14:paraId="57801566" w14:textId="77777777" w:rsidR="005E69D0" w:rsidRPr="00FC187F" w:rsidRDefault="005E69D0" w:rsidP="00FC187F">
      <w:pPr>
        <w:numPr>
          <w:ilvl w:val="0"/>
          <w:numId w:val="9"/>
        </w:numPr>
        <w:spacing w:line="360" w:lineRule="auto"/>
        <w:jc w:val="both"/>
        <w:rPr>
          <w:rFonts w:ascii="Arial" w:eastAsiaTheme="majorEastAsia" w:hAnsi="Arial" w:cs="Arial"/>
          <w:bCs/>
          <w:sz w:val="22"/>
        </w:rPr>
      </w:pPr>
      <w:r w:rsidRPr="00FC187F">
        <w:rPr>
          <w:rFonts w:ascii="Arial" w:eastAsiaTheme="majorEastAsia" w:hAnsi="Arial" w:cs="Arial"/>
          <w:bCs/>
          <w:sz w:val="22"/>
        </w:rPr>
        <w:t>Methods</w:t>
      </w:r>
    </w:p>
    <w:p w14:paraId="67C1BDBF" w14:textId="77777777" w:rsidR="005E69D0" w:rsidRPr="00FC187F" w:rsidRDefault="005E69D0" w:rsidP="00FC187F">
      <w:pPr>
        <w:numPr>
          <w:ilvl w:val="0"/>
          <w:numId w:val="9"/>
        </w:numPr>
        <w:spacing w:line="360" w:lineRule="auto"/>
        <w:jc w:val="both"/>
        <w:rPr>
          <w:rFonts w:ascii="Arial" w:eastAsiaTheme="majorEastAsia" w:hAnsi="Arial" w:cs="Arial"/>
          <w:bCs/>
          <w:sz w:val="22"/>
        </w:rPr>
      </w:pPr>
      <w:r w:rsidRPr="00FC187F">
        <w:rPr>
          <w:rFonts w:ascii="Arial" w:eastAsiaTheme="majorEastAsia" w:hAnsi="Arial" w:cs="Arial"/>
          <w:bCs/>
          <w:sz w:val="22"/>
        </w:rPr>
        <w:t>Key findings</w:t>
      </w:r>
    </w:p>
    <w:p w14:paraId="0E994479" w14:textId="77777777" w:rsidR="005E69D0" w:rsidRPr="00FC187F" w:rsidRDefault="005E69D0" w:rsidP="00FC187F">
      <w:pPr>
        <w:numPr>
          <w:ilvl w:val="0"/>
          <w:numId w:val="9"/>
        </w:numPr>
        <w:spacing w:line="360" w:lineRule="auto"/>
        <w:jc w:val="both"/>
        <w:rPr>
          <w:rFonts w:ascii="Arial" w:eastAsiaTheme="majorEastAsia" w:hAnsi="Arial" w:cs="Arial"/>
          <w:bCs/>
          <w:sz w:val="22"/>
        </w:rPr>
      </w:pPr>
      <w:r w:rsidRPr="00FC187F">
        <w:rPr>
          <w:rFonts w:ascii="Arial" w:eastAsiaTheme="majorEastAsia" w:hAnsi="Arial" w:cs="Arial"/>
          <w:bCs/>
          <w:sz w:val="22"/>
        </w:rPr>
        <w:t>Reported impacts on primary care</w:t>
      </w:r>
    </w:p>
    <w:p w14:paraId="28E481A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structured approach ensured consistency and transparency in the analysis.</w:t>
      </w:r>
    </w:p>
    <w:p w14:paraId="614E4672"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3.6 Data Analysis</w:t>
      </w:r>
    </w:p>
    <w:p w14:paraId="12F16366"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 thematic analysis approach was used to identify patterns and themes across the included studies. Following Braun and Clarke’s (2006) framework, the analysis involved:</w:t>
      </w:r>
    </w:p>
    <w:p w14:paraId="517F0DAE" w14:textId="77777777" w:rsidR="005E69D0" w:rsidRPr="00FC187F" w:rsidRDefault="005E69D0" w:rsidP="00FC187F">
      <w:pPr>
        <w:numPr>
          <w:ilvl w:val="0"/>
          <w:numId w:val="10"/>
        </w:numPr>
        <w:spacing w:line="360" w:lineRule="auto"/>
        <w:jc w:val="both"/>
        <w:rPr>
          <w:rFonts w:ascii="Arial" w:eastAsiaTheme="majorEastAsia" w:hAnsi="Arial" w:cs="Arial"/>
          <w:bCs/>
          <w:sz w:val="22"/>
        </w:rPr>
      </w:pPr>
      <w:r w:rsidRPr="00FC187F">
        <w:rPr>
          <w:rFonts w:ascii="Arial" w:eastAsiaTheme="majorEastAsia" w:hAnsi="Arial" w:cs="Arial"/>
          <w:bCs/>
          <w:sz w:val="22"/>
        </w:rPr>
        <w:t>Familiarisation with the data</w:t>
      </w:r>
    </w:p>
    <w:p w14:paraId="123CACF2" w14:textId="77777777" w:rsidR="005E69D0" w:rsidRPr="00FC187F" w:rsidRDefault="005E69D0" w:rsidP="00FC187F">
      <w:pPr>
        <w:numPr>
          <w:ilvl w:val="0"/>
          <w:numId w:val="10"/>
        </w:numPr>
        <w:spacing w:line="360" w:lineRule="auto"/>
        <w:jc w:val="both"/>
        <w:rPr>
          <w:rFonts w:ascii="Arial" w:eastAsiaTheme="majorEastAsia" w:hAnsi="Arial" w:cs="Arial"/>
          <w:bCs/>
          <w:sz w:val="22"/>
        </w:rPr>
      </w:pPr>
      <w:r w:rsidRPr="00FC187F">
        <w:rPr>
          <w:rFonts w:ascii="Arial" w:eastAsiaTheme="majorEastAsia" w:hAnsi="Arial" w:cs="Arial"/>
          <w:bCs/>
          <w:sz w:val="22"/>
        </w:rPr>
        <w:t>Coding of key concepts</w:t>
      </w:r>
    </w:p>
    <w:p w14:paraId="3CC3867F" w14:textId="77777777" w:rsidR="005E69D0" w:rsidRPr="00FC187F" w:rsidRDefault="005E69D0" w:rsidP="00FC187F">
      <w:pPr>
        <w:numPr>
          <w:ilvl w:val="0"/>
          <w:numId w:val="10"/>
        </w:numPr>
        <w:spacing w:line="360" w:lineRule="auto"/>
        <w:jc w:val="both"/>
        <w:rPr>
          <w:rFonts w:ascii="Arial" w:eastAsiaTheme="majorEastAsia" w:hAnsi="Arial" w:cs="Arial"/>
          <w:bCs/>
          <w:sz w:val="22"/>
        </w:rPr>
      </w:pPr>
      <w:r w:rsidRPr="00FC187F">
        <w:rPr>
          <w:rFonts w:ascii="Arial" w:eastAsiaTheme="majorEastAsia" w:hAnsi="Arial" w:cs="Arial"/>
          <w:bCs/>
          <w:sz w:val="22"/>
        </w:rPr>
        <w:t>Grouping codes into themes</w:t>
      </w:r>
    </w:p>
    <w:p w14:paraId="340B9406" w14:textId="77777777" w:rsidR="005E69D0" w:rsidRPr="00FC187F" w:rsidRDefault="005E69D0" w:rsidP="00FC187F">
      <w:pPr>
        <w:numPr>
          <w:ilvl w:val="0"/>
          <w:numId w:val="10"/>
        </w:numPr>
        <w:spacing w:line="360" w:lineRule="auto"/>
        <w:jc w:val="both"/>
        <w:rPr>
          <w:rFonts w:ascii="Arial" w:eastAsiaTheme="majorEastAsia" w:hAnsi="Arial" w:cs="Arial"/>
          <w:bCs/>
          <w:sz w:val="22"/>
        </w:rPr>
      </w:pPr>
      <w:r w:rsidRPr="00FC187F">
        <w:rPr>
          <w:rFonts w:ascii="Arial" w:eastAsiaTheme="majorEastAsia" w:hAnsi="Arial" w:cs="Arial"/>
          <w:bCs/>
          <w:sz w:val="22"/>
        </w:rPr>
        <w:t>Reviewing and refining themes</w:t>
      </w:r>
    </w:p>
    <w:p w14:paraId="3B3A7482" w14:textId="77777777" w:rsidR="005E69D0" w:rsidRPr="00FC187F" w:rsidRDefault="005E69D0" w:rsidP="00FC187F">
      <w:pPr>
        <w:numPr>
          <w:ilvl w:val="0"/>
          <w:numId w:val="10"/>
        </w:numPr>
        <w:spacing w:line="360" w:lineRule="auto"/>
        <w:jc w:val="both"/>
        <w:rPr>
          <w:rFonts w:ascii="Arial" w:eastAsiaTheme="majorEastAsia" w:hAnsi="Arial" w:cs="Arial"/>
          <w:bCs/>
          <w:sz w:val="22"/>
        </w:rPr>
      </w:pPr>
      <w:r w:rsidRPr="00FC187F">
        <w:rPr>
          <w:rFonts w:ascii="Arial" w:eastAsiaTheme="majorEastAsia" w:hAnsi="Arial" w:cs="Arial"/>
          <w:bCs/>
          <w:sz w:val="22"/>
        </w:rPr>
        <w:t>Defining and naming final themes</w:t>
      </w:r>
    </w:p>
    <w:p w14:paraId="4C948042"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process generated three overarching themes:</w:t>
      </w:r>
    </w:p>
    <w:p w14:paraId="7809466E" w14:textId="77777777" w:rsidR="005E69D0" w:rsidRPr="00FC187F" w:rsidRDefault="005E69D0" w:rsidP="00FC187F">
      <w:pPr>
        <w:numPr>
          <w:ilvl w:val="0"/>
          <w:numId w:val="11"/>
        </w:numPr>
        <w:spacing w:line="360" w:lineRule="auto"/>
        <w:jc w:val="both"/>
        <w:rPr>
          <w:rFonts w:ascii="Arial" w:eastAsiaTheme="majorEastAsia" w:hAnsi="Arial" w:cs="Arial"/>
          <w:bCs/>
          <w:sz w:val="22"/>
        </w:rPr>
      </w:pPr>
      <w:r w:rsidRPr="00FC187F">
        <w:rPr>
          <w:rFonts w:ascii="Arial" w:eastAsiaTheme="majorEastAsia" w:hAnsi="Arial" w:cs="Arial"/>
          <w:bCs/>
          <w:sz w:val="22"/>
        </w:rPr>
        <w:t>Access, convenience, and patient experience</w:t>
      </w:r>
    </w:p>
    <w:p w14:paraId="16DFDDBA" w14:textId="77777777" w:rsidR="005E69D0" w:rsidRPr="00FC187F" w:rsidRDefault="005E69D0" w:rsidP="00FC187F">
      <w:pPr>
        <w:numPr>
          <w:ilvl w:val="0"/>
          <w:numId w:val="11"/>
        </w:numPr>
        <w:spacing w:line="360" w:lineRule="auto"/>
        <w:jc w:val="both"/>
        <w:rPr>
          <w:rFonts w:ascii="Arial" w:eastAsiaTheme="majorEastAsia" w:hAnsi="Arial" w:cs="Arial"/>
          <w:bCs/>
          <w:sz w:val="22"/>
        </w:rPr>
      </w:pPr>
      <w:r w:rsidRPr="00FC187F">
        <w:rPr>
          <w:rFonts w:ascii="Arial" w:eastAsiaTheme="majorEastAsia" w:hAnsi="Arial" w:cs="Arial"/>
          <w:bCs/>
          <w:sz w:val="22"/>
        </w:rPr>
        <w:t>Workload, efficiency, and organisational impact</w:t>
      </w:r>
    </w:p>
    <w:p w14:paraId="2549F47A" w14:textId="77777777" w:rsidR="005E69D0" w:rsidRPr="00FC187F" w:rsidRDefault="005E69D0" w:rsidP="00FC187F">
      <w:pPr>
        <w:numPr>
          <w:ilvl w:val="0"/>
          <w:numId w:val="11"/>
        </w:numPr>
        <w:spacing w:line="360" w:lineRule="auto"/>
        <w:jc w:val="both"/>
        <w:rPr>
          <w:rFonts w:ascii="Arial" w:eastAsiaTheme="majorEastAsia" w:hAnsi="Arial" w:cs="Arial"/>
          <w:bCs/>
          <w:sz w:val="22"/>
        </w:rPr>
      </w:pPr>
      <w:r w:rsidRPr="00FC187F">
        <w:rPr>
          <w:rFonts w:ascii="Arial" w:eastAsiaTheme="majorEastAsia" w:hAnsi="Arial" w:cs="Arial"/>
          <w:bCs/>
          <w:sz w:val="22"/>
        </w:rPr>
        <w:t>Digital inequalities and implementation challenges</w:t>
      </w:r>
    </w:p>
    <w:p w14:paraId="21349FE0"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These themes form the basis of the Results and Discussion sections.</w:t>
      </w:r>
    </w:p>
    <w:p w14:paraId="7AE606A6"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3.7 Ethical Considerations</w:t>
      </w:r>
    </w:p>
    <w:p w14:paraId="659A09E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As this review involved secondary analysis of published studies, no ethical approval was required. All included studies had received ethical approval from their respective institutions. Care was taken to accurately represent findings and avoid misinterpretation.</w:t>
      </w:r>
    </w:p>
    <w:p w14:paraId="617C0AEF"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lastRenderedPageBreak/>
        <w:t>4. Results</w:t>
      </w:r>
    </w:p>
    <w:p w14:paraId="6EBC6F5A"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 total of five peer</w:t>
      </w:r>
      <w:r w:rsidRPr="00FC187F">
        <w:rPr>
          <w:rFonts w:ascii="Arial" w:eastAsiaTheme="majorEastAsia" w:hAnsi="Arial" w:cs="Arial"/>
          <w:bCs/>
          <w:sz w:val="22"/>
        </w:rPr>
        <w:noBreakHyphen/>
        <w:t>reviewed UK</w:t>
      </w:r>
      <w:r w:rsidRPr="00FC187F">
        <w:rPr>
          <w:rFonts w:ascii="Arial" w:eastAsiaTheme="majorEastAsia" w:hAnsi="Arial" w:cs="Arial"/>
          <w:bCs/>
          <w:sz w:val="22"/>
        </w:rPr>
        <w:noBreakHyphen/>
        <w:t>based studies met the inclusion criteria and were included in this scoping review. These studies examined different forms of digital health technologies used in primary care, including video consultations, online communication tools, telephone triage, and digital platforms supporting remote care. The studies used a range of qualitative, mixed</w:t>
      </w:r>
      <w:r w:rsidRPr="00FC187F">
        <w:rPr>
          <w:rFonts w:ascii="Arial" w:eastAsiaTheme="majorEastAsia" w:hAnsi="Arial" w:cs="Arial"/>
          <w:bCs/>
          <w:sz w:val="22"/>
        </w:rPr>
        <w:noBreakHyphen/>
        <w:t>methods, and observational designs, providing a broad understanding of how digital technologies are implemented and experienced within UK general practice.</w:t>
      </w:r>
    </w:p>
    <w:p w14:paraId="4E08CB8D"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findings from the included studies were synthesised using thematic analysis. Three overarching themes were identified:</w:t>
      </w:r>
    </w:p>
    <w:p w14:paraId="4275C3CD" w14:textId="77777777" w:rsidR="005E69D0" w:rsidRPr="00FC187F" w:rsidRDefault="005E69D0" w:rsidP="00FC187F">
      <w:pPr>
        <w:numPr>
          <w:ilvl w:val="0"/>
          <w:numId w:val="12"/>
        </w:numPr>
        <w:spacing w:line="360" w:lineRule="auto"/>
        <w:jc w:val="both"/>
        <w:rPr>
          <w:rFonts w:ascii="Arial" w:eastAsiaTheme="majorEastAsia" w:hAnsi="Arial" w:cs="Arial"/>
          <w:bCs/>
          <w:sz w:val="22"/>
        </w:rPr>
      </w:pPr>
      <w:r w:rsidRPr="00FC187F">
        <w:rPr>
          <w:rFonts w:ascii="Arial" w:eastAsiaTheme="majorEastAsia" w:hAnsi="Arial" w:cs="Arial"/>
          <w:bCs/>
          <w:sz w:val="22"/>
        </w:rPr>
        <w:t>Access, convenience, and patient experience</w:t>
      </w:r>
    </w:p>
    <w:p w14:paraId="3AE578AC" w14:textId="77777777" w:rsidR="005E69D0" w:rsidRPr="00FC187F" w:rsidRDefault="005E69D0" w:rsidP="00FC187F">
      <w:pPr>
        <w:numPr>
          <w:ilvl w:val="0"/>
          <w:numId w:val="12"/>
        </w:numPr>
        <w:spacing w:line="360" w:lineRule="auto"/>
        <w:jc w:val="both"/>
        <w:rPr>
          <w:rFonts w:ascii="Arial" w:eastAsiaTheme="majorEastAsia" w:hAnsi="Arial" w:cs="Arial"/>
          <w:bCs/>
          <w:sz w:val="22"/>
        </w:rPr>
      </w:pPr>
      <w:r w:rsidRPr="00FC187F">
        <w:rPr>
          <w:rFonts w:ascii="Arial" w:eastAsiaTheme="majorEastAsia" w:hAnsi="Arial" w:cs="Arial"/>
          <w:bCs/>
          <w:sz w:val="22"/>
        </w:rPr>
        <w:t>Workload, efficiency, and organisational impact</w:t>
      </w:r>
    </w:p>
    <w:p w14:paraId="1053393A" w14:textId="77777777" w:rsidR="005E69D0" w:rsidRPr="00FC187F" w:rsidRDefault="005E69D0" w:rsidP="00FC187F">
      <w:pPr>
        <w:numPr>
          <w:ilvl w:val="0"/>
          <w:numId w:val="12"/>
        </w:numPr>
        <w:spacing w:line="360" w:lineRule="auto"/>
        <w:jc w:val="both"/>
        <w:rPr>
          <w:rFonts w:ascii="Arial" w:eastAsiaTheme="majorEastAsia" w:hAnsi="Arial" w:cs="Arial"/>
          <w:bCs/>
          <w:sz w:val="22"/>
        </w:rPr>
      </w:pPr>
      <w:r w:rsidRPr="00FC187F">
        <w:rPr>
          <w:rFonts w:ascii="Arial" w:eastAsiaTheme="majorEastAsia" w:hAnsi="Arial" w:cs="Arial"/>
          <w:bCs/>
          <w:sz w:val="22"/>
        </w:rPr>
        <w:t>Digital inequalities and implementation challenges</w:t>
      </w:r>
    </w:p>
    <w:p w14:paraId="63C71845"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Before presenting the thematic findings, a summary table of the included studies is provided.</w:t>
      </w:r>
    </w:p>
    <w:p w14:paraId="67FB03BA"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4.1 Summary Table of Included Studies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3"/>
        <w:gridCol w:w="1592"/>
        <w:gridCol w:w="1241"/>
        <w:gridCol w:w="1572"/>
        <w:gridCol w:w="1654"/>
        <w:gridCol w:w="1624"/>
      </w:tblGrid>
      <w:tr w:rsidR="005E69D0" w:rsidRPr="00FC187F" w14:paraId="6350B2E8" w14:textId="77777777" w:rsidTr="005E69D0">
        <w:trPr>
          <w:tblCellSpacing w:w="15" w:type="dxa"/>
        </w:trPr>
        <w:tc>
          <w:tcPr>
            <w:tcW w:w="0" w:type="auto"/>
            <w:vAlign w:val="center"/>
            <w:hideMark/>
          </w:tcPr>
          <w:p w14:paraId="23CAEFA8"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Author &amp; Year</w:t>
            </w:r>
          </w:p>
        </w:tc>
        <w:tc>
          <w:tcPr>
            <w:tcW w:w="0" w:type="auto"/>
            <w:vAlign w:val="center"/>
            <w:hideMark/>
          </w:tcPr>
          <w:p w14:paraId="3B58C7E3"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Aim of Study</w:t>
            </w:r>
          </w:p>
        </w:tc>
        <w:tc>
          <w:tcPr>
            <w:tcW w:w="0" w:type="auto"/>
            <w:vAlign w:val="center"/>
            <w:hideMark/>
          </w:tcPr>
          <w:p w14:paraId="57F930B8"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Setting &amp; Participants</w:t>
            </w:r>
          </w:p>
        </w:tc>
        <w:tc>
          <w:tcPr>
            <w:tcW w:w="0" w:type="auto"/>
            <w:vAlign w:val="center"/>
            <w:hideMark/>
          </w:tcPr>
          <w:p w14:paraId="0DCEFA35"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Digital Technology Examined</w:t>
            </w:r>
          </w:p>
        </w:tc>
        <w:tc>
          <w:tcPr>
            <w:tcW w:w="0" w:type="auto"/>
            <w:vAlign w:val="center"/>
            <w:hideMark/>
          </w:tcPr>
          <w:p w14:paraId="5861844A"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Methods</w:t>
            </w:r>
          </w:p>
        </w:tc>
        <w:tc>
          <w:tcPr>
            <w:tcW w:w="0" w:type="auto"/>
            <w:vAlign w:val="center"/>
            <w:hideMark/>
          </w:tcPr>
          <w:p w14:paraId="301CFE33"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Key Findings</w:t>
            </w:r>
          </w:p>
        </w:tc>
      </w:tr>
      <w:tr w:rsidR="005E69D0" w:rsidRPr="00FC187F" w14:paraId="5B31383C" w14:textId="77777777" w:rsidTr="005E69D0">
        <w:trPr>
          <w:tblCellSpacing w:w="15" w:type="dxa"/>
        </w:trPr>
        <w:tc>
          <w:tcPr>
            <w:tcW w:w="0" w:type="auto"/>
            <w:vAlign w:val="center"/>
            <w:hideMark/>
          </w:tcPr>
          <w:p w14:paraId="29EC59F4"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Greenhalgh et al. (2018)</w:t>
            </w:r>
          </w:p>
        </w:tc>
        <w:tc>
          <w:tcPr>
            <w:tcW w:w="0" w:type="auto"/>
            <w:vAlign w:val="center"/>
            <w:hideMark/>
          </w:tcPr>
          <w:p w14:paraId="6B43C027"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To explore the use of remote consultations in UK general practice and understand their impact on care delivery.</w:t>
            </w:r>
          </w:p>
        </w:tc>
        <w:tc>
          <w:tcPr>
            <w:tcW w:w="0" w:type="auto"/>
            <w:vAlign w:val="center"/>
            <w:hideMark/>
          </w:tcPr>
          <w:p w14:paraId="212F8232"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General practices in England; GPs, practice staff, and patients.</w:t>
            </w:r>
          </w:p>
        </w:tc>
        <w:tc>
          <w:tcPr>
            <w:tcW w:w="0" w:type="auto"/>
            <w:vAlign w:val="center"/>
            <w:hideMark/>
          </w:tcPr>
          <w:p w14:paraId="36A26C8A"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Video consultations and remote communication tools.</w:t>
            </w:r>
          </w:p>
        </w:tc>
        <w:tc>
          <w:tcPr>
            <w:tcW w:w="0" w:type="auto"/>
            <w:vAlign w:val="center"/>
            <w:hideMark/>
          </w:tcPr>
          <w:p w14:paraId="102AC2B4"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Qualitative interviews and ethnographic observations.</w:t>
            </w:r>
          </w:p>
        </w:tc>
        <w:tc>
          <w:tcPr>
            <w:tcW w:w="0" w:type="auto"/>
            <w:vAlign w:val="center"/>
            <w:hideMark/>
          </w:tcPr>
          <w:p w14:paraId="537C1B54"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Remote consultations improved convenience but were not suitable for all patients; concerns about clinical risk and digital exclusion.</w:t>
            </w:r>
          </w:p>
        </w:tc>
      </w:tr>
      <w:tr w:rsidR="005E69D0" w:rsidRPr="00FC187F" w14:paraId="70829960" w14:textId="77777777" w:rsidTr="005E69D0">
        <w:trPr>
          <w:tblCellSpacing w:w="15" w:type="dxa"/>
        </w:trPr>
        <w:tc>
          <w:tcPr>
            <w:tcW w:w="0" w:type="auto"/>
            <w:vAlign w:val="center"/>
            <w:hideMark/>
          </w:tcPr>
          <w:p w14:paraId="0A474405"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Atherton et al. (2018)</w:t>
            </w:r>
          </w:p>
        </w:tc>
        <w:tc>
          <w:tcPr>
            <w:tcW w:w="0" w:type="auto"/>
            <w:vAlign w:val="center"/>
            <w:hideMark/>
          </w:tcPr>
          <w:p w14:paraId="6B092EB5"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 xml:space="preserve">To examine how patients use digital </w:t>
            </w:r>
            <w:r w:rsidRPr="00FC187F">
              <w:rPr>
                <w:rFonts w:ascii="Arial" w:eastAsiaTheme="majorEastAsia" w:hAnsi="Arial" w:cs="Arial"/>
                <w:sz w:val="22"/>
              </w:rPr>
              <w:lastRenderedPageBreak/>
              <w:t>communication methods to interact with primary care services.</w:t>
            </w:r>
          </w:p>
        </w:tc>
        <w:tc>
          <w:tcPr>
            <w:tcW w:w="0" w:type="auto"/>
            <w:vAlign w:val="center"/>
            <w:hideMark/>
          </w:tcPr>
          <w:p w14:paraId="5A51CD1D"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lastRenderedPageBreak/>
              <w:t xml:space="preserve">Patients from </w:t>
            </w:r>
            <w:r w:rsidRPr="00FC187F">
              <w:rPr>
                <w:rFonts w:ascii="Arial" w:eastAsiaTheme="majorEastAsia" w:hAnsi="Arial" w:cs="Arial"/>
                <w:sz w:val="22"/>
              </w:rPr>
              <w:lastRenderedPageBreak/>
              <w:t>multiple UK practices.</w:t>
            </w:r>
          </w:p>
        </w:tc>
        <w:tc>
          <w:tcPr>
            <w:tcW w:w="0" w:type="auto"/>
            <w:vAlign w:val="center"/>
            <w:hideMark/>
          </w:tcPr>
          <w:p w14:paraId="0F36B904"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lastRenderedPageBreak/>
              <w:t xml:space="preserve">Email, online messaging, and digital </w:t>
            </w:r>
            <w:r w:rsidRPr="00FC187F">
              <w:rPr>
                <w:rFonts w:ascii="Arial" w:eastAsiaTheme="majorEastAsia" w:hAnsi="Arial" w:cs="Arial"/>
                <w:sz w:val="22"/>
              </w:rPr>
              <w:lastRenderedPageBreak/>
              <w:t>communication platforms.</w:t>
            </w:r>
          </w:p>
        </w:tc>
        <w:tc>
          <w:tcPr>
            <w:tcW w:w="0" w:type="auto"/>
            <w:vAlign w:val="center"/>
            <w:hideMark/>
          </w:tcPr>
          <w:p w14:paraId="41647C03"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lastRenderedPageBreak/>
              <w:t>Mixed</w:t>
            </w:r>
            <w:r w:rsidRPr="00FC187F">
              <w:rPr>
                <w:rFonts w:ascii="Arial" w:eastAsiaTheme="majorEastAsia" w:hAnsi="Arial" w:cs="Arial"/>
                <w:sz w:val="22"/>
              </w:rPr>
              <w:noBreakHyphen/>
              <w:t>methods: surveys and interviews.</w:t>
            </w:r>
          </w:p>
        </w:tc>
        <w:tc>
          <w:tcPr>
            <w:tcW w:w="0" w:type="auto"/>
            <w:vAlign w:val="center"/>
            <w:hideMark/>
          </w:tcPr>
          <w:p w14:paraId="46F64359"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 xml:space="preserve">Digital communication increased </w:t>
            </w:r>
            <w:r w:rsidRPr="00FC187F">
              <w:rPr>
                <w:rFonts w:ascii="Arial" w:eastAsiaTheme="majorEastAsia" w:hAnsi="Arial" w:cs="Arial"/>
                <w:sz w:val="22"/>
              </w:rPr>
              <w:lastRenderedPageBreak/>
              <w:t>access but created uncertainty about appropriate use; risk of increased workload for clinicians.</w:t>
            </w:r>
          </w:p>
        </w:tc>
      </w:tr>
      <w:tr w:rsidR="005E69D0" w:rsidRPr="00FC187F" w14:paraId="06A33F3D" w14:textId="77777777" w:rsidTr="005E69D0">
        <w:trPr>
          <w:tblCellSpacing w:w="15" w:type="dxa"/>
        </w:trPr>
        <w:tc>
          <w:tcPr>
            <w:tcW w:w="0" w:type="auto"/>
            <w:vAlign w:val="center"/>
            <w:hideMark/>
          </w:tcPr>
          <w:p w14:paraId="5D42F53B"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lastRenderedPageBreak/>
              <w:t>Shaw et al. (2018)</w:t>
            </w:r>
          </w:p>
        </w:tc>
        <w:tc>
          <w:tcPr>
            <w:tcW w:w="0" w:type="auto"/>
            <w:vAlign w:val="center"/>
            <w:hideMark/>
          </w:tcPr>
          <w:p w14:paraId="6CC6ADED"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To investigate the implementation of digital health tools in primary care and identify barriers and facilitators.</w:t>
            </w:r>
          </w:p>
        </w:tc>
        <w:tc>
          <w:tcPr>
            <w:tcW w:w="0" w:type="auto"/>
            <w:vAlign w:val="center"/>
            <w:hideMark/>
          </w:tcPr>
          <w:p w14:paraId="1D0B409B"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General practices across England.</w:t>
            </w:r>
          </w:p>
        </w:tc>
        <w:tc>
          <w:tcPr>
            <w:tcW w:w="0" w:type="auto"/>
            <w:vAlign w:val="center"/>
            <w:hideMark/>
          </w:tcPr>
          <w:p w14:paraId="53BA362D"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Various digital tools including online consultations and messaging systems.</w:t>
            </w:r>
          </w:p>
        </w:tc>
        <w:tc>
          <w:tcPr>
            <w:tcW w:w="0" w:type="auto"/>
            <w:vAlign w:val="center"/>
            <w:hideMark/>
          </w:tcPr>
          <w:p w14:paraId="29BD3B35"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Qualitative case studies.</w:t>
            </w:r>
          </w:p>
        </w:tc>
        <w:tc>
          <w:tcPr>
            <w:tcW w:w="0" w:type="auto"/>
            <w:vAlign w:val="center"/>
            <w:hideMark/>
          </w:tcPr>
          <w:p w14:paraId="5B953871"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Implementation depended on organisational readiness; digital tools often added complexity rather than reducing workload.</w:t>
            </w:r>
          </w:p>
        </w:tc>
      </w:tr>
      <w:tr w:rsidR="005E69D0" w:rsidRPr="00FC187F" w14:paraId="63D7880F" w14:textId="77777777" w:rsidTr="005E69D0">
        <w:trPr>
          <w:tblCellSpacing w:w="15" w:type="dxa"/>
        </w:trPr>
        <w:tc>
          <w:tcPr>
            <w:tcW w:w="0" w:type="auto"/>
            <w:vAlign w:val="center"/>
            <w:hideMark/>
          </w:tcPr>
          <w:p w14:paraId="3FBDC820"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Hammersley et al. (2019)</w:t>
            </w:r>
          </w:p>
        </w:tc>
        <w:tc>
          <w:tcPr>
            <w:tcW w:w="0" w:type="auto"/>
            <w:vAlign w:val="center"/>
            <w:hideMark/>
          </w:tcPr>
          <w:p w14:paraId="6EB3399B"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To evaluate the effectiveness and acceptability of video consultations in general practice.</w:t>
            </w:r>
          </w:p>
        </w:tc>
        <w:tc>
          <w:tcPr>
            <w:tcW w:w="0" w:type="auto"/>
            <w:vAlign w:val="center"/>
            <w:hideMark/>
          </w:tcPr>
          <w:p w14:paraId="6CB5E22C"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GP practices in London; GPs and patients.</w:t>
            </w:r>
          </w:p>
        </w:tc>
        <w:tc>
          <w:tcPr>
            <w:tcW w:w="0" w:type="auto"/>
            <w:vAlign w:val="center"/>
            <w:hideMark/>
          </w:tcPr>
          <w:p w14:paraId="18B29D5C"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Video consultation platforms.</w:t>
            </w:r>
          </w:p>
        </w:tc>
        <w:tc>
          <w:tcPr>
            <w:tcW w:w="0" w:type="auto"/>
            <w:vAlign w:val="center"/>
            <w:hideMark/>
          </w:tcPr>
          <w:p w14:paraId="174B9124"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Observational study with qualitative interviews.</w:t>
            </w:r>
          </w:p>
        </w:tc>
        <w:tc>
          <w:tcPr>
            <w:tcW w:w="0" w:type="auto"/>
            <w:vAlign w:val="center"/>
            <w:hideMark/>
          </w:tcPr>
          <w:p w14:paraId="490BC6D4"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Video consultations were acceptable for simple issues but limited for complex cases; technical problems affected quality.</w:t>
            </w:r>
          </w:p>
        </w:tc>
      </w:tr>
      <w:tr w:rsidR="005E69D0" w:rsidRPr="00FC187F" w14:paraId="4BAB154B" w14:textId="77777777" w:rsidTr="005E69D0">
        <w:trPr>
          <w:tblCellSpacing w:w="15" w:type="dxa"/>
        </w:trPr>
        <w:tc>
          <w:tcPr>
            <w:tcW w:w="0" w:type="auto"/>
            <w:vAlign w:val="center"/>
            <w:hideMark/>
          </w:tcPr>
          <w:p w14:paraId="5E8B8781"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Murphy et al. (2021)</w:t>
            </w:r>
          </w:p>
        </w:tc>
        <w:tc>
          <w:tcPr>
            <w:tcW w:w="0" w:type="auto"/>
            <w:vAlign w:val="center"/>
            <w:hideMark/>
          </w:tcPr>
          <w:p w14:paraId="29DA5AD3"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 xml:space="preserve">To assess the impact of remote triage and digital </w:t>
            </w:r>
            <w:r w:rsidRPr="00FC187F">
              <w:rPr>
                <w:rFonts w:ascii="Arial" w:eastAsiaTheme="majorEastAsia" w:hAnsi="Arial" w:cs="Arial"/>
                <w:sz w:val="22"/>
              </w:rPr>
              <w:lastRenderedPageBreak/>
              <w:t>access during COVID</w:t>
            </w:r>
            <w:r w:rsidRPr="00FC187F">
              <w:rPr>
                <w:rFonts w:ascii="Arial" w:eastAsiaTheme="majorEastAsia" w:hAnsi="Arial" w:cs="Arial"/>
                <w:sz w:val="22"/>
              </w:rPr>
              <w:noBreakHyphen/>
              <w:t>19.</w:t>
            </w:r>
          </w:p>
        </w:tc>
        <w:tc>
          <w:tcPr>
            <w:tcW w:w="0" w:type="auto"/>
            <w:vAlign w:val="center"/>
            <w:hideMark/>
          </w:tcPr>
          <w:p w14:paraId="38DB06E7"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lastRenderedPageBreak/>
              <w:t>General practices in England during the pandemic.</w:t>
            </w:r>
          </w:p>
        </w:tc>
        <w:tc>
          <w:tcPr>
            <w:tcW w:w="0" w:type="auto"/>
            <w:vAlign w:val="center"/>
            <w:hideMark/>
          </w:tcPr>
          <w:p w14:paraId="45A492E0"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Telephone triage, online triage, and remote consultations.</w:t>
            </w:r>
          </w:p>
        </w:tc>
        <w:tc>
          <w:tcPr>
            <w:tcW w:w="0" w:type="auto"/>
            <w:vAlign w:val="center"/>
            <w:hideMark/>
          </w:tcPr>
          <w:p w14:paraId="55A375BD"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Mixed</w:t>
            </w:r>
            <w:r w:rsidRPr="00FC187F">
              <w:rPr>
                <w:rFonts w:ascii="Arial" w:eastAsiaTheme="majorEastAsia" w:hAnsi="Arial" w:cs="Arial"/>
                <w:sz w:val="22"/>
              </w:rPr>
              <w:noBreakHyphen/>
              <w:t>methods: surveys, interviews, and practice data.</w:t>
            </w:r>
          </w:p>
        </w:tc>
        <w:tc>
          <w:tcPr>
            <w:tcW w:w="0" w:type="auto"/>
            <w:vAlign w:val="center"/>
            <w:hideMark/>
          </w:tcPr>
          <w:p w14:paraId="7AE8AFBE"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 xml:space="preserve">Remote triage increased demand and administrative workload; some </w:t>
            </w:r>
            <w:r w:rsidRPr="00FC187F">
              <w:rPr>
                <w:rFonts w:ascii="Arial" w:eastAsiaTheme="majorEastAsia" w:hAnsi="Arial" w:cs="Arial"/>
                <w:sz w:val="22"/>
              </w:rPr>
              <w:lastRenderedPageBreak/>
              <w:t>patients struggled with digital systems.</w:t>
            </w:r>
          </w:p>
        </w:tc>
      </w:tr>
    </w:tbl>
    <w:p w14:paraId="7D5CAF17"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lastRenderedPageBreak/>
        <w:t>4.2 Thematic Analysis</w:t>
      </w:r>
    </w:p>
    <w:p w14:paraId="67B6052E"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thematic analysis identified three major themes across the five studies. These themes reflect the key issues surrounding the implementation and impact of digital health technologies in UK primary care.</w:t>
      </w:r>
    </w:p>
    <w:p w14:paraId="4CF1B16B"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Theme 1: Access, Convenience, and Patient Experience</w:t>
      </w:r>
    </w:p>
    <w:p w14:paraId="6F302B70"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Across all studies, digital health technologies were found to improve access and convenience for many patients. Video consultations, online messaging, and digital triage systems allowed patients to contact their GP without needing to attend the practice in person. Greenhalgh et al. (2018) and Hammersley et al. (2019) reported that patients appreciated the flexibility of remote consultations, particularly for minor or straightforward health concerns. Digital tools also reduced travel time and made it easier for working adults, carers, and those with mobility issues to access care.</w:t>
      </w:r>
    </w:p>
    <w:p w14:paraId="25FF522A"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Atherton et al. (2018) found that digital communication methods such as email and online messaging were valued for their speed and simplicity. Patients reported feeling more in control of their care and appreciated being able to communicate with their GP at a time that suited them.</w:t>
      </w:r>
    </w:p>
    <w:p w14:paraId="4EFFCD1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However, the studies also highlighted limitations. Remote consultations were often unsuitable for complex or sensitive issues, where physical examination or in</w:t>
      </w:r>
      <w:r w:rsidRPr="00FC187F">
        <w:rPr>
          <w:rFonts w:ascii="Arial" w:eastAsiaTheme="majorEastAsia" w:hAnsi="Arial" w:cs="Arial"/>
          <w:bCs/>
          <w:sz w:val="22"/>
        </w:rPr>
        <w:noBreakHyphen/>
        <w:t>person interaction was necessary. Some patients felt that digital consultations were less personal and that communication could be more difficult. Technical issues, such as poor internet connection or unfamiliarity with digital platforms, also affected patient experience (Hammersley et al., 2019).</w:t>
      </w:r>
    </w:p>
    <w:p w14:paraId="466B5E78" w14:textId="77777777" w:rsidR="005E69D0" w:rsidRPr="00FC187F" w:rsidRDefault="005E69D0" w:rsidP="00FC187F">
      <w:pPr>
        <w:spacing w:line="360" w:lineRule="auto"/>
        <w:jc w:val="both"/>
        <w:rPr>
          <w:rFonts w:ascii="Arial" w:eastAsiaTheme="majorEastAsia" w:hAnsi="Arial" w:cs="Arial"/>
          <w:b/>
          <w:sz w:val="22"/>
        </w:rPr>
      </w:pPr>
      <w:r w:rsidRPr="00FC187F">
        <w:rPr>
          <w:rFonts w:ascii="Arial" w:eastAsiaTheme="majorEastAsia" w:hAnsi="Arial" w:cs="Arial"/>
          <w:bCs/>
          <w:sz w:val="22"/>
        </w:rPr>
        <w:t>Overall, digital technologies enhanced access for many but did not replace the need for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care.</w:t>
      </w:r>
    </w:p>
    <w:p w14:paraId="2013F225"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Theme 2: Workload, Efficiency, and Organisational Impact</w:t>
      </w:r>
    </w:p>
    <w:p w14:paraId="383D3309"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impact of digital technologies on GP workload was mixed. While policymakers often promote digital tools as a way to reduce pressure on primary care, the evidence from the included studies suggests a more complex picture.</w:t>
      </w:r>
    </w:p>
    <w:p w14:paraId="1EDB9F96"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 xml:space="preserve">Shaw et al. (2018) found that digital tools frequently added new layers of work, such as managing online messages, responding to digital queries, and navigating multiple platforms. </w:t>
      </w:r>
      <w:r w:rsidRPr="00FC187F">
        <w:rPr>
          <w:rFonts w:ascii="Arial" w:eastAsiaTheme="majorEastAsia" w:hAnsi="Arial" w:cs="Arial"/>
          <w:bCs/>
          <w:sz w:val="22"/>
        </w:rPr>
        <w:lastRenderedPageBreak/>
        <w:t>Instead of reducing workload, digital systems sometimes increased administrative tasks and created additional demands on staff time.</w:t>
      </w:r>
    </w:p>
    <w:p w14:paraId="6A86039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Murphy et al. (2021) reported that during the COVID</w:t>
      </w:r>
      <w:r w:rsidRPr="00FC187F">
        <w:rPr>
          <w:rFonts w:ascii="Arial" w:eastAsiaTheme="majorEastAsia" w:hAnsi="Arial" w:cs="Arial"/>
          <w:bCs/>
          <w:sz w:val="22"/>
        </w:rPr>
        <w:noBreakHyphen/>
        <w:t>19 pandemic, remote triage systems led to a surge in demand, as patients found it easier to contact their GP. This increased the volume of consultations and placed additional pressure on practices already facing workforce shortages.</w:t>
      </w:r>
    </w:p>
    <w:p w14:paraId="3245EB91"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Atherton et al. (2018) also noted that clinicians were often uncertain about how to manage digital communication, particularly when patients used email or messaging for issues requiring clinical assessment. This created concerns about safety, boundaries, and workload management.</w:t>
      </w:r>
    </w:p>
    <w:p w14:paraId="3F6AD65E"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However, some benefits were identified. Digital triage helped prioritise urgent cases, and video consultations were efficient for simple issues. Practices with strong organisational readiness and good digital infrastructure were more likely to experience positive impacts (Shaw et al., 2018).</w:t>
      </w:r>
    </w:p>
    <w:p w14:paraId="00AEB2F0"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Theme 3: Digital Inequalities and Implementation Challenges</w:t>
      </w:r>
    </w:p>
    <w:p w14:paraId="49134C0C"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All five studies highlighted concerns about digital exclusion. Older adults, people with disabilities, those with limited digital literacy, and individuals without reliable internet access were less able to use digital tools effectively (Greenhalgh et al., 2018). This created a risk that digital-first approaches could widen health inequalities.</w:t>
      </w:r>
    </w:p>
    <w:p w14:paraId="04593E4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Implementation challenges were also common. Practices struggled with:</w:t>
      </w:r>
    </w:p>
    <w:p w14:paraId="6EB80263" w14:textId="77777777" w:rsidR="005E69D0" w:rsidRPr="00FC187F" w:rsidRDefault="005E69D0" w:rsidP="00FC187F">
      <w:pPr>
        <w:numPr>
          <w:ilvl w:val="0"/>
          <w:numId w:val="13"/>
        </w:numPr>
        <w:spacing w:line="360" w:lineRule="auto"/>
        <w:jc w:val="both"/>
        <w:rPr>
          <w:rFonts w:ascii="Arial" w:eastAsiaTheme="majorEastAsia" w:hAnsi="Arial" w:cs="Arial"/>
          <w:bCs/>
          <w:sz w:val="22"/>
        </w:rPr>
      </w:pPr>
      <w:r w:rsidRPr="00FC187F">
        <w:rPr>
          <w:rFonts w:ascii="Arial" w:eastAsiaTheme="majorEastAsia" w:hAnsi="Arial" w:cs="Arial"/>
          <w:bCs/>
          <w:sz w:val="22"/>
        </w:rPr>
        <w:t>technical problems</w:t>
      </w:r>
    </w:p>
    <w:p w14:paraId="244077D1" w14:textId="77777777" w:rsidR="005E69D0" w:rsidRPr="00FC187F" w:rsidRDefault="005E69D0" w:rsidP="00FC187F">
      <w:pPr>
        <w:numPr>
          <w:ilvl w:val="0"/>
          <w:numId w:val="13"/>
        </w:numPr>
        <w:spacing w:line="360" w:lineRule="auto"/>
        <w:jc w:val="both"/>
        <w:rPr>
          <w:rFonts w:ascii="Arial" w:eastAsiaTheme="majorEastAsia" w:hAnsi="Arial" w:cs="Arial"/>
          <w:bCs/>
          <w:sz w:val="22"/>
        </w:rPr>
      </w:pPr>
      <w:r w:rsidRPr="00FC187F">
        <w:rPr>
          <w:rFonts w:ascii="Arial" w:eastAsiaTheme="majorEastAsia" w:hAnsi="Arial" w:cs="Arial"/>
          <w:bCs/>
          <w:sz w:val="22"/>
        </w:rPr>
        <w:t>lack of training</w:t>
      </w:r>
    </w:p>
    <w:p w14:paraId="58415D79" w14:textId="77777777" w:rsidR="005E69D0" w:rsidRPr="00FC187F" w:rsidRDefault="005E69D0" w:rsidP="00FC187F">
      <w:pPr>
        <w:numPr>
          <w:ilvl w:val="0"/>
          <w:numId w:val="13"/>
        </w:numPr>
        <w:spacing w:line="360" w:lineRule="auto"/>
        <w:jc w:val="both"/>
        <w:rPr>
          <w:rFonts w:ascii="Arial" w:eastAsiaTheme="majorEastAsia" w:hAnsi="Arial" w:cs="Arial"/>
          <w:bCs/>
          <w:sz w:val="22"/>
        </w:rPr>
      </w:pPr>
      <w:r w:rsidRPr="00FC187F">
        <w:rPr>
          <w:rFonts w:ascii="Arial" w:eastAsiaTheme="majorEastAsia" w:hAnsi="Arial" w:cs="Arial"/>
          <w:bCs/>
          <w:sz w:val="22"/>
        </w:rPr>
        <w:t>limited resources</w:t>
      </w:r>
    </w:p>
    <w:p w14:paraId="5EABCEE9" w14:textId="77777777" w:rsidR="005E69D0" w:rsidRPr="00FC187F" w:rsidRDefault="005E69D0" w:rsidP="00FC187F">
      <w:pPr>
        <w:numPr>
          <w:ilvl w:val="0"/>
          <w:numId w:val="13"/>
        </w:numPr>
        <w:spacing w:line="360" w:lineRule="auto"/>
        <w:jc w:val="both"/>
        <w:rPr>
          <w:rFonts w:ascii="Arial" w:eastAsiaTheme="majorEastAsia" w:hAnsi="Arial" w:cs="Arial"/>
          <w:bCs/>
          <w:sz w:val="22"/>
        </w:rPr>
      </w:pPr>
      <w:r w:rsidRPr="00FC187F">
        <w:rPr>
          <w:rFonts w:ascii="Arial" w:eastAsiaTheme="majorEastAsia" w:hAnsi="Arial" w:cs="Arial"/>
          <w:bCs/>
          <w:sz w:val="22"/>
        </w:rPr>
        <w:t>poor integration between digital systems</w:t>
      </w:r>
    </w:p>
    <w:p w14:paraId="002DA654" w14:textId="77777777" w:rsidR="005E69D0" w:rsidRPr="00FC187F" w:rsidRDefault="005E69D0" w:rsidP="00FC187F">
      <w:pPr>
        <w:numPr>
          <w:ilvl w:val="0"/>
          <w:numId w:val="13"/>
        </w:numPr>
        <w:spacing w:line="360" w:lineRule="auto"/>
        <w:jc w:val="both"/>
        <w:rPr>
          <w:rFonts w:ascii="Arial" w:eastAsiaTheme="majorEastAsia" w:hAnsi="Arial" w:cs="Arial"/>
          <w:bCs/>
          <w:sz w:val="22"/>
        </w:rPr>
      </w:pPr>
      <w:r w:rsidRPr="00FC187F">
        <w:rPr>
          <w:rFonts w:ascii="Arial" w:eastAsiaTheme="majorEastAsia" w:hAnsi="Arial" w:cs="Arial"/>
          <w:bCs/>
          <w:sz w:val="22"/>
        </w:rPr>
        <w:t>uncertainty about best practice</w:t>
      </w:r>
    </w:p>
    <w:p w14:paraId="72528448"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Shaw et al. (2018) emphasised that successful implementation required organisational support, staff engagement, and adequate training. Without these factors, digital tools often created frustration and inefficiency.</w:t>
      </w:r>
    </w:p>
    <w:p w14:paraId="62A9BEF5"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Murphy et al. (2021) found that during the pandemic, the rapid shift to remote care meant that many practices adopted digital systems without sufficient preparation. This led to inconsistent experiences for both patients and clinicians.</w:t>
      </w:r>
    </w:p>
    <w:p w14:paraId="250FAE86"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lastRenderedPageBreak/>
        <w:t>5. Discussion</w:t>
      </w:r>
    </w:p>
    <w:p w14:paraId="65A70546"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scoping review explored the current evidence on the implementation and impact of digital health technologies in UK primary care. The five included studies provide valuable insights into how digital tools such as video consultations, online messaging systems, and remote triage are being used in general practice. The findings highlight both the potential benefits of digital technologies and the significant challenges that accompany their implementation. This discussion interprets the results in relation to existing UK policy, wider literature, and the practical realities of primary care delivery.</w:t>
      </w:r>
    </w:p>
    <w:p w14:paraId="538229EB"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5.1 Interpretation of Key Findings</w:t>
      </w:r>
    </w:p>
    <w:p w14:paraId="438EEDE5"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
          <w:sz w:val="22"/>
        </w:rPr>
        <w:t>The first major them</w:t>
      </w:r>
      <w:r w:rsidRPr="00FC187F">
        <w:rPr>
          <w:rFonts w:ascii="Arial" w:eastAsiaTheme="majorEastAsia" w:hAnsi="Arial" w:cs="Arial"/>
          <w:bCs/>
          <w:sz w:val="22"/>
        </w:rPr>
        <w:t>e identified was access, convenience, and patient experience. Across the studies, digital technologies were shown to improve access for many patients by offering flexible and convenient alternatives to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appointments. This aligns with national policy goals outlined in the NHS Long Term Plan (2019), which emphasises the need for digitally enabled care. Patients valued the ability to communicate with their GP remotely, particularly for simple or routine issues. This suggests that digital tools can support patient</w:t>
      </w:r>
      <w:r w:rsidRPr="00FC187F">
        <w:rPr>
          <w:rFonts w:ascii="Arial" w:eastAsiaTheme="majorEastAsia" w:hAnsi="Arial" w:cs="Arial"/>
          <w:bCs/>
          <w:sz w:val="22"/>
        </w:rPr>
        <w:noBreakHyphen/>
        <w:t>centred care by offering greater choice and reducing barriers such as travel, time off work, or mobility limitations.</w:t>
      </w:r>
    </w:p>
    <w:p w14:paraId="5D4935A5"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However, the evidence also indicates that digital consultations are not suitable for all situations. Complex, sensitive, or urgent issues often require in</w:t>
      </w:r>
      <w:r w:rsidRPr="00FC187F">
        <w:rPr>
          <w:rFonts w:ascii="Arial" w:eastAsiaTheme="majorEastAsia" w:hAnsi="Arial" w:cs="Arial"/>
          <w:bCs/>
          <w:sz w:val="22"/>
        </w:rPr>
        <w:noBreakHyphen/>
        <w:t>person assessment, and some patients reported feeling less comfortable or less understood during remote consultations. These findings echo wider research showing that digital care works best when used selectively and alongside traditional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services. The challenge for primary care is therefore to balance digital access with clinical appropriateness and patient preference.</w:t>
      </w:r>
    </w:p>
    <w:p w14:paraId="5C9BD168"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b/>
          <w:sz w:val="22"/>
        </w:rPr>
        <w:t xml:space="preserve">The second theme, </w:t>
      </w:r>
      <w:r w:rsidRPr="00FC187F">
        <w:rPr>
          <w:rFonts w:ascii="Arial" w:eastAsiaTheme="majorEastAsia" w:hAnsi="Arial" w:cs="Arial"/>
          <w:sz w:val="22"/>
        </w:rPr>
        <w:t>workload, efficiency, and organisational impact, revealed a more mixed picture. While policymakers often promote digital technologies as a way to reduce GP workload, the studies included in this review suggest that the impact is far from straightforward. In some cases, digital tools increased efficiency by enabling quick consultations for straightforward issues. However, they also generated new administrative tasks, increased the volume of patient contacts, and created uncertainty about how to manage digital communication safely.</w:t>
      </w:r>
    </w:p>
    <w:p w14:paraId="60BD7425"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Murphy et al. (2021) found that remote triage during the COVID</w:t>
      </w:r>
      <w:r w:rsidRPr="00FC187F">
        <w:rPr>
          <w:rFonts w:ascii="Arial" w:eastAsiaTheme="majorEastAsia" w:hAnsi="Arial" w:cs="Arial"/>
          <w:sz w:val="22"/>
        </w:rPr>
        <w:noBreakHyphen/>
        <w:t xml:space="preserve">19 pandemic led to a surge in demand, as patients found it easier to contact their GP. This reflects a broader concern that digital access may increase expectations and workload rather than reduce it. Shaw et al. (2018) also highlighted that digital tools often added complexity to existing workflows, </w:t>
      </w:r>
      <w:r w:rsidRPr="00FC187F">
        <w:rPr>
          <w:rFonts w:ascii="Arial" w:eastAsiaTheme="majorEastAsia" w:hAnsi="Arial" w:cs="Arial"/>
          <w:sz w:val="22"/>
        </w:rPr>
        <w:lastRenderedPageBreak/>
        <w:t>particularly when systems were poorly integrated or staff were not adequately trained. These findings suggest that digital transformation requires careful planning, investment, and organisational support to avoid unintended consequences.</w:t>
      </w:r>
    </w:p>
    <w:p w14:paraId="5F1DA8D3"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
          <w:sz w:val="22"/>
        </w:rPr>
        <w:t>The third theme,</w:t>
      </w:r>
      <w:r w:rsidRPr="00FC187F">
        <w:rPr>
          <w:rFonts w:ascii="Arial" w:eastAsiaTheme="majorEastAsia" w:hAnsi="Arial" w:cs="Arial"/>
          <w:bCs/>
          <w:sz w:val="22"/>
        </w:rPr>
        <w:t xml:space="preserve"> digital inequalities and implementation challenges, raises important concerns about fairness and accessibility. All five studies identified groups who were less able to use digital tools effectively, including older adults, people with disabilities, and those with limited digital literacy or internet access. This is consistent with national data showing persistent digital exclusion in the UK. If digital-first approaches become the default, there is a risk that vulnerable groups may face greater barriers to accessing care.</w:t>
      </w:r>
    </w:p>
    <w:p w14:paraId="0FE28A63"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Implementation challenges were also widespread. Practices reported technical problems, lack of training, and difficulties integrating new systems into existing workflows. These challenges highlight the need for ongoing support, investment in digital infrastructure, and clear guidance for both clinicians and patients.</w:t>
      </w:r>
    </w:p>
    <w:p w14:paraId="00E3A261"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5.2 Links to UK Policy and Practice</w:t>
      </w:r>
    </w:p>
    <w:p w14:paraId="37D90F5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findings of this review have important implications for UK policy. National strategies such as the NHS Long Term Plan and the GP Access Recovery Plan strongly promote digital transformation. However, the evidence suggests that digital tools must be implemented carefully to avoid increasing workload or widening inequalities. Policymakers should recognise that digital care is not a simple solution to workforce pressures and that successful implementation requires investment in training, infrastructure, and support for patients.</w:t>
      </w:r>
    </w:p>
    <w:p w14:paraId="1D2F88D4" w14:textId="77777777" w:rsidR="005E69D0" w:rsidRPr="00FC187F" w:rsidRDefault="005E69D0" w:rsidP="00FC187F">
      <w:pPr>
        <w:spacing w:line="360" w:lineRule="auto"/>
        <w:jc w:val="both"/>
        <w:rPr>
          <w:rFonts w:ascii="Arial" w:eastAsiaTheme="majorEastAsia" w:hAnsi="Arial" w:cs="Arial"/>
          <w:b/>
          <w:sz w:val="22"/>
        </w:rPr>
      </w:pPr>
      <w:r w:rsidRPr="00FC187F">
        <w:rPr>
          <w:rFonts w:ascii="Arial" w:eastAsiaTheme="majorEastAsia" w:hAnsi="Arial" w:cs="Arial"/>
          <w:bCs/>
          <w:sz w:val="22"/>
        </w:rPr>
        <w:t>The findings also support the need for a hybrid model of care, where digital and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services are used flexibly based on patient needs and clinical judgement. This approach aligns with recent NHS guidance emphasising personalised care and shared decision</w:t>
      </w:r>
      <w:r w:rsidRPr="00FC187F">
        <w:rPr>
          <w:rFonts w:ascii="Arial" w:eastAsiaTheme="majorEastAsia" w:hAnsi="Arial" w:cs="Arial"/>
          <w:bCs/>
          <w:sz w:val="22"/>
        </w:rPr>
        <w:noBreakHyphen/>
        <w:t>making.</w:t>
      </w:r>
    </w:p>
    <w:p w14:paraId="43A0FFBD"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5.3 Strengths and Limitations of the Evidence</w:t>
      </w:r>
    </w:p>
    <w:p w14:paraId="127FBD85"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The studies included in this review provide rich qualitative and mixed</w:t>
      </w:r>
      <w:r w:rsidRPr="00FC187F">
        <w:rPr>
          <w:rFonts w:ascii="Arial" w:eastAsiaTheme="majorEastAsia" w:hAnsi="Arial" w:cs="Arial"/>
          <w:bCs/>
          <w:sz w:val="22"/>
        </w:rPr>
        <w:noBreakHyphen/>
        <w:t>methods insights into the experiences of patients and clinicians. They offer detailed accounts of how digital tools are used in practice and highlight the complexities of implementation. However, the evidence base also has limitations.</w:t>
      </w:r>
    </w:p>
    <w:p w14:paraId="49965236"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Most studies were conducted in England, with limited representation from Scotland, Wales, or Northern Ireland. Sample sizes were often small, and findings may not be generalisable to all practices. There is also a lack of long</w:t>
      </w:r>
      <w:r w:rsidRPr="00FC187F">
        <w:rPr>
          <w:rFonts w:ascii="Arial" w:eastAsiaTheme="majorEastAsia" w:hAnsi="Arial" w:cs="Arial"/>
          <w:bCs/>
          <w:sz w:val="22"/>
        </w:rPr>
        <w:noBreakHyphen/>
        <w:t>term evaluation of digital technologies, particularly regarding their impact on health outcomes, continuity of care, and cost</w:t>
      </w:r>
      <w:r w:rsidRPr="00FC187F">
        <w:rPr>
          <w:rFonts w:ascii="Arial" w:eastAsiaTheme="majorEastAsia" w:hAnsi="Arial" w:cs="Arial"/>
          <w:bCs/>
          <w:sz w:val="22"/>
        </w:rPr>
        <w:noBreakHyphen/>
        <w:t>effectiveness.</w:t>
      </w:r>
    </w:p>
    <w:p w14:paraId="26DCB29E"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5.4 Implications for Practice</w:t>
      </w:r>
    </w:p>
    <w:p w14:paraId="7BBD186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lastRenderedPageBreak/>
        <w:t>The findings suggest several implications for UK primary care:</w:t>
      </w:r>
    </w:p>
    <w:p w14:paraId="205F4DA4" w14:textId="77777777" w:rsidR="005E69D0" w:rsidRPr="00FC187F" w:rsidRDefault="005E69D0" w:rsidP="00FC187F">
      <w:pPr>
        <w:numPr>
          <w:ilvl w:val="0"/>
          <w:numId w:val="14"/>
        </w:numPr>
        <w:spacing w:line="360" w:lineRule="auto"/>
        <w:jc w:val="both"/>
        <w:rPr>
          <w:rFonts w:ascii="Arial" w:eastAsiaTheme="majorEastAsia" w:hAnsi="Arial" w:cs="Arial"/>
          <w:bCs/>
          <w:sz w:val="22"/>
        </w:rPr>
      </w:pPr>
      <w:r w:rsidRPr="00FC187F">
        <w:rPr>
          <w:rFonts w:ascii="Arial" w:eastAsiaTheme="majorEastAsia" w:hAnsi="Arial" w:cs="Arial"/>
          <w:bCs/>
          <w:sz w:val="22"/>
        </w:rPr>
        <w:t>Digital tools should be used selectively and not as a</w:t>
      </w:r>
      <w:r w:rsidRPr="00FC187F">
        <w:rPr>
          <w:rFonts w:ascii="Arial" w:eastAsiaTheme="majorEastAsia" w:hAnsi="Arial" w:cs="Arial"/>
          <w:b/>
          <w:sz w:val="22"/>
        </w:rPr>
        <w:t xml:space="preserve"> </w:t>
      </w:r>
      <w:r w:rsidRPr="00FC187F">
        <w:rPr>
          <w:rFonts w:ascii="Arial" w:eastAsiaTheme="majorEastAsia" w:hAnsi="Arial" w:cs="Arial"/>
          <w:bCs/>
          <w:sz w:val="22"/>
        </w:rPr>
        <w:t>replacement for face</w:t>
      </w:r>
      <w:r w:rsidRPr="00FC187F">
        <w:rPr>
          <w:rFonts w:ascii="Arial" w:eastAsiaTheme="majorEastAsia" w:hAnsi="Arial" w:cs="Arial"/>
          <w:bCs/>
          <w:sz w:val="22"/>
        </w:rPr>
        <w:noBreakHyphen/>
        <w:t>to</w:t>
      </w:r>
      <w:r w:rsidRPr="00FC187F">
        <w:rPr>
          <w:rFonts w:ascii="Arial" w:eastAsiaTheme="majorEastAsia" w:hAnsi="Arial" w:cs="Arial"/>
          <w:bCs/>
          <w:sz w:val="22"/>
        </w:rPr>
        <w:noBreakHyphen/>
        <w:t>face care.</w:t>
      </w:r>
    </w:p>
    <w:p w14:paraId="0332550A" w14:textId="77777777" w:rsidR="005E69D0" w:rsidRPr="00FC187F" w:rsidRDefault="005E69D0" w:rsidP="00FC187F">
      <w:pPr>
        <w:numPr>
          <w:ilvl w:val="0"/>
          <w:numId w:val="14"/>
        </w:numPr>
        <w:spacing w:line="360" w:lineRule="auto"/>
        <w:jc w:val="both"/>
        <w:rPr>
          <w:rFonts w:ascii="Arial" w:eastAsiaTheme="majorEastAsia" w:hAnsi="Arial" w:cs="Arial"/>
          <w:bCs/>
          <w:sz w:val="22"/>
        </w:rPr>
      </w:pPr>
      <w:r w:rsidRPr="00FC187F">
        <w:rPr>
          <w:rFonts w:ascii="Arial" w:eastAsiaTheme="majorEastAsia" w:hAnsi="Arial" w:cs="Arial"/>
          <w:bCs/>
          <w:sz w:val="22"/>
        </w:rPr>
        <w:t>Practices need adequate training, resources, and support to implement digital systems effectively.</w:t>
      </w:r>
    </w:p>
    <w:p w14:paraId="3CF5068C" w14:textId="77777777" w:rsidR="005E69D0" w:rsidRPr="00FC187F" w:rsidRDefault="005E69D0" w:rsidP="00FC187F">
      <w:pPr>
        <w:numPr>
          <w:ilvl w:val="0"/>
          <w:numId w:val="14"/>
        </w:numPr>
        <w:spacing w:line="360" w:lineRule="auto"/>
        <w:jc w:val="both"/>
        <w:rPr>
          <w:rFonts w:ascii="Arial" w:eastAsiaTheme="majorEastAsia" w:hAnsi="Arial" w:cs="Arial"/>
          <w:bCs/>
          <w:sz w:val="22"/>
        </w:rPr>
      </w:pPr>
      <w:r w:rsidRPr="00FC187F">
        <w:rPr>
          <w:rFonts w:ascii="Arial" w:eastAsiaTheme="majorEastAsia" w:hAnsi="Arial" w:cs="Arial"/>
          <w:bCs/>
          <w:sz w:val="22"/>
        </w:rPr>
        <w:t>Efforts to reduce digital exclusion must be prioritised, including support for patients with low digital literacy.</w:t>
      </w:r>
    </w:p>
    <w:p w14:paraId="1F08FF42" w14:textId="77777777" w:rsidR="005E69D0" w:rsidRPr="00FC187F" w:rsidRDefault="005E69D0" w:rsidP="00FC187F">
      <w:pPr>
        <w:numPr>
          <w:ilvl w:val="0"/>
          <w:numId w:val="14"/>
        </w:numPr>
        <w:spacing w:line="360" w:lineRule="auto"/>
        <w:jc w:val="both"/>
        <w:rPr>
          <w:rFonts w:ascii="Arial" w:eastAsiaTheme="majorEastAsia" w:hAnsi="Arial" w:cs="Arial"/>
          <w:bCs/>
          <w:sz w:val="22"/>
        </w:rPr>
      </w:pPr>
      <w:r w:rsidRPr="00FC187F">
        <w:rPr>
          <w:rFonts w:ascii="Arial" w:eastAsiaTheme="majorEastAsia" w:hAnsi="Arial" w:cs="Arial"/>
          <w:bCs/>
          <w:sz w:val="22"/>
        </w:rPr>
        <w:t>Digital systems must be integrated into existing workflows to avoid increasing administrative burden.</w:t>
      </w:r>
    </w:p>
    <w:p w14:paraId="37353BA7"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6. Conclusion and Recommendations</w:t>
      </w:r>
    </w:p>
    <w:p w14:paraId="103E43BF"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This scoping review explored the current evidence on the implementation and impact of digital health technologies in UK primary care. The five included studies provide a detailed picture of how digital tools—such as video consultations, online messaging, and remote triage—are shaping the delivery of general practice services. The findings show that digital technologies offer clear benefits in terms of access, convenience, and flexibility for many patients. They can support efficient care for straightforward issues and help practices manage demand by offering alternative routes to contact clinicians.</w:t>
      </w:r>
    </w:p>
    <w:p w14:paraId="3FB9B434"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However, the evidence also highlights significant challenges. Digital tools do not automatically reduce workload; in some cases, they increase administrative tasks and create new pressures for staff. The rapid shift to remote care during the COVID</w:t>
      </w:r>
      <w:r w:rsidRPr="00FC187F">
        <w:rPr>
          <w:rFonts w:ascii="Arial" w:eastAsiaTheme="majorEastAsia" w:hAnsi="Arial" w:cs="Arial"/>
          <w:bCs/>
          <w:sz w:val="22"/>
        </w:rPr>
        <w:noBreakHyphen/>
        <w:t>19 pandemic intensified these challenges, revealing gaps in training, infrastructure, and organisational readiness. Digital inequalities remain a major concern, with vulnerable groups at risk of being excluded from digital</w:t>
      </w:r>
      <w:r w:rsidRPr="00FC187F">
        <w:rPr>
          <w:rFonts w:ascii="Arial" w:eastAsiaTheme="majorEastAsia" w:hAnsi="Arial" w:cs="Arial"/>
          <w:bCs/>
          <w:sz w:val="22"/>
        </w:rPr>
        <w:noBreakHyphen/>
        <w:t>first models of care. These findings suggest that digital transformation must be approached carefully, with attention to equity, safety, and the practical realities of primary care.</w:t>
      </w:r>
    </w:p>
    <w:p w14:paraId="5243031C" w14:textId="77777777" w:rsidR="005E69D0" w:rsidRPr="00FC187F" w:rsidRDefault="005E69D0" w:rsidP="00FC187F">
      <w:pPr>
        <w:spacing w:line="360" w:lineRule="auto"/>
        <w:jc w:val="both"/>
        <w:rPr>
          <w:rFonts w:ascii="Arial" w:eastAsiaTheme="majorEastAsia" w:hAnsi="Arial" w:cs="Arial"/>
          <w:bCs/>
          <w:sz w:val="22"/>
        </w:rPr>
      </w:pPr>
      <w:r w:rsidRPr="00FC187F">
        <w:rPr>
          <w:rFonts w:ascii="Arial" w:eastAsiaTheme="majorEastAsia" w:hAnsi="Arial" w:cs="Arial"/>
          <w:bCs/>
          <w:sz w:val="22"/>
        </w:rPr>
        <w:t>Overall, digital health technologies have an important role in the future of UK primary care, but they are not a simple solution to workforce pressures or rising demand. Their success depends on thoughtful implementation, adequate support for both staff and patients, and a commitment to maintaining accessible, person</w:t>
      </w:r>
      <w:r w:rsidRPr="00FC187F">
        <w:rPr>
          <w:rFonts w:ascii="Arial" w:eastAsiaTheme="majorEastAsia" w:hAnsi="Arial" w:cs="Arial"/>
          <w:bCs/>
          <w:sz w:val="22"/>
        </w:rPr>
        <w:noBreakHyphen/>
        <w:t>centred care.</w:t>
      </w:r>
    </w:p>
    <w:p w14:paraId="6FDB294D"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6.1 Recommendations for Policy, Practice, and Research</w:t>
      </w:r>
    </w:p>
    <w:p w14:paraId="45CC70E6"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Recommendations for UK Policy</w:t>
      </w:r>
    </w:p>
    <w:p w14:paraId="4F140032" w14:textId="77777777" w:rsidR="005E69D0" w:rsidRPr="00FC187F" w:rsidRDefault="005E69D0" w:rsidP="00FC187F">
      <w:pPr>
        <w:numPr>
          <w:ilvl w:val="0"/>
          <w:numId w:val="15"/>
        </w:numPr>
        <w:spacing w:line="360" w:lineRule="auto"/>
        <w:jc w:val="both"/>
        <w:rPr>
          <w:rFonts w:ascii="Arial" w:eastAsiaTheme="majorEastAsia" w:hAnsi="Arial" w:cs="Arial"/>
          <w:sz w:val="22"/>
        </w:rPr>
      </w:pPr>
      <w:r w:rsidRPr="00FC187F">
        <w:rPr>
          <w:rFonts w:ascii="Arial" w:eastAsiaTheme="majorEastAsia" w:hAnsi="Arial" w:cs="Arial"/>
          <w:sz w:val="22"/>
        </w:rPr>
        <w:t>Adopt a hybrid model of care that combines digital and face</w:t>
      </w:r>
      <w:r w:rsidRPr="00FC187F">
        <w:rPr>
          <w:rFonts w:ascii="Arial" w:eastAsiaTheme="majorEastAsia" w:hAnsi="Arial" w:cs="Arial"/>
          <w:sz w:val="22"/>
        </w:rPr>
        <w:noBreakHyphen/>
        <w:t>to</w:t>
      </w:r>
      <w:r w:rsidRPr="00FC187F">
        <w:rPr>
          <w:rFonts w:ascii="Arial" w:eastAsiaTheme="majorEastAsia" w:hAnsi="Arial" w:cs="Arial"/>
          <w:sz w:val="22"/>
        </w:rPr>
        <w:noBreakHyphen/>
        <w:t>face options, ensuring patients can choose the most appropriate mode of consultation.</w:t>
      </w:r>
    </w:p>
    <w:p w14:paraId="4D58536F" w14:textId="77777777" w:rsidR="005E69D0" w:rsidRPr="00FC187F" w:rsidRDefault="005E69D0" w:rsidP="00FC187F">
      <w:pPr>
        <w:numPr>
          <w:ilvl w:val="0"/>
          <w:numId w:val="15"/>
        </w:numPr>
        <w:spacing w:line="360" w:lineRule="auto"/>
        <w:jc w:val="both"/>
        <w:rPr>
          <w:rFonts w:ascii="Arial" w:eastAsiaTheme="majorEastAsia" w:hAnsi="Arial" w:cs="Arial"/>
          <w:sz w:val="22"/>
        </w:rPr>
      </w:pPr>
      <w:r w:rsidRPr="00FC187F">
        <w:rPr>
          <w:rFonts w:ascii="Arial" w:eastAsiaTheme="majorEastAsia" w:hAnsi="Arial" w:cs="Arial"/>
          <w:sz w:val="22"/>
        </w:rPr>
        <w:lastRenderedPageBreak/>
        <w:t>Invest in digital infrastructure, including reliable platforms, integrated systems, and technical support for practices.</w:t>
      </w:r>
    </w:p>
    <w:p w14:paraId="508597EC" w14:textId="77777777" w:rsidR="005E69D0" w:rsidRPr="00FC187F" w:rsidRDefault="005E69D0" w:rsidP="00FC187F">
      <w:pPr>
        <w:numPr>
          <w:ilvl w:val="0"/>
          <w:numId w:val="15"/>
        </w:numPr>
        <w:spacing w:line="360" w:lineRule="auto"/>
        <w:jc w:val="both"/>
        <w:rPr>
          <w:rFonts w:ascii="Arial" w:eastAsiaTheme="majorEastAsia" w:hAnsi="Arial" w:cs="Arial"/>
          <w:sz w:val="22"/>
        </w:rPr>
      </w:pPr>
      <w:r w:rsidRPr="00FC187F">
        <w:rPr>
          <w:rFonts w:ascii="Arial" w:eastAsiaTheme="majorEastAsia" w:hAnsi="Arial" w:cs="Arial"/>
          <w:sz w:val="22"/>
        </w:rPr>
        <w:t>Prioritise digital inclusion by funding national programmes that support digital literacy, device access, and connectivity for disadvantaged groups.</w:t>
      </w:r>
    </w:p>
    <w:p w14:paraId="30222754" w14:textId="77777777" w:rsidR="005E69D0" w:rsidRPr="00FC187F" w:rsidRDefault="005E69D0" w:rsidP="00FC187F">
      <w:pPr>
        <w:numPr>
          <w:ilvl w:val="0"/>
          <w:numId w:val="15"/>
        </w:numPr>
        <w:spacing w:line="360" w:lineRule="auto"/>
        <w:jc w:val="both"/>
        <w:rPr>
          <w:rFonts w:ascii="Arial" w:eastAsiaTheme="majorEastAsia" w:hAnsi="Arial" w:cs="Arial"/>
          <w:sz w:val="22"/>
        </w:rPr>
      </w:pPr>
      <w:r w:rsidRPr="00FC187F">
        <w:rPr>
          <w:rFonts w:ascii="Arial" w:eastAsiaTheme="majorEastAsia" w:hAnsi="Arial" w:cs="Arial"/>
          <w:sz w:val="22"/>
        </w:rPr>
        <w:t>Develop clearer national guidance on safe digital communication, workload management, and clinical risk in remote consultations.</w:t>
      </w:r>
    </w:p>
    <w:p w14:paraId="294B9F41" w14:textId="77777777" w:rsidR="005E69D0" w:rsidRPr="00FC187F" w:rsidRDefault="005E69D0" w:rsidP="00FC187F">
      <w:pPr>
        <w:spacing w:line="360" w:lineRule="auto"/>
        <w:jc w:val="both"/>
        <w:rPr>
          <w:rFonts w:ascii="Arial" w:eastAsiaTheme="majorEastAsia" w:hAnsi="Arial" w:cs="Arial"/>
          <w:b/>
          <w:bCs/>
          <w:sz w:val="22"/>
        </w:rPr>
      </w:pPr>
      <w:r w:rsidRPr="00FC187F">
        <w:rPr>
          <w:rFonts w:ascii="Arial" w:eastAsiaTheme="majorEastAsia" w:hAnsi="Arial" w:cs="Arial"/>
          <w:b/>
          <w:bCs/>
          <w:sz w:val="22"/>
        </w:rPr>
        <w:t>Recommendations for Primary Care Practice</w:t>
      </w:r>
    </w:p>
    <w:p w14:paraId="55293D01" w14:textId="77777777" w:rsidR="005E69D0" w:rsidRPr="00FC187F" w:rsidRDefault="005E69D0" w:rsidP="00FC187F">
      <w:pPr>
        <w:numPr>
          <w:ilvl w:val="0"/>
          <w:numId w:val="16"/>
        </w:numPr>
        <w:spacing w:line="360" w:lineRule="auto"/>
        <w:jc w:val="both"/>
        <w:rPr>
          <w:rFonts w:ascii="Arial" w:eastAsiaTheme="majorEastAsia" w:hAnsi="Arial" w:cs="Arial"/>
          <w:sz w:val="22"/>
        </w:rPr>
      </w:pPr>
      <w:r w:rsidRPr="00FC187F">
        <w:rPr>
          <w:rFonts w:ascii="Arial" w:eastAsiaTheme="majorEastAsia" w:hAnsi="Arial" w:cs="Arial"/>
          <w:sz w:val="22"/>
        </w:rPr>
        <w:t>Provide staff training on digital tools, remote communication, and managing digital workload effectively.</w:t>
      </w:r>
    </w:p>
    <w:p w14:paraId="2A1638A4" w14:textId="77777777" w:rsidR="005E69D0" w:rsidRPr="00FC187F" w:rsidRDefault="005E69D0" w:rsidP="00FC187F">
      <w:pPr>
        <w:numPr>
          <w:ilvl w:val="0"/>
          <w:numId w:val="16"/>
        </w:numPr>
        <w:spacing w:line="360" w:lineRule="auto"/>
        <w:jc w:val="both"/>
        <w:rPr>
          <w:rFonts w:ascii="Arial" w:eastAsiaTheme="majorEastAsia" w:hAnsi="Arial" w:cs="Arial"/>
          <w:sz w:val="22"/>
        </w:rPr>
      </w:pPr>
      <w:r w:rsidRPr="00FC187F">
        <w:rPr>
          <w:rFonts w:ascii="Arial" w:eastAsiaTheme="majorEastAsia" w:hAnsi="Arial" w:cs="Arial"/>
          <w:sz w:val="22"/>
        </w:rPr>
        <w:t>Ensure digital systems are integrated into existing workflows to avoid duplication and administrative burden.</w:t>
      </w:r>
    </w:p>
    <w:p w14:paraId="3187A6EC" w14:textId="77777777" w:rsidR="005E69D0" w:rsidRPr="00FC187F" w:rsidRDefault="005E69D0" w:rsidP="00FC187F">
      <w:pPr>
        <w:numPr>
          <w:ilvl w:val="0"/>
          <w:numId w:val="16"/>
        </w:numPr>
        <w:spacing w:line="360" w:lineRule="auto"/>
        <w:jc w:val="both"/>
        <w:rPr>
          <w:rFonts w:ascii="Arial" w:eastAsiaTheme="majorEastAsia" w:hAnsi="Arial" w:cs="Arial"/>
          <w:sz w:val="22"/>
        </w:rPr>
      </w:pPr>
      <w:r w:rsidRPr="00FC187F">
        <w:rPr>
          <w:rFonts w:ascii="Arial" w:eastAsiaTheme="majorEastAsia" w:hAnsi="Arial" w:cs="Arial"/>
          <w:sz w:val="22"/>
        </w:rPr>
        <w:t>Screen for digital exclusion and offer alternative access routes for patients who cannot use digital tools.</w:t>
      </w:r>
    </w:p>
    <w:p w14:paraId="3C1B802E" w14:textId="77777777" w:rsidR="005E69D0" w:rsidRPr="00FC187F" w:rsidRDefault="005E69D0" w:rsidP="00FC187F">
      <w:pPr>
        <w:numPr>
          <w:ilvl w:val="0"/>
          <w:numId w:val="16"/>
        </w:numPr>
        <w:spacing w:line="360" w:lineRule="auto"/>
        <w:jc w:val="both"/>
        <w:rPr>
          <w:rFonts w:ascii="Arial" w:eastAsiaTheme="majorEastAsia" w:hAnsi="Arial" w:cs="Arial"/>
          <w:sz w:val="22"/>
        </w:rPr>
      </w:pPr>
      <w:r w:rsidRPr="00FC187F">
        <w:rPr>
          <w:rFonts w:ascii="Arial" w:eastAsiaTheme="majorEastAsia" w:hAnsi="Arial" w:cs="Arial"/>
          <w:sz w:val="22"/>
        </w:rPr>
        <w:t>Use digital consultations selectively, reserving them for appropriate cases and maintaining face</w:t>
      </w:r>
      <w:r w:rsidRPr="00FC187F">
        <w:rPr>
          <w:rFonts w:ascii="Arial" w:eastAsiaTheme="majorEastAsia" w:hAnsi="Arial" w:cs="Arial"/>
          <w:sz w:val="22"/>
        </w:rPr>
        <w:noBreakHyphen/>
        <w:t>to</w:t>
      </w:r>
      <w:r w:rsidRPr="00FC187F">
        <w:rPr>
          <w:rFonts w:ascii="Arial" w:eastAsiaTheme="majorEastAsia" w:hAnsi="Arial" w:cs="Arial"/>
          <w:sz w:val="22"/>
        </w:rPr>
        <w:noBreakHyphen/>
        <w:t>face care for complex or sensitive issues.</w:t>
      </w:r>
    </w:p>
    <w:p w14:paraId="06113364" w14:textId="77777777" w:rsidR="005E69D0" w:rsidRPr="00FC187F" w:rsidRDefault="005E69D0" w:rsidP="00FC187F">
      <w:pPr>
        <w:spacing w:line="360" w:lineRule="auto"/>
        <w:jc w:val="both"/>
        <w:rPr>
          <w:rFonts w:ascii="Arial" w:eastAsiaTheme="majorEastAsia" w:hAnsi="Arial" w:cs="Arial"/>
          <w:sz w:val="22"/>
        </w:rPr>
      </w:pPr>
      <w:r w:rsidRPr="00FC187F">
        <w:rPr>
          <w:rFonts w:ascii="Arial" w:eastAsiaTheme="majorEastAsia" w:hAnsi="Arial" w:cs="Arial"/>
          <w:sz w:val="22"/>
        </w:rPr>
        <w:t>Recommendations for Future Research</w:t>
      </w:r>
    </w:p>
    <w:p w14:paraId="5CED2C2A" w14:textId="77777777" w:rsidR="005E69D0" w:rsidRPr="00FC187F" w:rsidRDefault="005E69D0" w:rsidP="00FC187F">
      <w:pPr>
        <w:numPr>
          <w:ilvl w:val="0"/>
          <w:numId w:val="17"/>
        </w:numPr>
        <w:spacing w:line="360" w:lineRule="auto"/>
        <w:jc w:val="both"/>
        <w:rPr>
          <w:rFonts w:ascii="Arial" w:eastAsiaTheme="majorEastAsia" w:hAnsi="Arial" w:cs="Arial"/>
          <w:sz w:val="22"/>
        </w:rPr>
      </w:pPr>
      <w:r w:rsidRPr="00FC187F">
        <w:rPr>
          <w:rFonts w:ascii="Arial" w:eastAsiaTheme="majorEastAsia" w:hAnsi="Arial" w:cs="Arial"/>
          <w:sz w:val="22"/>
        </w:rPr>
        <w:t>Conduct long</w:t>
      </w:r>
      <w:r w:rsidRPr="00FC187F">
        <w:rPr>
          <w:rFonts w:ascii="Arial" w:eastAsiaTheme="majorEastAsia" w:hAnsi="Arial" w:cs="Arial"/>
          <w:sz w:val="22"/>
        </w:rPr>
        <w:noBreakHyphen/>
        <w:t>term evaluations of digital technologies to assess their impact on health outcomes, continuity of care, and cost</w:t>
      </w:r>
      <w:r w:rsidRPr="00FC187F">
        <w:rPr>
          <w:rFonts w:ascii="Arial" w:eastAsiaTheme="majorEastAsia" w:hAnsi="Arial" w:cs="Arial"/>
          <w:sz w:val="22"/>
        </w:rPr>
        <w:noBreakHyphen/>
        <w:t>effectiveness.</w:t>
      </w:r>
    </w:p>
    <w:p w14:paraId="11C420E0" w14:textId="77777777" w:rsidR="005E69D0" w:rsidRPr="00FC187F" w:rsidRDefault="005E69D0" w:rsidP="00FC187F">
      <w:pPr>
        <w:numPr>
          <w:ilvl w:val="0"/>
          <w:numId w:val="17"/>
        </w:numPr>
        <w:spacing w:line="360" w:lineRule="auto"/>
        <w:jc w:val="both"/>
        <w:rPr>
          <w:rFonts w:ascii="Arial" w:eastAsiaTheme="majorEastAsia" w:hAnsi="Arial" w:cs="Arial"/>
          <w:sz w:val="22"/>
        </w:rPr>
      </w:pPr>
      <w:r w:rsidRPr="00FC187F">
        <w:rPr>
          <w:rFonts w:ascii="Arial" w:eastAsiaTheme="majorEastAsia" w:hAnsi="Arial" w:cs="Arial"/>
          <w:sz w:val="22"/>
        </w:rPr>
        <w:t>Explore patient experiences across diverse groups, including older adults, people with disabilities, and those in deprived areas.</w:t>
      </w:r>
    </w:p>
    <w:p w14:paraId="2C2DEE25" w14:textId="77777777" w:rsidR="005E69D0" w:rsidRPr="00FC187F" w:rsidRDefault="005E69D0" w:rsidP="00FC187F">
      <w:pPr>
        <w:numPr>
          <w:ilvl w:val="0"/>
          <w:numId w:val="17"/>
        </w:numPr>
        <w:spacing w:line="360" w:lineRule="auto"/>
        <w:jc w:val="both"/>
        <w:rPr>
          <w:rFonts w:ascii="Arial" w:eastAsiaTheme="majorEastAsia" w:hAnsi="Arial" w:cs="Arial"/>
          <w:sz w:val="22"/>
        </w:rPr>
      </w:pPr>
      <w:r w:rsidRPr="00FC187F">
        <w:rPr>
          <w:rFonts w:ascii="Arial" w:eastAsiaTheme="majorEastAsia" w:hAnsi="Arial" w:cs="Arial"/>
          <w:sz w:val="22"/>
        </w:rPr>
        <w:t>Investigate workforce implications, including how digital tools affect GP workload, job satisfaction, and burnout.</w:t>
      </w:r>
    </w:p>
    <w:p w14:paraId="7915C0D4" w14:textId="77777777" w:rsidR="005E69D0" w:rsidRDefault="005E69D0" w:rsidP="00FC187F">
      <w:pPr>
        <w:numPr>
          <w:ilvl w:val="0"/>
          <w:numId w:val="17"/>
        </w:numPr>
        <w:spacing w:line="360" w:lineRule="auto"/>
        <w:jc w:val="both"/>
        <w:rPr>
          <w:rFonts w:ascii="Arial" w:eastAsiaTheme="majorEastAsia" w:hAnsi="Arial" w:cs="Arial"/>
          <w:sz w:val="22"/>
        </w:rPr>
      </w:pPr>
      <w:r w:rsidRPr="00FC187F">
        <w:rPr>
          <w:rFonts w:ascii="Arial" w:eastAsiaTheme="majorEastAsia" w:hAnsi="Arial" w:cs="Arial"/>
          <w:sz w:val="22"/>
        </w:rPr>
        <w:t>Examine implementation strategies to identify what supports successful adoption in different practice contexts.</w:t>
      </w:r>
    </w:p>
    <w:p w14:paraId="1830B514" w14:textId="77777777" w:rsidR="00FC187F" w:rsidRDefault="00FC187F" w:rsidP="00FC187F">
      <w:pPr>
        <w:spacing w:line="360" w:lineRule="auto"/>
        <w:jc w:val="both"/>
        <w:rPr>
          <w:rFonts w:ascii="Arial" w:eastAsiaTheme="majorEastAsia" w:hAnsi="Arial" w:cs="Arial"/>
          <w:sz w:val="22"/>
        </w:rPr>
      </w:pPr>
    </w:p>
    <w:p w14:paraId="631FA5FE" w14:textId="77777777" w:rsidR="00FC187F" w:rsidRDefault="00FC187F" w:rsidP="00FC187F">
      <w:pPr>
        <w:spacing w:line="360" w:lineRule="auto"/>
        <w:jc w:val="both"/>
        <w:rPr>
          <w:rFonts w:ascii="Arial" w:eastAsiaTheme="majorEastAsia" w:hAnsi="Arial" w:cs="Arial"/>
          <w:sz w:val="22"/>
        </w:rPr>
      </w:pPr>
    </w:p>
    <w:p w14:paraId="57D8CEFD" w14:textId="77777777" w:rsidR="00FC187F" w:rsidRPr="00FC187F" w:rsidRDefault="00FC187F" w:rsidP="00FC187F">
      <w:pPr>
        <w:spacing w:line="360" w:lineRule="auto"/>
        <w:jc w:val="both"/>
        <w:rPr>
          <w:rFonts w:ascii="Arial" w:eastAsiaTheme="majorEastAsia" w:hAnsi="Arial" w:cs="Arial"/>
          <w:sz w:val="22"/>
        </w:rPr>
      </w:pPr>
    </w:p>
    <w:p w14:paraId="18999130" w14:textId="0F296902" w:rsidR="00CD33A8" w:rsidRDefault="00CD33A8">
      <w:pPr>
        <w:rPr>
          <w:rFonts w:asciiTheme="minorBidi" w:eastAsiaTheme="majorEastAsia" w:hAnsiTheme="minorBidi"/>
          <w:b/>
          <w:sz w:val="28"/>
        </w:rPr>
      </w:pPr>
    </w:p>
    <w:p w14:paraId="33F8F0BD" w14:textId="597FD84B" w:rsidR="00B87E75" w:rsidRPr="00CD33A8" w:rsidRDefault="00B87E75" w:rsidP="00E620E7">
      <w:pPr>
        <w:pStyle w:val="Heading1"/>
      </w:pPr>
      <w:r w:rsidRPr="00CD33A8">
        <w:lastRenderedPageBreak/>
        <w:t>References</w:t>
      </w:r>
    </w:p>
    <w:p w14:paraId="40DB744F"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 xml:space="preserve">Atherton, H., Brant, H., </w:t>
      </w:r>
      <w:proofErr w:type="spellStart"/>
      <w:r w:rsidRPr="00FC187F">
        <w:rPr>
          <w:rFonts w:asciiTheme="minorBidi" w:hAnsiTheme="minorBidi"/>
          <w:b/>
          <w:bCs/>
          <w:sz w:val="22"/>
        </w:rPr>
        <w:t>Ziebland</w:t>
      </w:r>
      <w:proofErr w:type="spellEnd"/>
      <w:r w:rsidRPr="00FC187F">
        <w:rPr>
          <w:rFonts w:asciiTheme="minorBidi" w:hAnsiTheme="minorBidi"/>
          <w:b/>
          <w:bCs/>
          <w:sz w:val="22"/>
        </w:rPr>
        <w:t>, S., Bikker, A., Campbell, J. and Salisbury, C., 2018.</w:t>
      </w:r>
      <w:r w:rsidRPr="00FC187F">
        <w:rPr>
          <w:rFonts w:asciiTheme="minorBidi" w:hAnsiTheme="minorBidi"/>
          <w:sz w:val="22"/>
        </w:rPr>
        <w:t xml:space="preserve"> The potential of alternatives to face</w:t>
      </w:r>
      <w:r w:rsidRPr="00FC187F">
        <w:rPr>
          <w:rFonts w:asciiTheme="minorBidi" w:hAnsiTheme="minorBidi"/>
          <w:sz w:val="22"/>
        </w:rPr>
        <w:noBreakHyphen/>
        <w:t>to</w:t>
      </w:r>
      <w:r w:rsidRPr="00FC187F">
        <w:rPr>
          <w:rFonts w:asciiTheme="minorBidi" w:hAnsiTheme="minorBidi"/>
          <w:sz w:val="22"/>
        </w:rPr>
        <w:noBreakHyphen/>
        <w:t>face consultation in general practice, and the impact on different patient groups: a mixed</w:t>
      </w:r>
      <w:r w:rsidRPr="00FC187F">
        <w:rPr>
          <w:rFonts w:asciiTheme="minorBidi" w:hAnsiTheme="minorBidi"/>
          <w:sz w:val="22"/>
        </w:rPr>
        <w:noBreakHyphen/>
        <w:t xml:space="preserve">methods case study. </w:t>
      </w:r>
      <w:r w:rsidRPr="00FC187F">
        <w:rPr>
          <w:rFonts w:asciiTheme="minorBidi" w:hAnsiTheme="minorBidi"/>
          <w:i/>
          <w:iCs/>
          <w:sz w:val="22"/>
        </w:rPr>
        <w:t>British Journal of General Practice</w:t>
      </w:r>
      <w:r w:rsidRPr="00FC187F">
        <w:rPr>
          <w:rFonts w:asciiTheme="minorBidi" w:hAnsiTheme="minorBidi"/>
          <w:sz w:val="22"/>
        </w:rPr>
        <w:t>, 68(669), pp. e460–e467.</w:t>
      </w:r>
    </w:p>
    <w:p w14:paraId="3E09DFC7"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Baines, R., Donovan, J., Regan de Bere, S., Archer, J. and Jones, R., 2018.</w:t>
      </w:r>
      <w:r w:rsidRPr="00FC187F">
        <w:rPr>
          <w:rFonts w:asciiTheme="minorBidi" w:hAnsiTheme="minorBidi"/>
          <w:sz w:val="22"/>
        </w:rPr>
        <w:t xml:space="preserve"> The impact of patient online access to medical records on medication safety in primary care. </w:t>
      </w:r>
      <w:r w:rsidRPr="00FC187F">
        <w:rPr>
          <w:rFonts w:asciiTheme="minorBidi" w:hAnsiTheme="minorBidi"/>
          <w:i/>
          <w:iCs/>
          <w:sz w:val="22"/>
        </w:rPr>
        <w:t>British Journal of General Practice</w:t>
      </w:r>
      <w:r w:rsidRPr="00FC187F">
        <w:rPr>
          <w:rFonts w:asciiTheme="minorBidi" w:hAnsiTheme="minorBidi"/>
          <w:sz w:val="22"/>
        </w:rPr>
        <w:t>, 68(670), pp. e427–e433.</w:t>
      </w:r>
    </w:p>
    <w:p w14:paraId="1BDAB069"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BMA, 2022.</w:t>
      </w:r>
      <w:r w:rsidRPr="00FC187F">
        <w:rPr>
          <w:rFonts w:asciiTheme="minorBidi" w:hAnsiTheme="minorBidi"/>
          <w:sz w:val="22"/>
        </w:rPr>
        <w:t xml:space="preserve"> </w:t>
      </w:r>
      <w:r w:rsidRPr="00FC187F">
        <w:rPr>
          <w:rFonts w:asciiTheme="minorBidi" w:hAnsiTheme="minorBidi"/>
          <w:i/>
          <w:iCs/>
          <w:sz w:val="22"/>
        </w:rPr>
        <w:t>Pressures in General Practice</w:t>
      </w:r>
      <w:r w:rsidRPr="00FC187F">
        <w:rPr>
          <w:rFonts w:asciiTheme="minorBidi" w:hAnsiTheme="minorBidi"/>
          <w:sz w:val="22"/>
        </w:rPr>
        <w:t>. London: British Medical Association.</w:t>
      </w:r>
    </w:p>
    <w:p w14:paraId="2FAE5AD4"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Braun, V. and Clarke, V., 2006.</w:t>
      </w:r>
      <w:r w:rsidRPr="00FC187F">
        <w:rPr>
          <w:rFonts w:asciiTheme="minorBidi" w:hAnsiTheme="minorBidi"/>
          <w:sz w:val="22"/>
        </w:rPr>
        <w:t xml:space="preserve"> Using thematic analysis in psychology. </w:t>
      </w:r>
      <w:r w:rsidRPr="00FC187F">
        <w:rPr>
          <w:rFonts w:asciiTheme="minorBidi" w:hAnsiTheme="minorBidi"/>
          <w:i/>
          <w:iCs/>
          <w:sz w:val="22"/>
        </w:rPr>
        <w:t>Qualitative Research in Psychology</w:t>
      </w:r>
      <w:r w:rsidRPr="00FC187F">
        <w:rPr>
          <w:rFonts w:asciiTheme="minorBidi" w:hAnsiTheme="minorBidi"/>
          <w:sz w:val="22"/>
        </w:rPr>
        <w:t>, 3(2), pp. 77–101.</w:t>
      </w:r>
    </w:p>
    <w:p w14:paraId="4EDF30B6"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Care Quality Commission (CQC), 2021.</w:t>
      </w:r>
      <w:r w:rsidRPr="00FC187F">
        <w:rPr>
          <w:rFonts w:asciiTheme="minorBidi" w:hAnsiTheme="minorBidi"/>
          <w:sz w:val="22"/>
        </w:rPr>
        <w:t xml:space="preserve"> </w:t>
      </w:r>
      <w:r w:rsidRPr="00FC187F">
        <w:rPr>
          <w:rFonts w:asciiTheme="minorBidi" w:hAnsiTheme="minorBidi"/>
          <w:i/>
          <w:iCs/>
          <w:sz w:val="22"/>
        </w:rPr>
        <w:t>The State of Health Care and Adult Social Care in England</w:t>
      </w:r>
      <w:r w:rsidRPr="00FC187F">
        <w:rPr>
          <w:rFonts w:asciiTheme="minorBidi" w:hAnsiTheme="minorBidi"/>
          <w:sz w:val="22"/>
        </w:rPr>
        <w:t>. London: CQC.</w:t>
      </w:r>
    </w:p>
    <w:p w14:paraId="635C8AB6"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Cottrell, E., Chambers, R. and O’Connell, P., 2021.</w:t>
      </w:r>
      <w:r w:rsidRPr="00FC187F">
        <w:rPr>
          <w:rFonts w:asciiTheme="minorBidi" w:hAnsiTheme="minorBidi"/>
          <w:sz w:val="22"/>
        </w:rPr>
        <w:t xml:space="preserve"> Using simple telehealth in primary care to reduce blood pressure: a service evaluation. </w:t>
      </w:r>
      <w:r w:rsidRPr="00FC187F">
        <w:rPr>
          <w:rFonts w:asciiTheme="minorBidi" w:hAnsiTheme="minorBidi"/>
          <w:i/>
          <w:iCs/>
          <w:sz w:val="22"/>
        </w:rPr>
        <w:t>British Journal of General Practice</w:t>
      </w:r>
      <w:r w:rsidRPr="00FC187F">
        <w:rPr>
          <w:rFonts w:asciiTheme="minorBidi" w:hAnsiTheme="minorBidi"/>
          <w:sz w:val="22"/>
        </w:rPr>
        <w:t>, 71(703), pp. e63–e70.</w:t>
      </w:r>
    </w:p>
    <w:p w14:paraId="704244BA"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Cresswell, K., Bates, D. and Sheikh, A., 2016.</w:t>
      </w:r>
      <w:r w:rsidRPr="00FC187F">
        <w:rPr>
          <w:rFonts w:asciiTheme="minorBidi" w:hAnsiTheme="minorBidi"/>
          <w:sz w:val="22"/>
        </w:rPr>
        <w:t xml:space="preserve"> Ten key considerations for the successful implementation and adoption of large</w:t>
      </w:r>
      <w:r w:rsidRPr="00FC187F">
        <w:rPr>
          <w:rFonts w:asciiTheme="minorBidi" w:hAnsiTheme="minorBidi"/>
          <w:sz w:val="22"/>
        </w:rPr>
        <w:noBreakHyphen/>
        <w:t xml:space="preserve">scale health information technology. </w:t>
      </w:r>
      <w:r w:rsidRPr="00FC187F">
        <w:rPr>
          <w:rFonts w:asciiTheme="minorBidi" w:hAnsiTheme="minorBidi"/>
          <w:i/>
          <w:iCs/>
          <w:sz w:val="22"/>
        </w:rPr>
        <w:t>Journal of the Royal Society of Medicine</w:t>
      </w:r>
      <w:r w:rsidRPr="00FC187F">
        <w:rPr>
          <w:rFonts w:asciiTheme="minorBidi" w:hAnsiTheme="minorBidi"/>
          <w:sz w:val="22"/>
        </w:rPr>
        <w:t>, 109(3), pp. 89–92.</w:t>
      </w:r>
    </w:p>
    <w:p w14:paraId="395380E4"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 xml:space="preserve">Gerke, S., </w:t>
      </w:r>
      <w:proofErr w:type="spellStart"/>
      <w:r w:rsidRPr="00FC187F">
        <w:rPr>
          <w:rFonts w:asciiTheme="minorBidi" w:hAnsiTheme="minorBidi"/>
          <w:b/>
          <w:bCs/>
          <w:sz w:val="22"/>
        </w:rPr>
        <w:t>Minssen</w:t>
      </w:r>
      <w:proofErr w:type="spellEnd"/>
      <w:r w:rsidRPr="00FC187F">
        <w:rPr>
          <w:rFonts w:asciiTheme="minorBidi" w:hAnsiTheme="minorBidi"/>
          <w:b/>
          <w:bCs/>
          <w:sz w:val="22"/>
        </w:rPr>
        <w:t>, T. and Cohen, G., 2020.</w:t>
      </w:r>
      <w:r w:rsidRPr="00FC187F">
        <w:rPr>
          <w:rFonts w:asciiTheme="minorBidi" w:hAnsiTheme="minorBidi"/>
          <w:sz w:val="22"/>
        </w:rPr>
        <w:t xml:space="preserve"> Ethical and legal challenges of artificial intelligence</w:t>
      </w:r>
      <w:r w:rsidRPr="00FC187F">
        <w:rPr>
          <w:rFonts w:asciiTheme="minorBidi" w:hAnsiTheme="minorBidi"/>
          <w:sz w:val="22"/>
        </w:rPr>
        <w:noBreakHyphen/>
        <w:t xml:space="preserve">driven healthcare. </w:t>
      </w:r>
      <w:r w:rsidRPr="00FC187F">
        <w:rPr>
          <w:rFonts w:asciiTheme="minorBidi" w:hAnsiTheme="minorBidi"/>
          <w:i/>
          <w:iCs/>
          <w:sz w:val="22"/>
        </w:rPr>
        <w:t>Cambridge Quarterly of Healthcare Ethics</w:t>
      </w:r>
      <w:r w:rsidRPr="00FC187F">
        <w:rPr>
          <w:rFonts w:asciiTheme="minorBidi" w:hAnsiTheme="minorBidi"/>
          <w:sz w:val="22"/>
        </w:rPr>
        <w:t>, 29(2), pp. 1–17.</w:t>
      </w:r>
    </w:p>
    <w:p w14:paraId="53848544"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General Medical Council (GMC), 2020.</w:t>
      </w:r>
      <w:r w:rsidRPr="00FC187F">
        <w:rPr>
          <w:rFonts w:asciiTheme="minorBidi" w:hAnsiTheme="minorBidi"/>
          <w:sz w:val="22"/>
        </w:rPr>
        <w:t xml:space="preserve"> </w:t>
      </w:r>
      <w:r w:rsidRPr="00FC187F">
        <w:rPr>
          <w:rFonts w:asciiTheme="minorBidi" w:hAnsiTheme="minorBidi"/>
          <w:i/>
          <w:iCs/>
          <w:sz w:val="22"/>
        </w:rPr>
        <w:t>Remote Consultations: Guidance for Doctors</w:t>
      </w:r>
      <w:r w:rsidRPr="00FC187F">
        <w:rPr>
          <w:rFonts w:asciiTheme="minorBidi" w:hAnsiTheme="minorBidi"/>
          <w:sz w:val="22"/>
        </w:rPr>
        <w:t>. London: GMC.</w:t>
      </w:r>
    </w:p>
    <w:p w14:paraId="1DF964C3"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Greenhalgh, T., Koh, G. and Car, J., 2020.</w:t>
      </w:r>
      <w:r w:rsidRPr="00FC187F">
        <w:rPr>
          <w:rFonts w:asciiTheme="minorBidi" w:hAnsiTheme="minorBidi"/>
          <w:sz w:val="22"/>
        </w:rPr>
        <w:t xml:space="preserve"> Covid</w:t>
      </w:r>
      <w:r w:rsidRPr="00FC187F">
        <w:rPr>
          <w:rFonts w:asciiTheme="minorBidi" w:hAnsiTheme="minorBidi"/>
          <w:sz w:val="22"/>
        </w:rPr>
        <w:noBreakHyphen/>
        <w:t xml:space="preserve">19: a remote assessment in primary care. </w:t>
      </w:r>
      <w:r w:rsidRPr="00FC187F">
        <w:rPr>
          <w:rFonts w:asciiTheme="minorBidi" w:hAnsiTheme="minorBidi"/>
          <w:i/>
          <w:iCs/>
          <w:sz w:val="22"/>
        </w:rPr>
        <w:t>BMJ</w:t>
      </w:r>
      <w:r w:rsidRPr="00FC187F">
        <w:rPr>
          <w:rFonts w:asciiTheme="minorBidi" w:hAnsiTheme="minorBidi"/>
          <w:sz w:val="22"/>
        </w:rPr>
        <w:t>, 368, m1182.</w:t>
      </w:r>
    </w:p>
    <w:p w14:paraId="039B4544"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 xml:space="preserve">Greenhalgh, T., Shaw, S., </w:t>
      </w:r>
      <w:proofErr w:type="spellStart"/>
      <w:r w:rsidRPr="00FC187F">
        <w:rPr>
          <w:rFonts w:asciiTheme="minorBidi" w:hAnsiTheme="minorBidi"/>
          <w:b/>
          <w:bCs/>
          <w:sz w:val="22"/>
        </w:rPr>
        <w:t>Wherton</w:t>
      </w:r>
      <w:proofErr w:type="spellEnd"/>
      <w:r w:rsidRPr="00FC187F">
        <w:rPr>
          <w:rFonts w:asciiTheme="minorBidi" w:hAnsiTheme="minorBidi"/>
          <w:b/>
          <w:bCs/>
          <w:sz w:val="22"/>
        </w:rPr>
        <w:t>, J., Vijayaraghavan, S. and Morris, J., 2018.</w:t>
      </w:r>
      <w:r w:rsidRPr="00FC187F">
        <w:rPr>
          <w:rFonts w:asciiTheme="minorBidi" w:hAnsiTheme="minorBidi"/>
          <w:sz w:val="22"/>
        </w:rPr>
        <w:t xml:space="preserve"> Real</w:t>
      </w:r>
      <w:r w:rsidRPr="00FC187F">
        <w:rPr>
          <w:rFonts w:asciiTheme="minorBidi" w:hAnsiTheme="minorBidi"/>
          <w:sz w:val="22"/>
        </w:rPr>
        <w:noBreakHyphen/>
        <w:t xml:space="preserve">world implementation of video outpatient consultations at macro, </w:t>
      </w:r>
      <w:proofErr w:type="spellStart"/>
      <w:r w:rsidRPr="00FC187F">
        <w:rPr>
          <w:rFonts w:asciiTheme="minorBidi" w:hAnsiTheme="minorBidi"/>
          <w:sz w:val="22"/>
        </w:rPr>
        <w:t>meso</w:t>
      </w:r>
      <w:proofErr w:type="spellEnd"/>
      <w:r w:rsidRPr="00FC187F">
        <w:rPr>
          <w:rFonts w:asciiTheme="minorBidi" w:hAnsiTheme="minorBidi"/>
          <w:sz w:val="22"/>
        </w:rPr>
        <w:t xml:space="preserve"> and micro levels: mixed</w:t>
      </w:r>
      <w:r w:rsidRPr="00FC187F">
        <w:rPr>
          <w:rFonts w:asciiTheme="minorBidi" w:hAnsiTheme="minorBidi"/>
          <w:sz w:val="22"/>
        </w:rPr>
        <w:noBreakHyphen/>
        <w:t xml:space="preserve">method evaluation. </w:t>
      </w:r>
      <w:r w:rsidRPr="00FC187F">
        <w:rPr>
          <w:rFonts w:asciiTheme="minorBidi" w:hAnsiTheme="minorBidi"/>
          <w:i/>
          <w:iCs/>
          <w:sz w:val="22"/>
        </w:rPr>
        <w:t>Journal of Medical Internet Research</w:t>
      </w:r>
      <w:r w:rsidRPr="00FC187F">
        <w:rPr>
          <w:rFonts w:asciiTheme="minorBidi" w:hAnsiTheme="minorBidi"/>
          <w:sz w:val="22"/>
        </w:rPr>
        <w:t>, 20(4), p. e150.</w:t>
      </w:r>
    </w:p>
    <w:p w14:paraId="76BCEC8F"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Hammersley, V., Donaghy, E., Parker, R., McNeilly, H., Atherton, H. and McKinstry, B., 2019.</w:t>
      </w:r>
      <w:r w:rsidRPr="00FC187F">
        <w:rPr>
          <w:rFonts w:asciiTheme="minorBidi" w:hAnsiTheme="minorBidi"/>
          <w:sz w:val="22"/>
        </w:rPr>
        <w:t xml:space="preserve"> Comparing the content and quality of video, telephone, and face</w:t>
      </w:r>
      <w:r w:rsidRPr="00FC187F">
        <w:rPr>
          <w:rFonts w:asciiTheme="minorBidi" w:hAnsiTheme="minorBidi"/>
          <w:sz w:val="22"/>
        </w:rPr>
        <w:noBreakHyphen/>
        <w:t>to</w:t>
      </w:r>
      <w:r w:rsidRPr="00FC187F">
        <w:rPr>
          <w:rFonts w:asciiTheme="minorBidi" w:hAnsiTheme="minorBidi"/>
          <w:sz w:val="22"/>
        </w:rPr>
        <w:noBreakHyphen/>
        <w:t>face consultations: a non</w:t>
      </w:r>
      <w:r w:rsidRPr="00FC187F">
        <w:rPr>
          <w:rFonts w:asciiTheme="minorBidi" w:hAnsiTheme="minorBidi"/>
          <w:sz w:val="22"/>
        </w:rPr>
        <w:noBreakHyphen/>
        <w:t>randomised, quasi</w:t>
      </w:r>
      <w:r w:rsidRPr="00FC187F">
        <w:rPr>
          <w:rFonts w:asciiTheme="minorBidi" w:hAnsiTheme="minorBidi"/>
          <w:sz w:val="22"/>
        </w:rPr>
        <w:noBreakHyphen/>
        <w:t xml:space="preserve">experimental study in UK primary care. </w:t>
      </w:r>
      <w:r w:rsidRPr="00FC187F">
        <w:rPr>
          <w:rFonts w:asciiTheme="minorBidi" w:hAnsiTheme="minorBidi"/>
          <w:i/>
          <w:iCs/>
          <w:sz w:val="22"/>
        </w:rPr>
        <w:t>British Journal of General Practice</w:t>
      </w:r>
      <w:r w:rsidRPr="00FC187F">
        <w:rPr>
          <w:rFonts w:asciiTheme="minorBidi" w:hAnsiTheme="minorBidi"/>
          <w:sz w:val="22"/>
        </w:rPr>
        <w:t>, 69(686), pp. e595–e604.</w:t>
      </w:r>
    </w:p>
    <w:p w14:paraId="48CC2641"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lastRenderedPageBreak/>
        <w:t>Hutchings, R., 2021.</w:t>
      </w:r>
      <w:r w:rsidRPr="00FC187F">
        <w:rPr>
          <w:rFonts w:asciiTheme="minorBidi" w:hAnsiTheme="minorBidi"/>
          <w:sz w:val="22"/>
        </w:rPr>
        <w:t xml:space="preserve"> </w:t>
      </w:r>
      <w:r w:rsidRPr="00FC187F">
        <w:rPr>
          <w:rFonts w:asciiTheme="minorBidi" w:hAnsiTheme="minorBidi"/>
          <w:i/>
          <w:iCs/>
          <w:sz w:val="22"/>
        </w:rPr>
        <w:t>The Impact of the NHS App on Primary Care Access</w:t>
      </w:r>
      <w:r w:rsidRPr="00FC187F">
        <w:rPr>
          <w:rFonts w:asciiTheme="minorBidi" w:hAnsiTheme="minorBidi"/>
          <w:sz w:val="22"/>
        </w:rPr>
        <w:t>. London: The King’s Fund.</w:t>
      </w:r>
    </w:p>
    <w:p w14:paraId="5AE472A3" w14:textId="77777777" w:rsidR="00FC187F" w:rsidRPr="00FC187F" w:rsidRDefault="00FC187F" w:rsidP="00FC187F">
      <w:pPr>
        <w:tabs>
          <w:tab w:val="left" w:pos="6540"/>
        </w:tabs>
        <w:spacing w:line="360" w:lineRule="auto"/>
        <w:rPr>
          <w:rFonts w:asciiTheme="minorBidi" w:hAnsiTheme="minorBidi"/>
          <w:sz w:val="22"/>
        </w:rPr>
      </w:pPr>
      <w:proofErr w:type="spellStart"/>
      <w:r w:rsidRPr="00FC187F">
        <w:rPr>
          <w:rFonts w:asciiTheme="minorBidi" w:hAnsiTheme="minorBidi"/>
          <w:b/>
          <w:bCs/>
          <w:sz w:val="22"/>
        </w:rPr>
        <w:t>Kontopantelis</w:t>
      </w:r>
      <w:proofErr w:type="spellEnd"/>
      <w:r w:rsidRPr="00FC187F">
        <w:rPr>
          <w:rFonts w:asciiTheme="minorBidi" w:hAnsiTheme="minorBidi"/>
          <w:b/>
          <w:bCs/>
          <w:sz w:val="22"/>
        </w:rPr>
        <w:t xml:space="preserve">, E., Mamas, M., van </w:t>
      </w:r>
      <w:proofErr w:type="spellStart"/>
      <w:r w:rsidRPr="00FC187F">
        <w:rPr>
          <w:rFonts w:asciiTheme="minorBidi" w:hAnsiTheme="minorBidi"/>
          <w:b/>
          <w:bCs/>
          <w:sz w:val="22"/>
        </w:rPr>
        <w:t>Marwijk</w:t>
      </w:r>
      <w:proofErr w:type="spellEnd"/>
      <w:r w:rsidRPr="00FC187F">
        <w:rPr>
          <w:rFonts w:asciiTheme="minorBidi" w:hAnsiTheme="minorBidi"/>
          <w:b/>
          <w:bCs/>
          <w:sz w:val="22"/>
        </w:rPr>
        <w:t>, H. and Ryan, A., 2021.</w:t>
      </w:r>
      <w:r w:rsidRPr="00FC187F">
        <w:rPr>
          <w:rFonts w:asciiTheme="minorBidi" w:hAnsiTheme="minorBidi"/>
          <w:sz w:val="22"/>
        </w:rPr>
        <w:t xml:space="preserve"> Chronic disease management and health outcomes after the introduction of digital records in UK primary care. </w:t>
      </w:r>
      <w:r w:rsidRPr="00FC187F">
        <w:rPr>
          <w:rFonts w:asciiTheme="minorBidi" w:hAnsiTheme="minorBidi"/>
          <w:i/>
          <w:iCs/>
          <w:sz w:val="22"/>
        </w:rPr>
        <w:t>BMJ Open</w:t>
      </w:r>
      <w:r w:rsidRPr="00FC187F">
        <w:rPr>
          <w:rFonts w:asciiTheme="minorBidi" w:hAnsiTheme="minorBidi"/>
          <w:sz w:val="22"/>
        </w:rPr>
        <w:t>, 11(2), e041745.</w:t>
      </w:r>
    </w:p>
    <w:p w14:paraId="090ECE0E"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Majeed, A., Maile, E. and Bindman, A., 2020.</w:t>
      </w:r>
      <w:r w:rsidRPr="00FC187F">
        <w:rPr>
          <w:rFonts w:asciiTheme="minorBidi" w:hAnsiTheme="minorBidi"/>
          <w:sz w:val="22"/>
        </w:rPr>
        <w:t xml:space="preserve"> The primary care response to COVID</w:t>
      </w:r>
      <w:r w:rsidRPr="00FC187F">
        <w:rPr>
          <w:rFonts w:asciiTheme="minorBidi" w:hAnsiTheme="minorBidi"/>
          <w:sz w:val="22"/>
        </w:rPr>
        <w:noBreakHyphen/>
        <w:t xml:space="preserve">19 in England’s NHS. </w:t>
      </w:r>
      <w:r w:rsidRPr="00FC187F">
        <w:rPr>
          <w:rFonts w:asciiTheme="minorBidi" w:hAnsiTheme="minorBidi"/>
          <w:i/>
          <w:iCs/>
          <w:sz w:val="22"/>
        </w:rPr>
        <w:t>Journal of the Royal Society of Medicine</w:t>
      </w:r>
      <w:r w:rsidRPr="00FC187F">
        <w:rPr>
          <w:rFonts w:asciiTheme="minorBidi" w:hAnsiTheme="minorBidi"/>
          <w:sz w:val="22"/>
        </w:rPr>
        <w:t>, 113(6), pp. 208–210.</w:t>
      </w:r>
    </w:p>
    <w:p w14:paraId="1803A5B6"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Murphy, M., Scott, L., Salisbury, C., Turner, A., Scott, A. and Denholm, R., 2021.</w:t>
      </w:r>
      <w:r w:rsidRPr="00FC187F">
        <w:rPr>
          <w:rFonts w:asciiTheme="minorBidi" w:hAnsiTheme="minorBidi"/>
          <w:sz w:val="22"/>
        </w:rPr>
        <w:t xml:space="preserve"> Implementation of remote consulting in UK primary care following the COVID</w:t>
      </w:r>
      <w:r w:rsidRPr="00FC187F">
        <w:rPr>
          <w:rFonts w:asciiTheme="minorBidi" w:hAnsiTheme="minorBidi"/>
          <w:sz w:val="22"/>
        </w:rPr>
        <w:noBreakHyphen/>
        <w:t>19 pandemic: a mixed</w:t>
      </w:r>
      <w:r w:rsidRPr="00FC187F">
        <w:rPr>
          <w:rFonts w:asciiTheme="minorBidi" w:hAnsiTheme="minorBidi"/>
          <w:sz w:val="22"/>
        </w:rPr>
        <w:noBreakHyphen/>
        <w:t xml:space="preserve">methods study. </w:t>
      </w:r>
      <w:r w:rsidRPr="00FC187F">
        <w:rPr>
          <w:rFonts w:asciiTheme="minorBidi" w:hAnsiTheme="minorBidi"/>
          <w:i/>
          <w:iCs/>
          <w:sz w:val="22"/>
        </w:rPr>
        <w:t>British Journal of General Practice</w:t>
      </w:r>
      <w:r w:rsidRPr="00FC187F">
        <w:rPr>
          <w:rFonts w:asciiTheme="minorBidi" w:hAnsiTheme="minorBidi"/>
          <w:sz w:val="22"/>
        </w:rPr>
        <w:t>, 71(704), pp. e166–e177.</w:t>
      </w:r>
    </w:p>
    <w:p w14:paraId="5EF8FA8D"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NHS England, 2019.</w:t>
      </w:r>
      <w:r w:rsidRPr="00FC187F">
        <w:rPr>
          <w:rFonts w:asciiTheme="minorBidi" w:hAnsiTheme="minorBidi"/>
          <w:sz w:val="22"/>
        </w:rPr>
        <w:t xml:space="preserve"> </w:t>
      </w:r>
      <w:r w:rsidRPr="00FC187F">
        <w:rPr>
          <w:rFonts w:asciiTheme="minorBidi" w:hAnsiTheme="minorBidi"/>
          <w:i/>
          <w:iCs/>
          <w:sz w:val="22"/>
        </w:rPr>
        <w:t>The NHS Long Term Plan</w:t>
      </w:r>
      <w:r w:rsidRPr="00FC187F">
        <w:rPr>
          <w:rFonts w:asciiTheme="minorBidi" w:hAnsiTheme="minorBidi"/>
          <w:sz w:val="22"/>
        </w:rPr>
        <w:t>. London: NHS England.</w:t>
      </w:r>
    </w:p>
    <w:p w14:paraId="10B0DF59"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NHS England, 2020.</w:t>
      </w:r>
      <w:r w:rsidRPr="00FC187F">
        <w:rPr>
          <w:rFonts w:asciiTheme="minorBidi" w:hAnsiTheme="minorBidi"/>
          <w:sz w:val="22"/>
        </w:rPr>
        <w:t xml:space="preserve"> </w:t>
      </w:r>
      <w:r w:rsidRPr="00FC187F">
        <w:rPr>
          <w:rFonts w:asciiTheme="minorBidi" w:hAnsiTheme="minorBidi"/>
          <w:i/>
          <w:iCs/>
          <w:sz w:val="22"/>
        </w:rPr>
        <w:t>GP Contract Update 2020/21–2023/24</w:t>
      </w:r>
      <w:r w:rsidRPr="00FC187F">
        <w:rPr>
          <w:rFonts w:asciiTheme="minorBidi" w:hAnsiTheme="minorBidi"/>
          <w:sz w:val="22"/>
        </w:rPr>
        <w:t>. London: NHS England.</w:t>
      </w:r>
    </w:p>
    <w:p w14:paraId="6C7510ED"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NHS England, 2023.</w:t>
      </w:r>
      <w:r w:rsidRPr="00FC187F">
        <w:rPr>
          <w:rFonts w:asciiTheme="minorBidi" w:hAnsiTheme="minorBidi"/>
          <w:sz w:val="22"/>
        </w:rPr>
        <w:t xml:space="preserve"> </w:t>
      </w:r>
      <w:r w:rsidRPr="00FC187F">
        <w:rPr>
          <w:rFonts w:asciiTheme="minorBidi" w:hAnsiTheme="minorBidi"/>
          <w:i/>
          <w:iCs/>
          <w:sz w:val="22"/>
        </w:rPr>
        <w:t>GP Access Recovery Plan</w:t>
      </w:r>
      <w:r w:rsidRPr="00FC187F">
        <w:rPr>
          <w:rFonts w:asciiTheme="minorBidi" w:hAnsiTheme="minorBidi"/>
          <w:sz w:val="22"/>
        </w:rPr>
        <w:t>. London: NHS England.</w:t>
      </w:r>
    </w:p>
    <w:p w14:paraId="62174BC2"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Office for National Statistics (ONS), 2022.</w:t>
      </w:r>
      <w:r w:rsidRPr="00FC187F">
        <w:rPr>
          <w:rFonts w:asciiTheme="minorBidi" w:hAnsiTheme="minorBidi"/>
          <w:sz w:val="22"/>
        </w:rPr>
        <w:t xml:space="preserve"> </w:t>
      </w:r>
      <w:r w:rsidRPr="00FC187F">
        <w:rPr>
          <w:rFonts w:asciiTheme="minorBidi" w:hAnsiTheme="minorBidi"/>
          <w:i/>
          <w:iCs/>
          <w:sz w:val="22"/>
        </w:rPr>
        <w:t>Internet Access – Households and Individuals</w:t>
      </w:r>
      <w:r w:rsidRPr="00FC187F">
        <w:rPr>
          <w:rFonts w:asciiTheme="minorBidi" w:hAnsiTheme="minorBidi"/>
          <w:sz w:val="22"/>
        </w:rPr>
        <w:t>. London: ONS.</w:t>
      </w:r>
    </w:p>
    <w:p w14:paraId="32C22E77"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 xml:space="preserve">Peters, M., Godfrey, C., McInerney, P., Munn, Z., </w:t>
      </w:r>
      <w:proofErr w:type="spellStart"/>
      <w:r w:rsidRPr="00FC187F">
        <w:rPr>
          <w:rFonts w:asciiTheme="minorBidi" w:hAnsiTheme="minorBidi"/>
          <w:b/>
          <w:bCs/>
          <w:sz w:val="22"/>
        </w:rPr>
        <w:t>Tricco</w:t>
      </w:r>
      <w:proofErr w:type="spellEnd"/>
      <w:r w:rsidRPr="00FC187F">
        <w:rPr>
          <w:rFonts w:asciiTheme="minorBidi" w:hAnsiTheme="minorBidi"/>
          <w:b/>
          <w:bCs/>
          <w:sz w:val="22"/>
        </w:rPr>
        <w:t>, A. and Khalil, H., 2020.</w:t>
      </w:r>
      <w:r w:rsidRPr="00FC187F">
        <w:rPr>
          <w:rFonts w:asciiTheme="minorBidi" w:hAnsiTheme="minorBidi"/>
          <w:sz w:val="22"/>
        </w:rPr>
        <w:t xml:space="preserve"> </w:t>
      </w:r>
      <w:r w:rsidRPr="00FC187F">
        <w:rPr>
          <w:rFonts w:asciiTheme="minorBidi" w:hAnsiTheme="minorBidi"/>
          <w:i/>
          <w:iCs/>
          <w:sz w:val="22"/>
        </w:rPr>
        <w:t>JBI Manual for Evidence Synthesis</w:t>
      </w:r>
      <w:r w:rsidRPr="00FC187F">
        <w:rPr>
          <w:rFonts w:asciiTheme="minorBidi" w:hAnsiTheme="minorBidi"/>
          <w:sz w:val="22"/>
        </w:rPr>
        <w:t>. Adelaide: Joanna Briggs Institute.</w:t>
      </w:r>
    </w:p>
    <w:p w14:paraId="5E7D4EAA"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 xml:space="preserve">Shaw, S., </w:t>
      </w:r>
      <w:proofErr w:type="spellStart"/>
      <w:r w:rsidRPr="00FC187F">
        <w:rPr>
          <w:rFonts w:asciiTheme="minorBidi" w:hAnsiTheme="minorBidi"/>
          <w:b/>
          <w:bCs/>
          <w:sz w:val="22"/>
        </w:rPr>
        <w:t>Wherton</w:t>
      </w:r>
      <w:proofErr w:type="spellEnd"/>
      <w:r w:rsidRPr="00FC187F">
        <w:rPr>
          <w:rFonts w:asciiTheme="minorBidi" w:hAnsiTheme="minorBidi"/>
          <w:b/>
          <w:bCs/>
          <w:sz w:val="22"/>
        </w:rPr>
        <w:t>, J., Vijayaraghavan, S., Morris, J., Bhattacharya, S. and Greenhalgh, T., 2018.</w:t>
      </w:r>
      <w:r w:rsidRPr="00FC187F">
        <w:rPr>
          <w:rFonts w:asciiTheme="minorBidi" w:hAnsiTheme="minorBidi"/>
          <w:sz w:val="22"/>
        </w:rPr>
        <w:t xml:space="preserve"> Advantages and limitations of virtual online consultations in a UK primary care setting: a qualitative study. </w:t>
      </w:r>
      <w:r w:rsidRPr="00FC187F">
        <w:rPr>
          <w:rFonts w:asciiTheme="minorBidi" w:hAnsiTheme="minorBidi"/>
          <w:i/>
          <w:iCs/>
          <w:sz w:val="22"/>
        </w:rPr>
        <w:t>British Journal of General Practice</w:t>
      </w:r>
      <w:r w:rsidRPr="00FC187F">
        <w:rPr>
          <w:rFonts w:asciiTheme="minorBidi" w:hAnsiTheme="minorBidi"/>
          <w:sz w:val="22"/>
        </w:rPr>
        <w:t>, 68(669), pp. e504–e512.</w:t>
      </w:r>
    </w:p>
    <w:p w14:paraId="083FBBE2" w14:textId="77777777" w:rsidR="00FC187F" w:rsidRPr="00FC187F" w:rsidRDefault="00FC187F" w:rsidP="00FC187F">
      <w:pPr>
        <w:tabs>
          <w:tab w:val="left" w:pos="6540"/>
        </w:tabs>
        <w:spacing w:line="360" w:lineRule="auto"/>
        <w:rPr>
          <w:rFonts w:asciiTheme="minorBidi" w:hAnsiTheme="minorBidi"/>
          <w:sz w:val="22"/>
        </w:rPr>
      </w:pPr>
      <w:r w:rsidRPr="00FC187F">
        <w:rPr>
          <w:rFonts w:asciiTheme="minorBidi" w:hAnsiTheme="minorBidi"/>
          <w:b/>
          <w:bCs/>
          <w:sz w:val="22"/>
        </w:rPr>
        <w:t xml:space="preserve">Williams, R., </w:t>
      </w:r>
      <w:proofErr w:type="spellStart"/>
      <w:r w:rsidRPr="00FC187F">
        <w:rPr>
          <w:rFonts w:asciiTheme="minorBidi" w:hAnsiTheme="minorBidi"/>
          <w:b/>
          <w:bCs/>
          <w:sz w:val="22"/>
        </w:rPr>
        <w:t>Kontopantelis</w:t>
      </w:r>
      <w:proofErr w:type="spellEnd"/>
      <w:r w:rsidRPr="00FC187F">
        <w:rPr>
          <w:rFonts w:asciiTheme="minorBidi" w:hAnsiTheme="minorBidi"/>
          <w:b/>
          <w:bCs/>
          <w:sz w:val="22"/>
        </w:rPr>
        <w:t>, E., Buchan, I. and Peek, N., 2020.</w:t>
      </w:r>
      <w:r w:rsidRPr="00FC187F">
        <w:rPr>
          <w:rFonts w:asciiTheme="minorBidi" w:hAnsiTheme="minorBidi"/>
          <w:sz w:val="22"/>
        </w:rPr>
        <w:t xml:space="preserve"> Health data and digital systems in UK primary care: opportunities and challenges. </w:t>
      </w:r>
      <w:r w:rsidRPr="00FC187F">
        <w:rPr>
          <w:rFonts w:asciiTheme="minorBidi" w:hAnsiTheme="minorBidi"/>
          <w:i/>
          <w:iCs/>
          <w:sz w:val="22"/>
        </w:rPr>
        <w:t>Journal of Innovation in Health Informatics</w:t>
      </w:r>
      <w:r w:rsidRPr="00FC187F">
        <w:rPr>
          <w:rFonts w:asciiTheme="minorBidi" w:hAnsiTheme="minorBidi"/>
          <w:sz w:val="22"/>
        </w:rPr>
        <w:t>, 27(3), pp. 1–10.</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88330" w14:textId="77777777" w:rsidR="00DC14A0" w:rsidRDefault="00DC14A0" w:rsidP="003E4ECF">
      <w:pPr>
        <w:spacing w:after="0" w:line="240" w:lineRule="auto"/>
      </w:pPr>
      <w:r>
        <w:separator/>
      </w:r>
    </w:p>
  </w:endnote>
  <w:endnote w:type="continuationSeparator" w:id="0">
    <w:p w14:paraId="1ED9B2F5" w14:textId="77777777" w:rsidR="00DC14A0" w:rsidRDefault="00DC14A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4CBD1C" w14:textId="77777777" w:rsidR="00DC14A0" w:rsidRDefault="00DC14A0" w:rsidP="003E4ECF">
      <w:pPr>
        <w:spacing w:after="0" w:line="240" w:lineRule="auto"/>
      </w:pPr>
      <w:r>
        <w:separator/>
      </w:r>
    </w:p>
  </w:footnote>
  <w:footnote w:type="continuationSeparator" w:id="0">
    <w:p w14:paraId="1B47E6EF" w14:textId="77777777" w:rsidR="00DC14A0" w:rsidRDefault="00DC14A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74BC9"/>
    <w:multiLevelType w:val="multilevel"/>
    <w:tmpl w:val="26E0B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B36E5"/>
    <w:multiLevelType w:val="multilevel"/>
    <w:tmpl w:val="56F69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5E705F"/>
    <w:multiLevelType w:val="multilevel"/>
    <w:tmpl w:val="815E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A0ADE"/>
    <w:multiLevelType w:val="multilevel"/>
    <w:tmpl w:val="5262D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45339F"/>
    <w:multiLevelType w:val="multilevel"/>
    <w:tmpl w:val="3EE2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DA6F88"/>
    <w:multiLevelType w:val="multilevel"/>
    <w:tmpl w:val="20304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B73FEC"/>
    <w:multiLevelType w:val="multilevel"/>
    <w:tmpl w:val="1688D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4D2D32"/>
    <w:multiLevelType w:val="multilevel"/>
    <w:tmpl w:val="45A8C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AE42E8"/>
    <w:multiLevelType w:val="multilevel"/>
    <w:tmpl w:val="F98C0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1B05C3"/>
    <w:multiLevelType w:val="multilevel"/>
    <w:tmpl w:val="7F6E0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467981"/>
    <w:multiLevelType w:val="multilevel"/>
    <w:tmpl w:val="529C8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145F1B"/>
    <w:multiLevelType w:val="multilevel"/>
    <w:tmpl w:val="C6CE6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B83288"/>
    <w:multiLevelType w:val="multilevel"/>
    <w:tmpl w:val="99225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51075E"/>
    <w:multiLevelType w:val="multilevel"/>
    <w:tmpl w:val="97981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EC490D"/>
    <w:multiLevelType w:val="multilevel"/>
    <w:tmpl w:val="7B52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3E789C"/>
    <w:multiLevelType w:val="multilevel"/>
    <w:tmpl w:val="92E4E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CF0FF9"/>
    <w:multiLevelType w:val="multilevel"/>
    <w:tmpl w:val="0B5E6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8F4901"/>
    <w:multiLevelType w:val="multilevel"/>
    <w:tmpl w:val="D35C3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4921574">
    <w:abstractNumId w:val="8"/>
  </w:num>
  <w:num w:numId="2" w16cid:durableId="1948467057">
    <w:abstractNumId w:val="6"/>
  </w:num>
  <w:num w:numId="3" w16cid:durableId="1319114749">
    <w:abstractNumId w:val="3"/>
  </w:num>
  <w:num w:numId="4" w16cid:durableId="1161389427">
    <w:abstractNumId w:val="0"/>
  </w:num>
  <w:num w:numId="5" w16cid:durableId="2122411373">
    <w:abstractNumId w:val="7"/>
  </w:num>
  <w:num w:numId="6" w16cid:durableId="1173453346">
    <w:abstractNumId w:val="14"/>
  </w:num>
  <w:num w:numId="7" w16cid:durableId="1326201961">
    <w:abstractNumId w:val="13"/>
  </w:num>
  <w:num w:numId="8" w16cid:durableId="227305680">
    <w:abstractNumId w:val="15"/>
  </w:num>
  <w:num w:numId="9" w16cid:durableId="584538512">
    <w:abstractNumId w:val="16"/>
  </w:num>
  <w:num w:numId="10" w16cid:durableId="208495906">
    <w:abstractNumId w:val="11"/>
  </w:num>
  <w:num w:numId="11" w16cid:durableId="1529681730">
    <w:abstractNumId w:val="4"/>
  </w:num>
  <w:num w:numId="12" w16cid:durableId="413474409">
    <w:abstractNumId w:val="1"/>
  </w:num>
  <w:num w:numId="13" w16cid:durableId="851528361">
    <w:abstractNumId w:val="5"/>
  </w:num>
  <w:num w:numId="14" w16cid:durableId="1334841018">
    <w:abstractNumId w:val="17"/>
  </w:num>
  <w:num w:numId="15" w16cid:durableId="1964188845">
    <w:abstractNumId w:val="10"/>
  </w:num>
  <w:num w:numId="16" w16cid:durableId="1524320140">
    <w:abstractNumId w:val="9"/>
  </w:num>
  <w:num w:numId="17" w16cid:durableId="870998677">
    <w:abstractNumId w:val="2"/>
  </w:num>
  <w:num w:numId="18" w16cid:durableId="193968138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393A"/>
    <w:rsid w:val="00273EDD"/>
    <w:rsid w:val="002C3965"/>
    <w:rsid w:val="00321C4C"/>
    <w:rsid w:val="00392BBC"/>
    <w:rsid w:val="003E4ECF"/>
    <w:rsid w:val="004A736E"/>
    <w:rsid w:val="005E69D0"/>
    <w:rsid w:val="006925AA"/>
    <w:rsid w:val="006D0D62"/>
    <w:rsid w:val="00725177"/>
    <w:rsid w:val="00814A9E"/>
    <w:rsid w:val="0090040D"/>
    <w:rsid w:val="009D052C"/>
    <w:rsid w:val="009D1D1E"/>
    <w:rsid w:val="00A035FD"/>
    <w:rsid w:val="00B87E75"/>
    <w:rsid w:val="00CD33A8"/>
    <w:rsid w:val="00DC14A0"/>
    <w:rsid w:val="00E569FD"/>
    <w:rsid w:val="00E620E7"/>
    <w:rsid w:val="00F66E1B"/>
    <w:rsid w:val="00FC18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5105</Words>
  <Characters>29103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Spogmay Ahmadzai</cp:lastModifiedBy>
  <cp:revision>2</cp:revision>
  <dcterms:created xsi:type="dcterms:W3CDTF">2026-05-01T10:23:00Z</dcterms:created>
  <dcterms:modified xsi:type="dcterms:W3CDTF">2026-05-01T10:23:00Z</dcterms:modified>
</cp:coreProperties>
</file>