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9DD" w:rsidRPr="00B009DD" w:rsidRDefault="00B009DD" w:rsidP="00B009DD">
      <w:pPr>
        <w:rPr>
          <w:sz w:val="28"/>
          <w:szCs w:val="28"/>
        </w:rPr>
      </w:pPr>
      <w:r w:rsidRPr="00B009DD">
        <w:rPr>
          <w:sz w:val="28"/>
          <w:szCs w:val="28"/>
        </w:rPr>
        <w:t xml:space="preserve"> Ju</w:t>
      </w:r>
      <w:r w:rsidR="006644C5">
        <w:rPr>
          <w:sz w:val="28"/>
          <w:szCs w:val="28"/>
        </w:rPr>
        <w:t xml:space="preserve">dicial Independence </w:t>
      </w:r>
      <w:r w:rsidRPr="00B009DD">
        <w:rPr>
          <w:sz w:val="28"/>
          <w:szCs w:val="28"/>
        </w:rPr>
        <w:t xml:space="preserve">Essay, </w:t>
      </w:r>
    </w:p>
    <w:p w:rsidR="00B009DD" w:rsidRDefault="00B009DD">
      <w:pPr>
        <w:rPr>
          <w:sz w:val="28"/>
          <w:szCs w:val="28"/>
        </w:rPr>
      </w:pPr>
    </w:p>
    <w:p w:rsidR="00F153E2" w:rsidRPr="00F153E2" w:rsidRDefault="0085009C" w:rsidP="006644C5">
      <w:pPr>
        <w:rPr>
          <w:rFonts w:cstheme="minorHAnsi"/>
          <w:color w:val="202124"/>
          <w:sz w:val="24"/>
          <w:szCs w:val="24"/>
          <w:shd w:val="clear" w:color="auto" w:fill="FFFFFF"/>
        </w:rPr>
      </w:pPr>
      <w:r w:rsidRPr="006644C5">
        <w:rPr>
          <w:rFonts w:cstheme="minorHAnsi"/>
          <w:color w:val="011010"/>
          <w:sz w:val="24"/>
          <w:szCs w:val="24"/>
          <w:shd w:val="clear" w:color="auto" w:fill="FFFFFF"/>
        </w:rPr>
        <w:t xml:space="preserve">A constitution is primarily a set of rules and principles specifying how a country should be governed, how power is distributed and controlled, and what rights citizens possess. It is usually written down and contained within a single document; the UK is unusual in having an </w:t>
      </w:r>
      <w:r w:rsidRPr="006644C5">
        <w:rPr>
          <w:rFonts w:cstheme="minorHAnsi"/>
          <w:color w:val="011010"/>
          <w:sz w:val="24"/>
          <w:szCs w:val="24"/>
          <w:shd w:val="clear" w:color="auto" w:fill="FFFFFF"/>
        </w:rPr>
        <w:t>unmodified</w:t>
      </w:r>
      <w:r w:rsidRPr="006644C5">
        <w:rPr>
          <w:rFonts w:cstheme="minorHAnsi"/>
          <w:color w:val="011010"/>
          <w:sz w:val="24"/>
          <w:szCs w:val="24"/>
          <w:shd w:val="clear" w:color="auto" w:fill="FFFFFF"/>
        </w:rPr>
        <w:t xml:space="preserve"> constitution with many sources. </w:t>
      </w:r>
      <w:r w:rsidR="003E5547" w:rsidRPr="006644C5">
        <w:rPr>
          <w:rFonts w:cstheme="minorHAnsi"/>
          <w:color w:val="202124"/>
          <w:sz w:val="24"/>
          <w:szCs w:val="24"/>
          <w:shd w:val="clear" w:color="auto" w:fill="FFFFFF"/>
        </w:rPr>
        <w:t>The </w:t>
      </w:r>
      <w:r w:rsidR="003E5547" w:rsidRPr="006644C5">
        <w:rPr>
          <w:rFonts w:cstheme="minorHAnsi"/>
          <w:b/>
          <w:bCs/>
          <w:color w:val="202124"/>
          <w:sz w:val="24"/>
          <w:szCs w:val="24"/>
          <w:shd w:val="clear" w:color="auto" w:fill="FFFFFF"/>
        </w:rPr>
        <w:t>independence</w:t>
      </w:r>
      <w:r w:rsidR="003E5547" w:rsidRPr="006644C5">
        <w:rPr>
          <w:rFonts w:cstheme="minorHAnsi"/>
          <w:color w:val="202124"/>
          <w:sz w:val="24"/>
          <w:szCs w:val="24"/>
          <w:shd w:val="clear" w:color="auto" w:fill="FFFFFF"/>
        </w:rPr>
        <w:t> of individual judges is safeguarded by the </w:t>
      </w:r>
      <w:r w:rsidR="003E5547" w:rsidRPr="006644C5">
        <w:rPr>
          <w:rFonts w:cstheme="minorHAnsi"/>
          <w:b/>
          <w:bCs/>
          <w:color w:val="202124"/>
          <w:sz w:val="24"/>
          <w:szCs w:val="24"/>
          <w:shd w:val="clear" w:color="auto" w:fill="FFFFFF"/>
        </w:rPr>
        <w:t>independence</w:t>
      </w:r>
      <w:r w:rsidR="003E5547" w:rsidRPr="006644C5">
        <w:rPr>
          <w:rFonts w:cstheme="minorHAnsi"/>
          <w:color w:val="202124"/>
          <w:sz w:val="24"/>
          <w:szCs w:val="24"/>
          <w:shd w:val="clear" w:color="auto" w:fill="FFFFFF"/>
        </w:rPr>
        <w:t> of the </w:t>
      </w:r>
      <w:r w:rsidR="003E5547" w:rsidRPr="006644C5">
        <w:rPr>
          <w:rFonts w:cstheme="minorHAnsi"/>
          <w:b/>
          <w:bCs/>
          <w:color w:val="202124"/>
          <w:sz w:val="24"/>
          <w:szCs w:val="24"/>
          <w:shd w:val="clear" w:color="auto" w:fill="FFFFFF"/>
        </w:rPr>
        <w:t>judiciary</w:t>
      </w:r>
      <w:r w:rsidR="003E5547" w:rsidRPr="006644C5">
        <w:rPr>
          <w:rFonts w:cstheme="minorHAnsi"/>
          <w:color w:val="202124"/>
          <w:sz w:val="24"/>
          <w:szCs w:val="24"/>
          <w:shd w:val="clear" w:color="auto" w:fill="FFFFFF"/>
        </w:rPr>
        <w:t> as a whole. As such, it is a fundamental aspect of the </w:t>
      </w:r>
      <w:r w:rsidR="003E5547" w:rsidRPr="006644C5">
        <w:rPr>
          <w:rFonts w:cstheme="minorHAnsi"/>
          <w:b/>
          <w:bCs/>
          <w:color w:val="202124"/>
          <w:sz w:val="24"/>
          <w:szCs w:val="24"/>
          <w:shd w:val="clear" w:color="auto" w:fill="FFFFFF"/>
        </w:rPr>
        <w:t>rule of law</w:t>
      </w:r>
      <w:r w:rsidR="003E5547" w:rsidRPr="006644C5">
        <w:rPr>
          <w:rFonts w:cstheme="minorHAnsi"/>
          <w:color w:val="202124"/>
          <w:sz w:val="24"/>
          <w:szCs w:val="24"/>
          <w:shd w:val="clear" w:color="auto" w:fill="FFFFFF"/>
        </w:rPr>
        <w:t>. The </w:t>
      </w:r>
      <w:r w:rsidR="003E5547" w:rsidRPr="006644C5">
        <w:rPr>
          <w:rFonts w:cstheme="minorHAnsi"/>
          <w:b/>
          <w:bCs/>
          <w:color w:val="202124"/>
          <w:sz w:val="24"/>
          <w:szCs w:val="24"/>
          <w:shd w:val="clear" w:color="auto" w:fill="FFFFFF"/>
        </w:rPr>
        <w:t>independence</w:t>
      </w:r>
      <w:r w:rsidR="003E5547" w:rsidRPr="006644C5">
        <w:rPr>
          <w:rFonts w:cstheme="minorHAnsi"/>
          <w:color w:val="202124"/>
          <w:sz w:val="24"/>
          <w:szCs w:val="24"/>
          <w:shd w:val="clear" w:color="auto" w:fill="FFFFFF"/>
        </w:rPr>
        <w:t> of judges should be regarded as a guarantee of freedom, respect for human rights and impartial application of the </w:t>
      </w:r>
      <w:proofErr w:type="spellStart"/>
      <w:r w:rsidR="003E5547" w:rsidRPr="006644C5">
        <w:rPr>
          <w:rFonts w:cstheme="minorHAnsi"/>
          <w:b/>
          <w:bCs/>
          <w:color w:val="202124"/>
          <w:sz w:val="24"/>
          <w:szCs w:val="24"/>
          <w:shd w:val="clear" w:color="auto" w:fill="FFFFFF"/>
        </w:rPr>
        <w:t>law</w:t>
      </w:r>
      <w:r w:rsidR="003E5547" w:rsidRPr="006644C5">
        <w:rPr>
          <w:rFonts w:cstheme="minorHAnsi"/>
          <w:color w:val="202124"/>
          <w:sz w:val="24"/>
          <w:szCs w:val="24"/>
          <w:shd w:val="clear" w:color="auto" w:fill="FFFFFF"/>
        </w:rPr>
        <w:t>.</w:t>
      </w:r>
      <w:r w:rsidR="003E5547" w:rsidRPr="006644C5">
        <w:rPr>
          <w:rFonts w:cstheme="minorHAnsi"/>
          <w:color w:val="000000"/>
          <w:sz w:val="24"/>
          <w:szCs w:val="24"/>
          <w:shd w:val="clear" w:color="auto" w:fill="FFFFFF"/>
        </w:rPr>
        <w:t>Most</w:t>
      </w:r>
      <w:proofErr w:type="spellEnd"/>
      <w:r w:rsidR="003E5547" w:rsidRPr="006644C5">
        <w:rPr>
          <w:rFonts w:cstheme="minorHAnsi"/>
          <w:color w:val="000000"/>
          <w:sz w:val="24"/>
          <w:szCs w:val="24"/>
          <w:shd w:val="clear" w:color="auto" w:fill="FFFFFF"/>
        </w:rPr>
        <w:t xml:space="preserve"> constitutional theories require that the judiciary is separate from and independent of the government, in order to ensure the rule of law - that is, to ensure that the law is enforced impartially and consistently no matter who is in power, and without undue influence from any other </w:t>
      </w:r>
      <w:proofErr w:type="spellStart"/>
      <w:r w:rsidR="003E5547" w:rsidRPr="006644C5">
        <w:rPr>
          <w:rFonts w:cstheme="minorHAnsi"/>
          <w:color w:val="000000"/>
          <w:sz w:val="24"/>
          <w:szCs w:val="24"/>
          <w:shd w:val="clear" w:color="auto" w:fill="FFFFFF"/>
        </w:rPr>
        <w:t>source</w:t>
      </w:r>
      <w:r w:rsidR="00F153E2" w:rsidRPr="006644C5">
        <w:rPr>
          <w:rFonts w:cstheme="minorHAnsi"/>
          <w:sz w:val="24"/>
          <w:szCs w:val="24"/>
        </w:rPr>
        <w:t>The</w:t>
      </w:r>
      <w:proofErr w:type="spellEnd"/>
      <w:r w:rsidR="00F153E2" w:rsidRPr="006644C5">
        <w:rPr>
          <w:rFonts w:cstheme="minorHAnsi"/>
          <w:sz w:val="24"/>
          <w:szCs w:val="24"/>
        </w:rPr>
        <w:t xml:space="preserve"> separation of powers doctrine grew out of centuries of political and philosophical development. Its origins can be traced to the fourth century B.C. when Aristotle, in his treatise entitled Politics, described three agencies of government: the general assembly, the public officials, and the judiciary.' In republican Rome, there was a somewhat similar system consisting of public assemblies, the senate, and the public officials, all operating on a principle of checks and balances.2 Following the fall of the Roman Empire, Europe became fragmented into nation-states, and from the end of the Middle Ages until the eighteenth century the dominant governmental structure consisted of a concentrated power residing in hereditary rulers, the sole exception being the </w:t>
      </w:r>
      <w:r w:rsidR="00F153E2" w:rsidRPr="006644C5">
        <w:rPr>
          <w:rFonts w:cstheme="minorHAnsi"/>
          <w:sz w:val="24"/>
          <w:szCs w:val="24"/>
        </w:rPr>
        <w:t>development of</w:t>
      </w:r>
      <w:r w:rsidR="00F153E2" w:rsidRPr="006644C5">
        <w:rPr>
          <w:rFonts w:cstheme="minorHAnsi"/>
          <w:sz w:val="24"/>
          <w:szCs w:val="24"/>
        </w:rPr>
        <w:t xml:space="preserve"> the English Parliament in the seventeenth century With the birth of Parliament, the theory of three branches of government reappeared, this time embodied in John Locke's Two Treatises of Government (1689),</w:t>
      </w:r>
      <w:r w:rsidR="003E5547" w:rsidRPr="006644C5">
        <w:rPr>
          <w:rFonts w:cstheme="minorHAnsi"/>
          <w:color w:val="000000"/>
          <w:sz w:val="24"/>
          <w:szCs w:val="24"/>
          <w:shd w:val="clear" w:color="auto" w:fill="FFFFFF"/>
        </w:rPr>
        <w:t>.</w:t>
      </w:r>
      <w:r w:rsidR="00F153E2" w:rsidRPr="006644C5">
        <w:rPr>
          <w:rFonts w:cstheme="minorHAnsi"/>
          <w:color w:val="202124"/>
          <w:sz w:val="24"/>
          <w:szCs w:val="24"/>
          <w:shd w:val="clear" w:color="auto" w:fill="FFFFFF"/>
        </w:rPr>
        <w:t>An </w:t>
      </w:r>
      <w:proofErr w:type="spellStart"/>
      <w:r w:rsidR="00F153E2" w:rsidRPr="006644C5">
        <w:rPr>
          <w:rFonts w:cstheme="minorHAnsi"/>
          <w:b/>
          <w:bCs/>
          <w:color w:val="202124"/>
          <w:sz w:val="24"/>
          <w:szCs w:val="24"/>
          <w:shd w:val="clear" w:color="auto" w:fill="FFFFFF"/>
        </w:rPr>
        <w:t>uncodified</w:t>
      </w:r>
      <w:proofErr w:type="spellEnd"/>
      <w:r w:rsidR="00F153E2" w:rsidRPr="006644C5">
        <w:rPr>
          <w:rFonts w:cstheme="minorHAnsi"/>
          <w:b/>
          <w:bCs/>
          <w:color w:val="202124"/>
          <w:sz w:val="24"/>
          <w:szCs w:val="24"/>
          <w:shd w:val="clear" w:color="auto" w:fill="FFFFFF"/>
        </w:rPr>
        <w:t xml:space="preserve"> constitution</w:t>
      </w:r>
      <w:r w:rsidR="00F153E2" w:rsidRPr="006644C5">
        <w:rPr>
          <w:rFonts w:cstheme="minorHAnsi"/>
          <w:color w:val="202124"/>
          <w:sz w:val="24"/>
          <w:szCs w:val="24"/>
          <w:shd w:val="clear" w:color="auto" w:fill="FFFFFF"/>
        </w:rPr>
        <w:t> is a type of </w:t>
      </w:r>
      <w:r w:rsidR="00F153E2" w:rsidRPr="006644C5">
        <w:rPr>
          <w:rFonts w:cstheme="minorHAnsi"/>
          <w:b/>
          <w:bCs/>
          <w:color w:val="202124"/>
          <w:sz w:val="24"/>
          <w:szCs w:val="24"/>
          <w:shd w:val="clear" w:color="auto" w:fill="FFFFFF"/>
        </w:rPr>
        <w:t>constitution</w:t>
      </w:r>
      <w:r w:rsidR="00F153E2" w:rsidRPr="006644C5">
        <w:rPr>
          <w:rFonts w:cstheme="minorHAnsi"/>
          <w:color w:val="202124"/>
          <w:sz w:val="24"/>
          <w:szCs w:val="24"/>
          <w:shd w:val="clear" w:color="auto" w:fill="FFFFFF"/>
        </w:rPr>
        <w:t> where the fundamental rules often take the form of customs, usage, precedent and a variety of statutes and legal instruments. An understanding of the </w:t>
      </w:r>
      <w:r w:rsidR="00F153E2" w:rsidRPr="006644C5">
        <w:rPr>
          <w:rFonts w:cstheme="minorHAnsi"/>
          <w:b/>
          <w:bCs/>
          <w:color w:val="202124"/>
          <w:sz w:val="24"/>
          <w:szCs w:val="24"/>
          <w:shd w:val="clear" w:color="auto" w:fill="FFFFFF"/>
        </w:rPr>
        <w:t>constitution</w:t>
      </w:r>
      <w:r w:rsidR="00F153E2" w:rsidRPr="006644C5">
        <w:rPr>
          <w:rFonts w:cstheme="minorHAnsi"/>
          <w:color w:val="202124"/>
          <w:sz w:val="24"/>
          <w:szCs w:val="24"/>
          <w:shd w:val="clear" w:color="auto" w:fill="FFFFFF"/>
        </w:rPr>
        <w:t xml:space="preserve"> is obtained through reading commentary by the judiciary, government committees or legal </w:t>
      </w:r>
      <w:proofErr w:type="spellStart"/>
      <w:r w:rsidR="00F153E2" w:rsidRPr="006644C5">
        <w:rPr>
          <w:rFonts w:cstheme="minorHAnsi"/>
          <w:color w:val="202124"/>
          <w:sz w:val="24"/>
          <w:szCs w:val="24"/>
          <w:shd w:val="clear" w:color="auto" w:fill="FFFFFF"/>
        </w:rPr>
        <w:t>experts.</w:t>
      </w:r>
      <w:r w:rsidR="00F153E2" w:rsidRPr="00F153E2">
        <w:rPr>
          <w:rFonts w:eastAsia="Times New Roman" w:cstheme="minorHAnsi"/>
          <w:color w:val="000000"/>
          <w:sz w:val="24"/>
          <w:szCs w:val="24"/>
          <w:lang w:eastAsia="en-GB"/>
        </w:rPr>
        <w:t>The</w:t>
      </w:r>
      <w:proofErr w:type="spellEnd"/>
      <w:r w:rsidR="00F153E2" w:rsidRPr="00F153E2">
        <w:rPr>
          <w:rFonts w:eastAsia="Times New Roman" w:cstheme="minorHAnsi"/>
          <w:color w:val="000000"/>
          <w:sz w:val="24"/>
          <w:szCs w:val="24"/>
          <w:lang w:eastAsia="en-GB"/>
        </w:rPr>
        <w:t> </w:t>
      </w:r>
      <w:r w:rsidR="00F153E2" w:rsidRPr="00F153E2">
        <w:rPr>
          <w:rFonts w:eastAsia="Times New Roman" w:cstheme="minorHAnsi"/>
          <w:color w:val="60609F"/>
          <w:sz w:val="24"/>
          <w:szCs w:val="24"/>
          <w:lang w:eastAsia="en-GB"/>
        </w:rPr>
        <w:t>doctrine of judicial precedent</w:t>
      </w:r>
      <w:r w:rsidR="00F153E2" w:rsidRPr="00F153E2">
        <w:rPr>
          <w:rFonts w:eastAsia="Times New Roman" w:cstheme="minorHAnsi"/>
          <w:color w:val="000000"/>
          <w:sz w:val="24"/>
          <w:szCs w:val="24"/>
          <w:lang w:eastAsia="en-GB"/>
        </w:rPr>
        <w:t> is based on </w:t>
      </w:r>
      <w:r w:rsidR="00F153E2" w:rsidRPr="006644C5">
        <w:rPr>
          <w:rFonts w:eastAsia="Times New Roman" w:cstheme="minorHAnsi"/>
          <w:i/>
          <w:iCs/>
          <w:color w:val="60609F"/>
          <w:sz w:val="24"/>
          <w:szCs w:val="24"/>
          <w:lang w:eastAsia="en-GB"/>
        </w:rPr>
        <w:t>stare decisis</w:t>
      </w:r>
      <w:r w:rsidR="00F153E2" w:rsidRPr="00F153E2">
        <w:rPr>
          <w:rFonts w:eastAsia="Times New Roman" w:cstheme="minorHAnsi"/>
          <w:color w:val="000000"/>
          <w:sz w:val="24"/>
          <w:szCs w:val="24"/>
          <w:lang w:eastAsia="en-GB"/>
        </w:rPr>
        <w:t xml:space="preserve">. That is the standing by of previous decisions. Once a point of law has been decided in a particular case, that law must be applied in all future cases containing the same material </w:t>
      </w:r>
      <w:proofErr w:type="spellStart"/>
      <w:r w:rsidR="00F153E2" w:rsidRPr="00F153E2">
        <w:rPr>
          <w:rFonts w:eastAsia="Times New Roman" w:cstheme="minorHAnsi"/>
          <w:color w:val="000000"/>
          <w:sz w:val="24"/>
          <w:szCs w:val="24"/>
          <w:lang w:eastAsia="en-GB"/>
        </w:rPr>
        <w:t>facts.For</w:t>
      </w:r>
      <w:proofErr w:type="spellEnd"/>
      <w:r w:rsidR="00F153E2" w:rsidRPr="00F153E2">
        <w:rPr>
          <w:rFonts w:eastAsia="Times New Roman" w:cstheme="minorHAnsi"/>
          <w:color w:val="000000"/>
          <w:sz w:val="24"/>
          <w:szCs w:val="24"/>
          <w:lang w:eastAsia="en-GB"/>
        </w:rPr>
        <w:t xml:space="preserve"> example in the case of </w:t>
      </w:r>
      <w:r w:rsidR="00F153E2" w:rsidRPr="006644C5">
        <w:rPr>
          <w:rFonts w:eastAsia="Times New Roman" w:cstheme="minorHAnsi"/>
          <w:i/>
          <w:iCs/>
          <w:color w:val="5500FF"/>
          <w:sz w:val="24"/>
          <w:szCs w:val="24"/>
          <w:lang w:eastAsia="en-GB"/>
        </w:rPr>
        <w:t>Donoghue v Stevenson</w:t>
      </w:r>
      <w:r w:rsidR="00F153E2" w:rsidRPr="00F153E2">
        <w:rPr>
          <w:rFonts w:eastAsia="Times New Roman" w:cstheme="minorHAnsi"/>
          <w:color w:val="000000"/>
          <w:sz w:val="24"/>
          <w:szCs w:val="24"/>
          <w:lang w:eastAsia="en-GB"/>
        </w:rPr>
        <w:t>[1932] AC 562, (</w:t>
      </w:r>
      <w:hyperlink r:id="rId6" w:tooltip="" w:history="1">
        <w:r w:rsidR="00F153E2" w:rsidRPr="006644C5">
          <w:rPr>
            <w:rFonts w:eastAsia="Times New Roman" w:cstheme="minorHAnsi"/>
            <w:color w:val="0000FF"/>
            <w:sz w:val="24"/>
            <w:szCs w:val="24"/>
            <w:lang w:eastAsia="en-GB"/>
          </w:rPr>
          <w:t>Case summary</w:t>
        </w:r>
      </w:hyperlink>
      <w:r w:rsidR="00F153E2" w:rsidRPr="00F153E2">
        <w:rPr>
          <w:rFonts w:eastAsia="Times New Roman" w:cstheme="minorHAnsi"/>
          <w:color w:val="000000"/>
          <w:sz w:val="24"/>
          <w:szCs w:val="24"/>
          <w:lang w:eastAsia="en-GB"/>
        </w:rPr>
        <w:t>) the House of Lords held that a manufacturer owed a duty of care to the ultimate consumer of the product. This set a binding precedent which was followed in </w:t>
      </w:r>
      <w:r w:rsidR="00F153E2" w:rsidRPr="006644C5">
        <w:rPr>
          <w:rFonts w:eastAsia="Times New Roman" w:cstheme="minorHAnsi"/>
          <w:i/>
          <w:iCs/>
          <w:color w:val="5500FF"/>
          <w:sz w:val="24"/>
          <w:szCs w:val="24"/>
          <w:lang w:eastAsia="en-GB"/>
        </w:rPr>
        <w:t>Grant v Australian Knitting Mills</w:t>
      </w:r>
      <w:r w:rsidR="00F153E2" w:rsidRPr="00F153E2">
        <w:rPr>
          <w:rFonts w:eastAsia="Times New Roman" w:cstheme="minorHAnsi"/>
          <w:color w:val="000000"/>
          <w:sz w:val="24"/>
          <w:szCs w:val="24"/>
          <w:lang w:eastAsia="en-GB"/>
        </w:rPr>
        <w:t> [1936] AC 85. Also in </w:t>
      </w:r>
      <w:hyperlink r:id="rId7" w:history="1">
        <w:r w:rsidR="00F153E2" w:rsidRPr="006644C5">
          <w:rPr>
            <w:rFonts w:eastAsia="Times New Roman" w:cstheme="minorHAnsi"/>
            <w:i/>
            <w:iCs/>
            <w:color w:val="5500FF"/>
            <w:sz w:val="24"/>
            <w:szCs w:val="24"/>
            <w:lang w:eastAsia="en-GB"/>
          </w:rPr>
          <w:t>Shaw v DPP</w:t>
        </w:r>
      </w:hyperlink>
      <w:r w:rsidR="00F153E2" w:rsidRPr="00F153E2">
        <w:rPr>
          <w:rFonts w:eastAsia="Times New Roman" w:cstheme="minorHAnsi"/>
          <w:color w:val="000000"/>
          <w:sz w:val="24"/>
          <w:szCs w:val="24"/>
          <w:lang w:eastAsia="en-GB"/>
        </w:rPr>
        <w:t> [1962] AC 220 (</w:t>
      </w:r>
      <w:hyperlink r:id="rId8" w:tooltip="" w:history="1">
        <w:r w:rsidR="00F153E2" w:rsidRPr="006644C5">
          <w:rPr>
            <w:rFonts w:eastAsia="Times New Roman" w:cstheme="minorHAnsi"/>
            <w:color w:val="0000FF"/>
            <w:sz w:val="24"/>
            <w:szCs w:val="24"/>
            <w:lang w:eastAsia="en-GB"/>
          </w:rPr>
          <w:t>Case summary</w:t>
        </w:r>
      </w:hyperlink>
      <w:r w:rsidR="00F153E2" w:rsidRPr="00F153E2">
        <w:rPr>
          <w:rFonts w:eastAsia="Times New Roman" w:cstheme="minorHAnsi"/>
          <w:color w:val="000000"/>
          <w:sz w:val="24"/>
          <w:szCs w:val="24"/>
          <w:lang w:eastAsia="en-GB"/>
        </w:rPr>
        <w:t>) the House of Lords held that a crime of conspiracy to corrupt public morals existed. This was followed in </w:t>
      </w:r>
      <w:proofErr w:type="spellStart"/>
      <w:r w:rsidR="00F153E2" w:rsidRPr="006644C5">
        <w:rPr>
          <w:rFonts w:eastAsia="Times New Roman" w:cstheme="minorHAnsi"/>
          <w:i/>
          <w:iCs/>
          <w:color w:val="5500FF"/>
          <w:sz w:val="24"/>
          <w:szCs w:val="24"/>
          <w:lang w:eastAsia="en-GB"/>
        </w:rPr>
        <w:t>Knuller</w:t>
      </w:r>
      <w:proofErr w:type="spellEnd"/>
      <w:r w:rsidR="00F153E2" w:rsidRPr="006644C5">
        <w:rPr>
          <w:rFonts w:eastAsia="Times New Roman" w:cstheme="minorHAnsi"/>
          <w:i/>
          <w:iCs/>
          <w:color w:val="5500FF"/>
          <w:sz w:val="24"/>
          <w:szCs w:val="24"/>
          <w:lang w:eastAsia="en-GB"/>
        </w:rPr>
        <w:t xml:space="preserve"> v DPP</w:t>
      </w:r>
      <w:r w:rsidR="00F153E2" w:rsidRPr="00F153E2">
        <w:rPr>
          <w:rFonts w:eastAsia="Times New Roman" w:cstheme="minorHAnsi"/>
          <w:color w:val="000000"/>
          <w:sz w:val="24"/>
          <w:szCs w:val="24"/>
          <w:lang w:eastAsia="en-GB"/>
        </w:rPr>
        <w:t> [1973] AC 435 (</w:t>
      </w:r>
      <w:hyperlink r:id="rId9" w:tooltip="" w:history="1">
        <w:r w:rsidR="00F153E2" w:rsidRPr="006644C5">
          <w:rPr>
            <w:rFonts w:eastAsia="Times New Roman" w:cstheme="minorHAnsi"/>
            <w:color w:val="0000FF"/>
            <w:sz w:val="24"/>
            <w:szCs w:val="24"/>
            <w:lang w:eastAsia="en-GB"/>
          </w:rPr>
          <w:t>Case summary</w:t>
        </w:r>
      </w:hyperlink>
      <w:r w:rsidR="00F153E2" w:rsidRPr="00F153E2">
        <w:rPr>
          <w:rFonts w:eastAsia="Times New Roman" w:cstheme="minorHAnsi"/>
          <w:color w:val="000000"/>
          <w:sz w:val="24"/>
          <w:szCs w:val="24"/>
          <w:lang w:eastAsia="en-GB"/>
        </w:rPr>
        <w:t>). </w:t>
      </w:r>
      <w:r w:rsidR="006644C5">
        <w:rPr>
          <w:rFonts w:eastAsia="Times New Roman" w:cstheme="minorHAnsi"/>
          <w:color w:val="000000"/>
          <w:sz w:val="24"/>
          <w:szCs w:val="24"/>
          <w:lang w:eastAsia="en-GB"/>
        </w:rPr>
        <w:t> </w:t>
      </w:r>
      <w:r w:rsidR="00F153E2" w:rsidRPr="00F153E2">
        <w:rPr>
          <w:rFonts w:eastAsia="Times New Roman" w:cstheme="minorHAnsi"/>
          <w:color w:val="000000"/>
          <w:sz w:val="24"/>
          <w:szCs w:val="24"/>
          <w:lang w:eastAsia="en-GB"/>
        </w:rPr>
        <w:t>In order for the doctrine of judicial precedent to work, it is necessary to be able to determine what a point of law is. In the course of delivering a judgment, the judge will set out their reasons for reaching a decision. The reasons which are necessary for them to reach their decision amount to the </w:t>
      </w:r>
      <w:r w:rsidR="00F153E2" w:rsidRPr="006644C5">
        <w:rPr>
          <w:rFonts w:eastAsia="Times New Roman" w:cstheme="minorHAnsi"/>
          <w:i/>
          <w:iCs/>
          <w:color w:val="60609F"/>
          <w:sz w:val="24"/>
          <w:szCs w:val="24"/>
          <w:lang w:eastAsia="en-GB"/>
        </w:rPr>
        <w:t>ratio decidendi</w:t>
      </w:r>
      <w:r w:rsidR="00F153E2" w:rsidRPr="00F153E2">
        <w:rPr>
          <w:rFonts w:eastAsia="Times New Roman" w:cstheme="minorHAnsi"/>
          <w:color w:val="000000"/>
          <w:sz w:val="24"/>
          <w:szCs w:val="24"/>
          <w:lang w:eastAsia="en-GB"/>
        </w:rPr>
        <w:t> of the case. The </w:t>
      </w:r>
      <w:r w:rsidR="00F153E2" w:rsidRPr="006644C5">
        <w:rPr>
          <w:rFonts w:eastAsia="Times New Roman" w:cstheme="minorHAnsi"/>
          <w:i/>
          <w:iCs/>
          <w:color w:val="5050AF"/>
          <w:sz w:val="24"/>
          <w:szCs w:val="24"/>
          <w:lang w:eastAsia="en-GB"/>
        </w:rPr>
        <w:t>ratio decidendi</w:t>
      </w:r>
      <w:r w:rsidR="00F153E2" w:rsidRPr="00F153E2">
        <w:rPr>
          <w:rFonts w:eastAsia="Times New Roman" w:cstheme="minorHAnsi"/>
          <w:color w:val="000000"/>
          <w:sz w:val="24"/>
          <w:szCs w:val="24"/>
          <w:lang w:eastAsia="en-GB"/>
        </w:rPr>
        <w:t xml:space="preserve"> forms the legal principle which </w:t>
      </w:r>
      <w:r w:rsidR="00F153E2" w:rsidRPr="006644C5">
        <w:rPr>
          <w:rFonts w:eastAsia="Times New Roman" w:cstheme="minorHAnsi"/>
          <w:color w:val="000000"/>
          <w:sz w:val="24"/>
          <w:szCs w:val="24"/>
          <w:lang w:eastAsia="en-GB"/>
        </w:rPr>
        <w:t>a binding precedent is</w:t>
      </w:r>
      <w:r w:rsidR="00F153E2" w:rsidRPr="00F153E2">
        <w:rPr>
          <w:rFonts w:eastAsia="Times New Roman" w:cstheme="minorHAnsi"/>
          <w:color w:val="000000"/>
          <w:sz w:val="24"/>
          <w:szCs w:val="24"/>
          <w:lang w:eastAsia="en-GB"/>
        </w:rPr>
        <w:t> meaning it must be followed in future cases containing the same material facts. It is important to separate the </w:t>
      </w:r>
      <w:r w:rsidR="00F153E2" w:rsidRPr="006644C5">
        <w:rPr>
          <w:rFonts w:eastAsia="Times New Roman" w:cstheme="minorHAnsi"/>
          <w:i/>
          <w:iCs/>
          <w:color w:val="5050AF"/>
          <w:sz w:val="24"/>
          <w:szCs w:val="24"/>
          <w:lang w:eastAsia="en-GB"/>
        </w:rPr>
        <w:t>ratio decidendi</w:t>
      </w:r>
      <w:r w:rsidR="00F153E2" w:rsidRPr="00F153E2">
        <w:rPr>
          <w:rFonts w:eastAsia="Times New Roman" w:cstheme="minorHAnsi"/>
          <w:color w:val="000000"/>
          <w:sz w:val="24"/>
          <w:szCs w:val="24"/>
          <w:lang w:eastAsia="en-GB"/>
        </w:rPr>
        <w:t> from the </w:t>
      </w:r>
      <w:r w:rsidR="00F153E2" w:rsidRPr="006644C5">
        <w:rPr>
          <w:rFonts w:eastAsia="Times New Roman" w:cstheme="minorHAnsi"/>
          <w:i/>
          <w:iCs/>
          <w:color w:val="5050AF"/>
          <w:sz w:val="24"/>
          <w:szCs w:val="24"/>
          <w:lang w:eastAsia="en-GB"/>
        </w:rPr>
        <w:t>obiter dicta</w:t>
      </w:r>
      <w:r w:rsidR="00F153E2" w:rsidRPr="00F153E2">
        <w:rPr>
          <w:rFonts w:eastAsia="Times New Roman" w:cstheme="minorHAnsi"/>
          <w:color w:val="000000"/>
          <w:sz w:val="24"/>
          <w:szCs w:val="24"/>
          <w:lang w:eastAsia="en-GB"/>
        </w:rPr>
        <w:t>.</w:t>
      </w:r>
    </w:p>
    <w:p w:rsidR="006644C5" w:rsidRPr="006644C5" w:rsidRDefault="006644C5" w:rsidP="006644C5">
      <w:pPr>
        <w:pStyle w:val="NormalWeb"/>
        <w:spacing w:before="0" w:beforeAutospacing="0" w:after="0" w:afterAutospacing="0"/>
        <w:jc w:val="both"/>
        <w:rPr>
          <w:rFonts w:ascii="Arial" w:hAnsi="Arial" w:cs="Arial"/>
          <w:color w:val="0D0D0D" w:themeColor="text1" w:themeTint="F2"/>
        </w:rPr>
      </w:pPr>
      <w:r w:rsidRPr="006644C5">
        <w:rPr>
          <w:rFonts w:ascii="Arial" w:hAnsi="Arial" w:cs="Arial"/>
          <w:color w:val="0D0D0D" w:themeColor="text1" w:themeTint="F2"/>
        </w:rPr>
        <w:lastRenderedPageBreak/>
        <w:t>A constitution is a framework of legislation and prin</w:t>
      </w:r>
      <w:r w:rsidRPr="006644C5">
        <w:rPr>
          <w:rFonts w:ascii="Arial" w:hAnsi="Arial" w:cs="Arial"/>
          <w:color w:val="0D0D0D" w:themeColor="text1" w:themeTint="F2"/>
        </w:rPr>
        <w:t xml:space="preserve">ciples that govern a </w:t>
      </w:r>
      <w:proofErr w:type="spellStart"/>
      <w:r w:rsidRPr="006644C5">
        <w:rPr>
          <w:rFonts w:ascii="Arial" w:hAnsi="Arial" w:cs="Arial"/>
          <w:color w:val="0D0D0D" w:themeColor="text1" w:themeTint="F2"/>
        </w:rPr>
        <w:t>country</w:t>
      </w:r>
      <w:r w:rsidRPr="006644C5">
        <w:rPr>
          <w:rFonts w:asciiTheme="minorHAnsi" w:hAnsiTheme="minorHAnsi" w:cstheme="minorHAnsi"/>
          <w:color w:val="0D0D0D" w:themeColor="text1" w:themeTint="F2"/>
        </w:rPr>
        <w:t>The</w:t>
      </w:r>
      <w:proofErr w:type="spellEnd"/>
      <w:r w:rsidRPr="006644C5">
        <w:rPr>
          <w:rFonts w:asciiTheme="minorHAnsi" w:hAnsiTheme="minorHAnsi" w:cstheme="minorHAnsi"/>
          <w:color w:val="0D0D0D" w:themeColor="text1" w:themeTint="F2"/>
        </w:rPr>
        <w:t xml:space="preserve"> Advantages of an ‘Unwritten’ </w:t>
      </w:r>
      <w:proofErr w:type="spellStart"/>
      <w:r w:rsidRPr="006644C5">
        <w:rPr>
          <w:rFonts w:asciiTheme="minorHAnsi" w:hAnsiTheme="minorHAnsi" w:cstheme="minorHAnsi"/>
          <w:color w:val="0D0D0D" w:themeColor="text1" w:themeTint="F2"/>
        </w:rPr>
        <w:t>Constitu</w:t>
      </w:r>
      <w:bookmarkStart w:id="0" w:name="_GoBack"/>
      <w:bookmarkEnd w:id="0"/>
      <w:r w:rsidRPr="006644C5">
        <w:rPr>
          <w:rFonts w:asciiTheme="minorHAnsi" w:hAnsiTheme="minorHAnsi" w:cstheme="minorHAnsi"/>
          <w:color w:val="0D0D0D" w:themeColor="text1" w:themeTint="F2"/>
        </w:rPr>
        <w:t>tion</w:t>
      </w:r>
      <w:proofErr w:type="gramStart"/>
      <w:r w:rsidRPr="006644C5">
        <w:rPr>
          <w:rFonts w:asciiTheme="minorHAnsi" w:hAnsiTheme="minorHAnsi" w:cstheme="minorHAnsi"/>
          <w:color w:val="0D0D0D" w:themeColor="text1" w:themeTint="F2"/>
        </w:rPr>
        <w:t>:The</w:t>
      </w:r>
      <w:proofErr w:type="spellEnd"/>
      <w:proofErr w:type="gramEnd"/>
      <w:r w:rsidRPr="006644C5">
        <w:rPr>
          <w:rFonts w:asciiTheme="minorHAnsi" w:hAnsiTheme="minorHAnsi" w:cstheme="minorHAnsi"/>
          <w:color w:val="0D0D0D" w:themeColor="text1" w:themeTint="F2"/>
        </w:rPr>
        <w:t xml:space="preserve"> UK along with New Zealand and Israel are the only three</w:t>
      </w:r>
      <w:r w:rsidRPr="006644C5">
        <w:rPr>
          <w:rFonts w:cstheme="minorHAnsi"/>
          <w:color w:val="0D0D0D" w:themeColor="text1" w:themeTint="F2"/>
        </w:rPr>
        <w:t xml:space="preserve"> countries in the world to HAVE </w:t>
      </w:r>
      <w:r w:rsidRPr="006644C5">
        <w:rPr>
          <w:rFonts w:asciiTheme="minorHAnsi" w:hAnsiTheme="minorHAnsi" w:cstheme="minorHAnsi"/>
          <w:color w:val="0D0D0D" w:themeColor="text1" w:themeTint="F2"/>
        </w:rPr>
        <w:t xml:space="preserve">an </w:t>
      </w:r>
      <w:proofErr w:type="spellStart"/>
      <w:r w:rsidRPr="006644C5">
        <w:rPr>
          <w:rFonts w:asciiTheme="minorHAnsi" w:hAnsiTheme="minorHAnsi" w:cstheme="minorHAnsi"/>
          <w:color w:val="0D0D0D" w:themeColor="text1" w:themeTint="F2"/>
        </w:rPr>
        <w:t>uncodified</w:t>
      </w:r>
      <w:proofErr w:type="spellEnd"/>
      <w:r w:rsidRPr="006644C5">
        <w:rPr>
          <w:rFonts w:asciiTheme="minorHAnsi" w:hAnsiTheme="minorHAnsi" w:cstheme="minorHAnsi"/>
          <w:color w:val="0D0D0D" w:themeColor="text1" w:themeTint="F2"/>
        </w:rPr>
        <w:t xml:space="preserve"> or ‘unwritten’ constitution. So are there any advantages of an ‘unwritten’ constitution?</w:t>
      </w:r>
    </w:p>
    <w:p w:rsidR="006644C5" w:rsidRPr="006644C5" w:rsidRDefault="006644C5" w:rsidP="006644C5">
      <w:pPr>
        <w:spacing w:after="0" w:line="240" w:lineRule="auto"/>
        <w:jc w:val="both"/>
        <w:rPr>
          <w:rFonts w:eastAsia="Times New Roman" w:cstheme="minorHAnsi"/>
          <w:color w:val="0D0D0D" w:themeColor="text1" w:themeTint="F2"/>
          <w:sz w:val="24"/>
          <w:szCs w:val="24"/>
          <w:lang w:eastAsia="en-GB"/>
        </w:rPr>
      </w:pPr>
      <w:r w:rsidRPr="006644C5">
        <w:rPr>
          <w:rFonts w:eastAsia="Times New Roman" w:cstheme="minorHAnsi"/>
          <w:color w:val="0D0D0D" w:themeColor="text1" w:themeTint="F2"/>
          <w:sz w:val="24"/>
          <w:szCs w:val="24"/>
          <w:lang w:eastAsia="en-GB"/>
        </w:rPr>
        <w:t>The main advantage is that these types of constitutions are dynamic, flexible and more amenable to constitutional reform. For example, there’s the Fixed-term Parliaments Act 2011 which ensures a general election every five years subject to two exceptions. </w:t>
      </w:r>
    </w:p>
    <w:p w:rsidR="006644C5" w:rsidRPr="006644C5" w:rsidRDefault="006644C5" w:rsidP="006644C5">
      <w:pPr>
        <w:spacing w:after="0" w:line="240" w:lineRule="auto"/>
        <w:jc w:val="both"/>
        <w:rPr>
          <w:rFonts w:eastAsia="Times New Roman" w:cstheme="minorHAnsi"/>
          <w:sz w:val="24"/>
          <w:szCs w:val="24"/>
          <w:lang w:eastAsia="en-GB"/>
        </w:rPr>
      </w:pPr>
      <w:r w:rsidRPr="006644C5">
        <w:rPr>
          <w:rFonts w:eastAsia="Times New Roman" w:cstheme="minorHAnsi"/>
          <w:color w:val="0D0D0D" w:themeColor="text1" w:themeTint="F2"/>
          <w:sz w:val="24"/>
          <w:szCs w:val="24"/>
          <w:lang w:eastAsia="en-GB"/>
        </w:rPr>
        <w:t>The UK constitution is often described as a “living constitution” because it evolves and adapts to reflect changing social attitudes such as the Marriage (Same-Sex Couples) Act 2013. </w:t>
      </w:r>
      <w:proofErr w:type="gramStart"/>
      <w:r w:rsidRPr="006644C5">
        <w:rPr>
          <w:rFonts w:eastAsia="Times New Roman" w:cstheme="minorHAnsi"/>
          <w:color w:val="0D0D0D" w:themeColor="text1" w:themeTint="F2"/>
          <w:sz w:val="24"/>
          <w:szCs w:val="24"/>
          <w:lang w:eastAsia="en-GB"/>
        </w:rPr>
        <w:t>he</w:t>
      </w:r>
      <w:proofErr w:type="gramEnd"/>
      <w:r w:rsidRPr="006644C5">
        <w:rPr>
          <w:rFonts w:eastAsia="Times New Roman" w:cstheme="minorHAnsi"/>
          <w:color w:val="0D0D0D" w:themeColor="text1" w:themeTint="F2"/>
          <w:sz w:val="24"/>
          <w:szCs w:val="24"/>
          <w:lang w:eastAsia="en-GB"/>
        </w:rPr>
        <w:t xml:space="preserve"> Disadvantages of an ‘Unwritten’ Constitution The absence of a written constitution means that the UK does not have a single, written document that has a higher legal status over other laws and rules. Because of this, the UK constitution comprises a number of sources which makes it less accessible, transparent and intelligible</w:t>
      </w:r>
      <w:r w:rsidRPr="006644C5">
        <w:rPr>
          <w:rFonts w:eastAsia="Times New Roman" w:cstheme="minorHAnsi"/>
          <w:sz w:val="24"/>
          <w:szCs w:val="24"/>
          <w:lang w:eastAsia="en-GB"/>
        </w:rPr>
        <w:t>. </w:t>
      </w:r>
      <w:r w:rsidRPr="006644C5">
        <w:rPr>
          <w:rFonts w:ascii="Arial" w:eastAsia="Times New Roman" w:hAnsi="Arial" w:cs="Arial"/>
          <w:sz w:val="24"/>
          <w:szCs w:val="24"/>
          <w:lang w:eastAsia="en-GB"/>
        </w:rPr>
        <w:t xml:space="preserve">The powers of the executive, legislative and judicial branches are not clearly defined either, which can lead to ambiguity, uncertainty and possible conflict between the three pillars of government. The flexible nature of </w:t>
      </w:r>
      <w:proofErr w:type="spellStart"/>
      <w:r w:rsidRPr="006644C5">
        <w:rPr>
          <w:rFonts w:ascii="Arial" w:eastAsia="Times New Roman" w:hAnsi="Arial" w:cs="Arial"/>
          <w:sz w:val="24"/>
          <w:szCs w:val="24"/>
          <w:lang w:eastAsia="en-GB"/>
        </w:rPr>
        <w:t>uncodified</w:t>
      </w:r>
      <w:proofErr w:type="spellEnd"/>
      <w:r w:rsidRPr="006644C5">
        <w:rPr>
          <w:rFonts w:ascii="Arial" w:eastAsia="Times New Roman" w:hAnsi="Arial" w:cs="Arial"/>
          <w:sz w:val="24"/>
          <w:szCs w:val="24"/>
          <w:lang w:eastAsia="en-GB"/>
        </w:rPr>
        <w:t xml:space="preserve"> constitutions means that they could be subject to multiple interpretations. For example, the opposing interpretations taken by the executive and judiciary regarding the prerogative power to prorogue i.e. suspend Parliament.</w:t>
      </w:r>
    </w:p>
    <w:p w:rsidR="006644C5" w:rsidRDefault="006644C5" w:rsidP="006644C5">
      <w:pPr>
        <w:pStyle w:val="NormalWeb"/>
        <w:spacing w:before="0" w:beforeAutospacing="0" w:after="0" w:afterAutospacing="0" w:line="480" w:lineRule="auto"/>
        <w:rPr>
          <w:rFonts w:ascii="Arial" w:hAnsi="Arial" w:cs="Arial"/>
          <w:color w:val="3B3B3B"/>
        </w:rPr>
      </w:pPr>
      <w:r>
        <w:rPr>
          <w:rFonts w:ascii="Arial" w:hAnsi="Arial" w:cs="Arial"/>
          <w:color w:val="3B3B3B"/>
        </w:rPr>
        <w:t xml:space="preserve"> </w:t>
      </w:r>
    </w:p>
    <w:p w:rsidR="00F153E2" w:rsidRPr="00F153E2" w:rsidRDefault="00F153E2" w:rsidP="003E5547">
      <w:pPr>
        <w:rPr>
          <w:rFonts w:cstheme="minorHAnsi"/>
          <w:color w:val="000000"/>
          <w:shd w:val="clear" w:color="auto" w:fill="FFFFFF"/>
        </w:rPr>
      </w:pPr>
    </w:p>
    <w:p w:rsidR="003E5547" w:rsidRDefault="003E5547" w:rsidP="0085009C">
      <w:pPr>
        <w:ind w:left="360"/>
      </w:pPr>
    </w:p>
    <w:p w:rsidR="00B009DD" w:rsidRDefault="00B009DD">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p>
    <w:p w:rsidR="009E26F0" w:rsidRDefault="009E26F0">
      <w:pPr>
        <w:rPr>
          <w:sz w:val="28"/>
          <w:szCs w:val="28"/>
        </w:rPr>
      </w:pPr>
      <w:r>
        <w:rPr>
          <w:sz w:val="28"/>
          <w:szCs w:val="28"/>
        </w:rPr>
        <w:lastRenderedPageBreak/>
        <w:t xml:space="preserve">REFERENCES </w:t>
      </w:r>
    </w:p>
    <w:p w:rsidR="009E26F0" w:rsidRDefault="009E26F0">
      <w:pPr>
        <w:rPr>
          <w:sz w:val="28"/>
          <w:szCs w:val="28"/>
        </w:rPr>
      </w:pPr>
    </w:p>
    <w:p w:rsidR="009E26F0" w:rsidRDefault="009E26F0" w:rsidP="009E26F0">
      <w:hyperlink r:id="rId10" w:history="1">
        <w:r w:rsidRPr="00F322F0">
          <w:rPr>
            <w:rStyle w:val="Hyperlink"/>
          </w:rPr>
          <w:t>https://www.tutor2u.net/politics/reference/what-is-a-constitution</w:t>
        </w:r>
      </w:hyperlink>
    </w:p>
    <w:p w:rsidR="009E26F0" w:rsidRDefault="009E26F0" w:rsidP="009E26F0">
      <w:hyperlink r:id="rId11" w:history="1">
        <w:r w:rsidRPr="00F322F0">
          <w:rPr>
            <w:rStyle w:val="Hyperlink"/>
          </w:rPr>
          <w:t>https://www.judiciary.uk/about-the-judiciary/the-judiciary-the-government-and-the-constitution/jud-acc-ind/independence/</w:t>
        </w:r>
      </w:hyperlink>
    </w:p>
    <w:p w:rsidR="009E26F0" w:rsidRDefault="009E26F0" w:rsidP="009E26F0">
      <w:hyperlink r:id="rId12" w:history="1">
        <w:r w:rsidRPr="00F322F0">
          <w:rPr>
            <w:rStyle w:val="Hyperlink"/>
          </w:rPr>
          <w:t>https://scholarship.law.duke.edu/cgi/viewcontent.cgi?referer=https://www.google.com/&amp;httpsredir=1&amp;article=3279&amp;context=lcp</w:t>
        </w:r>
      </w:hyperlink>
    </w:p>
    <w:p w:rsidR="009E26F0" w:rsidRDefault="009E26F0" w:rsidP="009E26F0">
      <w:hyperlink r:id="rId13" w:history="1">
        <w:r w:rsidRPr="00F322F0">
          <w:rPr>
            <w:rStyle w:val="Hyperlink"/>
          </w:rPr>
          <w:t>https://www.thelawyerportal.com/blog/the-pros-and-cons-of-having-an-unwritten-constitution/</w:t>
        </w:r>
      </w:hyperlink>
    </w:p>
    <w:p w:rsidR="009E26F0" w:rsidRPr="00B009DD" w:rsidRDefault="009E26F0">
      <w:pPr>
        <w:rPr>
          <w:sz w:val="28"/>
          <w:szCs w:val="28"/>
        </w:rPr>
      </w:pPr>
    </w:p>
    <w:sectPr w:rsidR="009E26F0" w:rsidRPr="00B009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B0C36"/>
    <w:multiLevelType w:val="hybridMultilevel"/>
    <w:tmpl w:val="A18C0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DBC09A4"/>
    <w:multiLevelType w:val="hybridMultilevel"/>
    <w:tmpl w:val="A18C0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9DD"/>
    <w:rsid w:val="003E5547"/>
    <w:rsid w:val="006644C5"/>
    <w:rsid w:val="0085009C"/>
    <w:rsid w:val="009E26F0"/>
    <w:rsid w:val="00B009DD"/>
    <w:rsid w:val="00F153E2"/>
    <w:rsid w:val="00F70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27076D-096C-4B8A-83E5-7E390DD4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4C5"/>
  </w:style>
  <w:style w:type="paragraph" w:styleId="Heading1">
    <w:name w:val="heading 1"/>
    <w:basedOn w:val="Normal"/>
    <w:next w:val="Normal"/>
    <w:link w:val="Heading1Char"/>
    <w:uiPriority w:val="9"/>
    <w:qFormat/>
    <w:rsid w:val="006644C5"/>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Heading2">
    <w:name w:val="heading 2"/>
    <w:basedOn w:val="Normal"/>
    <w:next w:val="Normal"/>
    <w:link w:val="Heading2Char"/>
    <w:uiPriority w:val="9"/>
    <w:unhideWhenUsed/>
    <w:qFormat/>
    <w:rsid w:val="006644C5"/>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6644C5"/>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6644C5"/>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6644C5"/>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6644C5"/>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6644C5"/>
    <w:pPr>
      <w:keepNext/>
      <w:keepLines/>
      <w:spacing w:before="40" w:after="0"/>
      <w:outlineLvl w:val="6"/>
    </w:pPr>
    <w:rPr>
      <w:rFonts w:asciiTheme="majorHAnsi" w:eastAsiaTheme="majorEastAsia" w:hAnsiTheme="majorHAnsi" w:cstheme="majorBidi"/>
      <w:color w:val="1F4E79" w:themeColor="accent1" w:themeShade="80"/>
    </w:rPr>
  </w:style>
  <w:style w:type="paragraph" w:styleId="Heading8">
    <w:name w:val="heading 8"/>
    <w:basedOn w:val="Normal"/>
    <w:next w:val="Normal"/>
    <w:link w:val="Heading8Char"/>
    <w:uiPriority w:val="9"/>
    <w:semiHidden/>
    <w:unhideWhenUsed/>
    <w:qFormat/>
    <w:rsid w:val="006644C5"/>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6644C5"/>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9DD"/>
    <w:pPr>
      <w:ind w:left="720"/>
      <w:contextualSpacing/>
    </w:pPr>
  </w:style>
  <w:style w:type="character" w:styleId="Emphasis">
    <w:name w:val="Emphasis"/>
    <w:basedOn w:val="DefaultParagraphFont"/>
    <w:uiPriority w:val="20"/>
    <w:qFormat/>
    <w:rsid w:val="006644C5"/>
    <w:rPr>
      <w:i/>
      <w:iCs/>
    </w:rPr>
  </w:style>
  <w:style w:type="character" w:styleId="Hyperlink">
    <w:name w:val="Hyperlink"/>
    <w:basedOn w:val="DefaultParagraphFont"/>
    <w:uiPriority w:val="99"/>
    <w:semiHidden/>
    <w:unhideWhenUsed/>
    <w:rsid w:val="00F153E2"/>
    <w:rPr>
      <w:color w:val="0000FF"/>
      <w:u w:val="single"/>
    </w:rPr>
  </w:style>
  <w:style w:type="paragraph" w:styleId="NormalWeb">
    <w:name w:val="Normal (Web)"/>
    <w:basedOn w:val="Normal"/>
    <w:uiPriority w:val="99"/>
    <w:unhideWhenUsed/>
    <w:rsid w:val="006644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44C5"/>
    <w:rPr>
      <w:b/>
      <w:bCs/>
    </w:rPr>
  </w:style>
  <w:style w:type="character" w:customStyle="1" w:styleId="Heading2Char">
    <w:name w:val="Heading 2 Char"/>
    <w:basedOn w:val="DefaultParagraphFont"/>
    <w:link w:val="Heading2"/>
    <w:uiPriority w:val="9"/>
    <w:rsid w:val="006644C5"/>
    <w:rPr>
      <w:rFonts w:asciiTheme="majorHAnsi" w:eastAsiaTheme="majorEastAsia" w:hAnsiTheme="majorHAnsi" w:cstheme="majorBidi"/>
      <w:color w:val="C45911" w:themeColor="accent2" w:themeShade="BF"/>
      <w:sz w:val="28"/>
      <w:szCs w:val="28"/>
    </w:rPr>
  </w:style>
  <w:style w:type="character" w:customStyle="1" w:styleId="Heading1Char">
    <w:name w:val="Heading 1 Char"/>
    <w:basedOn w:val="DefaultParagraphFont"/>
    <w:link w:val="Heading1"/>
    <w:uiPriority w:val="9"/>
    <w:rsid w:val="006644C5"/>
    <w:rPr>
      <w:rFonts w:asciiTheme="majorHAnsi" w:eastAsiaTheme="majorEastAsia" w:hAnsiTheme="majorHAnsi" w:cstheme="majorBidi"/>
      <w:color w:val="2E74B5" w:themeColor="accent1" w:themeShade="BF"/>
      <w:sz w:val="30"/>
      <w:szCs w:val="30"/>
    </w:rPr>
  </w:style>
  <w:style w:type="character" w:customStyle="1" w:styleId="Heading3Char">
    <w:name w:val="Heading 3 Char"/>
    <w:basedOn w:val="DefaultParagraphFont"/>
    <w:link w:val="Heading3"/>
    <w:uiPriority w:val="9"/>
    <w:semiHidden/>
    <w:rsid w:val="006644C5"/>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6644C5"/>
    <w:rPr>
      <w:rFonts w:asciiTheme="majorHAnsi" w:eastAsiaTheme="majorEastAsia" w:hAnsiTheme="majorHAnsi" w:cstheme="majorBidi"/>
      <w:i/>
      <w:iCs/>
      <w:color w:val="2F5496" w:themeColor="accent5" w:themeShade="BF"/>
      <w:sz w:val="25"/>
      <w:szCs w:val="25"/>
    </w:rPr>
  </w:style>
  <w:style w:type="character" w:customStyle="1" w:styleId="Heading5Char">
    <w:name w:val="Heading 5 Char"/>
    <w:basedOn w:val="DefaultParagraphFont"/>
    <w:link w:val="Heading5"/>
    <w:uiPriority w:val="9"/>
    <w:semiHidden/>
    <w:rsid w:val="006644C5"/>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6644C5"/>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6644C5"/>
    <w:rPr>
      <w:rFonts w:asciiTheme="majorHAnsi" w:eastAsiaTheme="majorEastAsia" w:hAnsiTheme="majorHAnsi" w:cstheme="majorBidi"/>
      <w:color w:val="1F4E79" w:themeColor="accent1" w:themeShade="80"/>
    </w:rPr>
  </w:style>
  <w:style w:type="character" w:customStyle="1" w:styleId="Heading8Char">
    <w:name w:val="Heading 8 Char"/>
    <w:basedOn w:val="DefaultParagraphFont"/>
    <w:link w:val="Heading8"/>
    <w:uiPriority w:val="9"/>
    <w:semiHidden/>
    <w:rsid w:val="006644C5"/>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6644C5"/>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6644C5"/>
    <w:pPr>
      <w:spacing w:line="240" w:lineRule="auto"/>
    </w:pPr>
    <w:rPr>
      <w:b/>
      <w:bCs/>
      <w:smallCaps/>
      <w:color w:val="5B9BD5" w:themeColor="accent1"/>
      <w:spacing w:val="6"/>
    </w:rPr>
  </w:style>
  <w:style w:type="paragraph" w:styleId="Title">
    <w:name w:val="Title"/>
    <w:basedOn w:val="Normal"/>
    <w:next w:val="Normal"/>
    <w:link w:val="TitleChar"/>
    <w:uiPriority w:val="10"/>
    <w:qFormat/>
    <w:rsid w:val="006644C5"/>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6644C5"/>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6644C5"/>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644C5"/>
    <w:rPr>
      <w:rFonts w:asciiTheme="majorHAnsi" w:eastAsiaTheme="majorEastAsia" w:hAnsiTheme="majorHAnsi" w:cstheme="majorBidi"/>
    </w:rPr>
  </w:style>
  <w:style w:type="paragraph" w:styleId="NoSpacing">
    <w:name w:val="No Spacing"/>
    <w:uiPriority w:val="1"/>
    <w:qFormat/>
    <w:rsid w:val="006644C5"/>
    <w:pPr>
      <w:spacing w:after="0" w:line="240" w:lineRule="auto"/>
    </w:pPr>
  </w:style>
  <w:style w:type="paragraph" w:styleId="Quote">
    <w:name w:val="Quote"/>
    <w:basedOn w:val="Normal"/>
    <w:next w:val="Normal"/>
    <w:link w:val="QuoteChar"/>
    <w:uiPriority w:val="29"/>
    <w:qFormat/>
    <w:rsid w:val="006644C5"/>
    <w:pPr>
      <w:spacing w:before="120"/>
      <w:ind w:left="720" w:right="720"/>
      <w:jc w:val="center"/>
    </w:pPr>
    <w:rPr>
      <w:i/>
      <w:iCs/>
    </w:rPr>
  </w:style>
  <w:style w:type="character" w:customStyle="1" w:styleId="QuoteChar">
    <w:name w:val="Quote Char"/>
    <w:basedOn w:val="DefaultParagraphFont"/>
    <w:link w:val="Quote"/>
    <w:uiPriority w:val="29"/>
    <w:rsid w:val="006644C5"/>
    <w:rPr>
      <w:i/>
      <w:iCs/>
    </w:rPr>
  </w:style>
  <w:style w:type="paragraph" w:styleId="IntenseQuote">
    <w:name w:val="Intense Quote"/>
    <w:basedOn w:val="Normal"/>
    <w:next w:val="Normal"/>
    <w:link w:val="IntenseQuoteChar"/>
    <w:uiPriority w:val="30"/>
    <w:qFormat/>
    <w:rsid w:val="006644C5"/>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6644C5"/>
    <w:rPr>
      <w:rFonts w:asciiTheme="majorHAnsi" w:eastAsiaTheme="majorEastAsia" w:hAnsiTheme="majorHAnsi" w:cstheme="majorBidi"/>
      <w:color w:val="5B9BD5" w:themeColor="accent1"/>
      <w:sz w:val="24"/>
      <w:szCs w:val="24"/>
    </w:rPr>
  </w:style>
  <w:style w:type="character" w:styleId="SubtleEmphasis">
    <w:name w:val="Subtle Emphasis"/>
    <w:basedOn w:val="DefaultParagraphFont"/>
    <w:uiPriority w:val="19"/>
    <w:qFormat/>
    <w:rsid w:val="006644C5"/>
    <w:rPr>
      <w:i/>
      <w:iCs/>
      <w:color w:val="404040" w:themeColor="text1" w:themeTint="BF"/>
    </w:rPr>
  </w:style>
  <w:style w:type="character" w:styleId="IntenseEmphasis">
    <w:name w:val="Intense Emphasis"/>
    <w:basedOn w:val="DefaultParagraphFont"/>
    <w:uiPriority w:val="21"/>
    <w:qFormat/>
    <w:rsid w:val="006644C5"/>
    <w:rPr>
      <w:b w:val="0"/>
      <w:bCs w:val="0"/>
      <w:i/>
      <w:iCs/>
      <w:color w:val="5B9BD5" w:themeColor="accent1"/>
    </w:rPr>
  </w:style>
  <w:style w:type="character" w:styleId="SubtleReference">
    <w:name w:val="Subtle Reference"/>
    <w:basedOn w:val="DefaultParagraphFont"/>
    <w:uiPriority w:val="31"/>
    <w:qFormat/>
    <w:rsid w:val="006644C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644C5"/>
    <w:rPr>
      <w:b/>
      <w:bCs/>
      <w:smallCaps/>
      <w:color w:val="5B9BD5" w:themeColor="accent1"/>
      <w:spacing w:val="5"/>
      <w:u w:val="single"/>
    </w:rPr>
  </w:style>
  <w:style w:type="character" w:styleId="BookTitle">
    <w:name w:val="Book Title"/>
    <w:basedOn w:val="DefaultParagraphFont"/>
    <w:uiPriority w:val="33"/>
    <w:qFormat/>
    <w:rsid w:val="006644C5"/>
    <w:rPr>
      <w:b/>
      <w:bCs/>
      <w:smallCaps/>
    </w:rPr>
  </w:style>
  <w:style w:type="paragraph" w:styleId="TOCHeading">
    <w:name w:val="TOC Heading"/>
    <w:basedOn w:val="Heading1"/>
    <w:next w:val="Normal"/>
    <w:uiPriority w:val="39"/>
    <w:semiHidden/>
    <w:unhideWhenUsed/>
    <w:qFormat/>
    <w:rsid w:val="006644C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589868">
      <w:bodyDiv w:val="1"/>
      <w:marLeft w:val="0"/>
      <w:marRight w:val="0"/>
      <w:marTop w:val="0"/>
      <w:marBottom w:val="0"/>
      <w:divBdr>
        <w:top w:val="none" w:sz="0" w:space="0" w:color="auto"/>
        <w:left w:val="none" w:sz="0" w:space="0" w:color="auto"/>
        <w:bottom w:val="none" w:sz="0" w:space="0" w:color="auto"/>
        <w:right w:val="none" w:sz="0" w:space="0" w:color="auto"/>
      </w:divBdr>
    </w:div>
    <w:div w:id="925961833">
      <w:bodyDiv w:val="1"/>
      <w:marLeft w:val="0"/>
      <w:marRight w:val="0"/>
      <w:marTop w:val="0"/>
      <w:marBottom w:val="0"/>
      <w:divBdr>
        <w:top w:val="none" w:sz="0" w:space="0" w:color="auto"/>
        <w:left w:val="none" w:sz="0" w:space="0" w:color="auto"/>
        <w:bottom w:val="none" w:sz="0" w:space="0" w:color="auto"/>
        <w:right w:val="none" w:sz="0" w:space="0" w:color="auto"/>
      </w:divBdr>
      <w:divsChild>
        <w:div w:id="117455385">
          <w:marLeft w:val="0"/>
          <w:marRight w:val="0"/>
          <w:marTop w:val="0"/>
          <w:marBottom w:val="0"/>
          <w:divBdr>
            <w:top w:val="none" w:sz="0" w:space="0" w:color="auto"/>
            <w:left w:val="none" w:sz="0" w:space="0" w:color="auto"/>
            <w:bottom w:val="none" w:sz="0" w:space="0" w:color="auto"/>
            <w:right w:val="none" w:sz="0" w:space="0" w:color="auto"/>
          </w:divBdr>
        </w:div>
        <w:div w:id="1705328242">
          <w:marLeft w:val="0"/>
          <w:marRight w:val="0"/>
          <w:marTop w:val="0"/>
          <w:marBottom w:val="0"/>
          <w:divBdr>
            <w:top w:val="none" w:sz="0" w:space="0" w:color="auto"/>
            <w:left w:val="none" w:sz="0" w:space="0" w:color="auto"/>
            <w:bottom w:val="none" w:sz="0" w:space="0" w:color="auto"/>
            <w:right w:val="none" w:sz="0" w:space="0" w:color="auto"/>
          </w:divBdr>
        </w:div>
        <w:div w:id="1204096303">
          <w:marLeft w:val="0"/>
          <w:marRight w:val="0"/>
          <w:marTop w:val="0"/>
          <w:marBottom w:val="0"/>
          <w:divBdr>
            <w:top w:val="none" w:sz="0" w:space="0" w:color="auto"/>
            <w:left w:val="none" w:sz="0" w:space="0" w:color="auto"/>
            <w:bottom w:val="none" w:sz="0" w:space="0" w:color="auto"/>
            <w:right w:val="none" w:sz="0" w:space="0" w:color="auto"/>
          </w:divBdr>
        </w:div>
        <w:div w:id="1076829161">
          <w:marLeft w:val="0"/>
          <w:marRight w:val="0"/>
          <w:marTop w:val="0"/>
          <w:marBottom w:val="0"/>
          <w:divBdr>
            <w:top w:val="none" w:sz="0" w:space="0" w:color="auto"/>
            <w:left w:val="none" w:sz="0" w:space="0" w:color="auto"/>
            <w:bottom w:val="none" w:sz="0" w:space="0" w:color="auto"/>
            <w:right w:val="none" w:sz="0" w:space="0" w:color="auto"/>
          </w:divBdr>
        </w:div>
        <w:div w:id="1293443217">
          <w:marLeft w:val="0"/>
          <w:marRight w:val="0"/>
          <w:marTop w:val="0"/>
          <w:marBottom w:val="0"/>
          <w:divBdr>
            <w:top w:val="none" w:sz="0" w:space="0" w:color="auto"/>
            <w:left w:val="none" w:sz="0" w:space="0" w:color="auto"/>
            <w:bottom w:val="none" w:sz="0" w:space="0" w:color="auto"/>
            <w:right w:val="none" w:sz="0" w:space="0" w:color="auto"/>
          </w:divBdr>
        </w:div>
        <w:div w:id="785152574">
          <w:marLeft w:val="0"/>
          <w:marRight w:val="0"/>
          <w:marTop w:val="0"/>
          <w:marBottom w:val="0"/>
          <w:divBdr>
            <w:top w:val="none" w:sz="0" w:space="0" w:color="auto"/>
            <w:left w:val="none" w:sz="0" w:space="0" w:color="auto"/>
            <w:bottom w:val="none" w:sz="0" w:space="0" w:color="auto"/>
            <w:right w:val="none" w:sz="0" w:space="0" w:color="auto"/>
          </w:divBdr>
        </w:div>
      </w:divsChild>
    </w:div>
    <w:div w:id="180337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awresources.co.uk/Shaw-v-DPP.php" TargetMode="External"/><Relationship Id="rId13" Type="http://schemas.openxmlformats.org/officeDocument/2006/relationships/hyperlink" Target="https://www.thelawyerportal.com/blog/the-pros-and-cons-of-having-an-unwritten-constitution/" TargetMode="External"/><Relationship Id="rId3" Type="http://schemas.openxmlformats.org/officeDocument/2006/relationships/styles" Target="styles.xml"/><Relationship Id="rId7" Type="http://schemas.openxmlformats.org/officeDocument/2006/relationships/hyperlink" Target="http://www.bailii.org/uk/cases/UKHL/1961/1.html" TargetMode="External"/><Relationship Id="rId12" Type="http://schemas.openxmlformats.org/officeDocument/2006/relationships/hyperlink" Target="https://scholarship.law.duke.edu/cgi/viewcontent.cgi?referer=https://www.google.com/&amp;httpsredir=1&amp;article=3279&amp;context=lc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lawresources.co.uk/Donoghue-v-Stevenson.php" TargetMode="External"/><Relationship Id="rId11" Type="http://schemas.openxmlformats.org/officeDocument/2006/relationships/hyperlink" Target="https://www.judiciary.uk/about-the-judiciary/the-judiciary-the-government-and-the-constitution/jud-acc-ind/independe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utor2u.net/politics/reference/what-is-a-constitution" TargetMode="External"/><Relationship Id="rId4" Type="http://schemas.openxmlformats.org/officeDocument/2006/relationships/settings" Target="settings.xml"/><Relationship Id="rId9" Type="http://schemas.openxmlformats.org/officeDocument/2006/relationships/hyperlink" Target="https://e-lawresources.co.uk/Knuller-v-DPP.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7FB83-1C18-4BF9-A923-56D4C4CA7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2020-11-27T22:51:00Z</dcterms:created>
  <dcterms:modified xsi:type="dcterms:W3CDTF">2020-11-27T23:53:00Z</dcterms:modified>
</cp:coreProperties>
</file>