
<file path=[Content_Types].xml><?xml version="1.0" encoding="utf-8"?>
<Types xmlns="http://schemas.openxmlformats.org/package/2006/content-types">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5E4EB" w14:textId="77777777" w:rsidR="00BC0D50" w:rsidRDefault="00BC0D50" w:rsidP="00BC0D50">
      <w:pPr>
        <w:spacing w:line="278" w:lineRule="auto"/>
        <w:jc w:val="center"/>
      </w:pPr>
      <w:r>
        <w:rPr>
          <w:noProof/>
        </w:rPr>
        <w:drawing>
          <wp:inline distT="0" distB="0" distL="0" distR="0" wp14:anchorId="06672929" wp14:editId="1FB4F83D">
            <wp:extent cx="3454400" cy="3454400"/>
            <wp:effectExtent l="0" t="0" r="0" b="0"/>
            <wp:docPr id="403237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37143" name="Picture 403237143"/>
                    <pic:cNvPicPr/>
                  </pic:nvPicPr>
                  <pic:blipFill>
                    <a:blip r:embed="rId8">
                      <a:extLst>
                        <a:ext uri="{28A0092B-C50C-407E-A947-70E740481C1C}">
                          <a14:useLocalDpi xmlns:a14="http://schemas.microsoft.com/office/drawing/2010/main" val="0"/>
                        </a:ext>
                      </a:extLst>
                    </a:blip>
                    <a:stretch>
                      <a:fillRect/>
                    </a:stretch>
                  </pic:blipFill>
                  <pic:spPr>
                    <a:xfrm>
                      <a:off x="0" y="0"/>
                      <a:ext cx="3454400" cy="3454400"/>
                    </a:xfrm>
                    <a:prstGeom prst="rect">
                      <a:avLst/>
                    </a:prstGeom>
                  </pic:spPr>
                </pic:pic>
              </a:graphicData>
            </a:graphic>
          </wp:inline>
        </w:drawing>
      </w:r>
    </w:p>
    <w:p w14:paraId="3C627801" w14:textId="77777777" w:rsidR="00BC0D50" w:rsidRPr="00BC0D50" w:rsidRDefault="00BC0D50" w:rsidP="00BC0D50">
      <w:pPr>
        <w:spacing w:line="278" w:lineRule="auto"/>
        <w:jc w:val="center"/>
        <w:rPr>
          <w:b/>
          <w:bCs/>
        </w:rPr>
      </w:pPr>
      <w:r w:rsidRPr="00BC0D50">
        <w:rPr>
          <w:b/>
          <w:bCs/>
        </w:rPr>
        <w:t>Module Title: Principles of Marketing (LCBB5015)</w:t>
      </w:r>
    </w:p>
    <w:p w14:paraId="28A29150" w14:textId="77777777" w:rsidR="00BC0D50" w:rsidRPr="00BC0D50" w:rsidRDefault="00BC0D50" w:rsidP="00BC0D50">
      <w:pPr>
        <w:spacing w:line="278" w:lineRule="auto"/>
        <w:jc w:val="center"/>
        <w:rPr>
          <w:b/>
          <w:bCs/>
        </w:rPr>
      </w:pPr>
      <w:r w:rsidRPr="00BC0D50">
        <w:rPr>
          <w:b/>
          <w:bCs/>
        </w:rPr>
        <w:t>Assessment Title: Individual Report – Situational Analysis of Lloyds Bank</w:t>
      </w:r>
    </w:p>
    <w:p w14:paraId="497B7922" w14:textId="1B03002B" w:rsidR="002E2BE5" w:rsidRDefault="00BC0D50" w:rsidP="00BC0D50">
      <w:pPr>
        <w:spacing w:line="278" w:lineRule="auto"/>
        <w:jc w:val="center"/>
        <w:rPr>
          <w:b/>
          <w:bCs/>
          <w:i/>
          <w:iCs/>
        </w:rPr>
      </w:pPr>
      <w:r w:rsidRPr="00BC0D50">
        <w:rPr>
          <w:b/>
          <w:bCs/>
        </w:rPr>
        <w:t xml:space="preserve">Student Name: </w:t>
      </w:r>
      <w:proofErr w:type="spellStart"/>
      <w:r w:rsidR="005D5F4A" w:rsidRPr="005D5F4A">
        <w:rPr>
          <w:b/>
          <w:bCs/>
        </w:rPr>
        <w:t>Arsith</w:t>
      </w:r>
      <w:proofErr w:type="spellEnd"/>
      <w:r w:rsidR="005D5F4A" w:rsidRPr="005D5F4A">
        <w:rPr>
          <w:b/>
          <w:bCs/>
        </w:rPr>
        <w:t xml:space="preserve"> Iulian Gabriel</w:t>
      </w:r>
    </w:p>
    <w:p w14:paraId="395A63C3" w14:textId="330FA329" w:rsidR="00BC0D50" w:rsidRPr="00BC0D50" w:rsidRDefault="00BC0D50" w:rsidP="00BC0D50">
      <w:pPr>
        <w:spacing w:line="278" w:lineRule="auto"/>
        <w:jc w:val="center"/>
        <w:rPr>
          <w:b/>
          <w:bCs/>
        </w:rPr>
      </w:pPr>
      <w:r w:rsidRPr="00BC0D50">
        <w:rPr>
          <w:b/>
          <w:bCs/>
        </w:rPr>
        <w:t>Student ID:</w:t>
      </w:r>
      <w:r w:rsidR="005D5F4A" w:rsidRPr="005D5F4A">
        <w:t xml:space="preserve"> </w:t>
      </w:r>
      <w:r w:rsidR="005D5F4A" w:rsidRPr="005D5F4A">
        <w:rPr>
          <w:b/>
          <w:bCs/>
        </w:rPr>
        <w:t>2418622</w:t>
      </w:r>
      <w:r w:rsidRPr="00BC0D50">
        <w:rPr>
          <w:b/>
          <w:bCs/>
        </w:rPr>
        <w:t xml:space="preserve"> </w:t>
      </w:r>
    </w:p>
    <w:p w14:paraId="5704F713" w14:textId="77777777" w:rsidR="00BC0D50" w:rsidRPr="00BC0D50" w:rsidRDefault="00BC0D50" w:rsidP="00BC0D50">
      <w:pPr>
        <w:spacing w:line="278" w:lineRule="auto"/>
        <w:jc w:val="center"/>
        <w:rPr>
          <w:b/>
          <w:bCs/>
        </w:rPr>
      </w:pPr>
      <w:r w:rsidRPr="00BC0D50">
        <w:rPr>
          <w:b/>
          <w:bCs/>
        </w:rPr>
        <w:t>Submission Date: 14 November 2025</w:t>
      </w:r>
    </w:p>
    <w:p w14:paraId="69D5CA5F" w14:textId="77777777" w:rsidR="00BC0D50" w:rsidRPr="00BC0D50" w:rsidRDefault="00BC0D50" w:rsidP="00BC0D50">
      <w:pPr>
        <w:spacing w:line="278" w:lineRule="auto"/>
        <w:jc w:val="center"/>
        <w:rPr>
          <w:b/>
          <w:bCs/>
        </w:rPr>
      </w:pPr>
      <w:r w:rsidRPr="00BC0D50">
        <w:rPr>
          <w:b/>
          <w:bCs/>
        </w:rPr>
        <w:t>Report Title:</w:t>
      </w:r>
    </w:p>
    <w:p w14:paraId="49C19E44" w14:textId="77777777" w:rsidR="00BC0D50" w:rsidRPr="00BC0D50" w:rsidRDefault="00BC0D50" w:rsidP="00BC0D50">
      <w:pPr>
        <w:spacing w:line="278" w:lineRule="auto"/>
        <w:jc w:val="center"/>
      </w:pPr>
      <w:r w:rsidRPr="00BC0D50">
        <w:rPr>
          <w:b/>
          <w:bCs/>
        </w:rPr>
        <w:t>Situational Analysis of Lloyds Bank: Evaluating External Factors Influencing Strategic Marketing Decisions</w:t>
      </w:r>
    </w:p>
    <w:p w14:paraId="284C1123" w14:textId="496BDDB8" w:rsidR="00FB005E" w:rsidRDefault="00FB005E" w:rsidP="00BC0D50">
      <w:pPr>
        <w:spacing w:line="278" w:lineRule="auto"/>
      </w:pPr>
      <w:r>
        <w:br w:type="page"/>
      </w:r>
    </w:p>
    <w:sdt>
      <w:sdtPr>
        <w:rPr>
          <w:rFonts w:ascii="Arial" w:eastAsiaTheme="minorHAnsi" w:hAnsi="Arial" w:cstheme="minorBidi"/>
          <w:color w:val="auto"/>
          <w:kern w:val="2"/>
          <w:sz w:val="24"/>
          <w:szCs w:val="24"/>
          <w14:ligatures w14:val="standardContextual"/>
        </w:rPr>
        <w:id w:val="-1306307321"/>
        <w:docPartObj>
          <w:docPartGallery w:val="Table of Contents"/>
          <w:docPartUnique/>
        </w:docPartObj>
      </w:sdtPr>
      <w:sdtEndPr>
        <w:rPr>
          <w:b/>
          <w:bCs/>
          <w:noProof/>
        </w:rPr>
      </w:sdtEndPr>
      <w:sdtContent>
        <w:p w14:paraId="6647293C" w14:textId="3BDAEF11" w:rsidR="00FB005E" w:rsidRPr="00FB005E" w:rsidRDefault="00FB005E" w:rsidP="00FB005E">
          <w:pPr>
            <w:pStyle w:val="TOCHeading"/>
            <w:jc w:val="center"/>
            <w:rPr>
              <w:rFonts w:ascii="Arial" w:hAnsi="Arial" w:cs="Arial"/>
              <w:b/>
              <w:bCs/>
              <w:color w:val="auto"/>
              <w:sz w:val="24"/>
              <w:szCs w:val="24"/>
            </w:rPr>
          </w:pPr>
          <w:r w:rsidRPr="00FB005E">
            <w:rPr>
              <w:rFonts w:ascii="Arial" w:hAnsi="Arial" w:cs="Arial"/>
              <w:b/>
              <w:bCs/>
              <w:color w:val="auto"/>
              <w:sz w:val="24"/>
              <w:szCs w:val="24"/>
            </w:rPr>
            <w:t>Table of Contents</w:t>
          </w:r>
        </w:p>
        <w:p w14:paraId="6B5B4B71" w14:textId="58DA6F7F" w:rsidR="009B5E59" w:rsidRDefault="00FB005E">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3837829" w:history="1">
            <w:r w:rsidR="009B5E59" w:rsidRPr="009152F4">
              <w:rPr>
                <w:rStyle w:val="Hyperlink"/>
                <w:noProof/>
              </w:rPr>
              <w:t>1. Introduction</w:t>
            </w:r>
            <w:r w:rsidR="009B5E59">
              <w:rPr>
                <w:noProof/>
                <w:webHidden/>
              </w:rPr>
              <w:tab/>
            </w:r>
            <w:r w:rsidR="009B5E59">
              <w:rPr>
                <w:noProof/>
                <w:webHidden/>
              </w:rPr>
              <w:fldChar w:fldCharType="begin"/>
            </w:r>
            <w:r w:rsidR="009B5E59">
              <w:rPr>
                <w:noProof/>
                <w:webHidden/>
              </w:rPr>
              <w:instrText xml:space="preserve"> PAGEREF _Toc213837829 \h </w:instrText>
            </w:r>
            <w:r w:rsidR="009B5E59">
              <w:rPr>
                <w:noProof/>
                <w:webHidden/>
              </w:rPr>
            </w:r>
            <w:r w:rsidR="009B5E59">
              <w:rPr>
                <w:noProof/>
                <w:webHidden/>
              </w:rPr>
              <w:fldChar w:fldCharType="separate"/>
            </w:r>
            <w:r w:rsidR="009B5E59">
              <w:rPr>
                <w:noProof/>
                <w:webHidden/>
              </w:rPr>
              <w:t>2</w:t>
            </w:r>
            <w:r w:rsidR="009B5E59">
              <w:rPr>
                <w:noProof/>
                <w:webHidden/>
              </w:rPr>
              <w:fldChar w:fldCharType="end"/>
            </w:r>
          </w:hyperlink>
        </w:p>
        <w:p w14:paraId="286A2304" w14:textId="0C478DFA" w:rsidR="009B5E59" w:rsidRDefault="009B5E59">
          <w:pPr>
            <w:pStyle w:val="TOC1"/>
            <w:tabs>
              <w:tab w:val="right" w:leader="dot" w:pos="9350"/>
            </w:tabs>
            <w:rPr>
              <w:rFonts w:asciiTheme="minorHAnsi" w:eastAsiaTheme="minorEastAsia" w:hAnsiTheme="minorHAnsi"/>
              <w:noProof/>
            </w:rPr>
          </w:pPr>
          <w:hyperlink w:anchor="_Toc213837830" w:history="1">
            <w:r w:rsidRPr="009152F4">
              <w:rPr>
                <w:rStyle w:val="Hyperlink"/>
                <w:noProof/>
              </w:rPr>
              <w:t>2. Situational Analysis – PESTLE Model</w:t>
            </w:r>
            <w:r>
              <w:rPr>
                <w:noProof/>
                <w:webHidden/>
              </w:rPr>
              <w:tab/>
            </w:r>
            <w:r>
              <w:rPr>
                <w:noProof/>
                <w:webHidden/>
              </w:rPr>
              <w:fldChar w:fldCharType="begin"/>
            </w:r>
            <w:r>
              <w:rPr>
                <w:noProof/>
                <w:webHidden/>
              </w:rPr>
              <w:instrText xml:space="preserve"> PAGEREF _Toc213837830 \h </w:instrText>
            </w:r>
            <w:r>
              <w:rPr>
                <w:noProof/>
                <w:webHidden/>
              </w:rPr>
            </w:r>
            <w:r>
              <w:rPr>
                <w:noProof/>
                <w:webHidden/>
              </w:rPr>
              <w:fldChar w:fldCharType="separate"/>
            </w:r>
            <w:r>
              <w:rPr>
                <w:noProof/>
                <w:webHidden/>
              </w:rPr>
              <w:t>2</w:t>
            </w:r>
            <w:r>
              <w:rPr>
                <w:noProof/>
                <w:webHidden/>
              </w:rPr>
              <w:fldChar w:fldCharType="end"/>
            </w:r>
          </w:hyperlink>
        </w:p>
        <w:p w14:paraId="0ACE18C3" w14:textId="16BD8457" w:rsidR="009B5E59" w:rsidRDefault="009B5E59">
          <w:pPr>
            <w:pStyle w:val="TOC2"/>
            <w:tabs>
              <w:tab w:val="right" w:leader="dot" w:pos="9350"/>
            </w:tabs>
            <w:rPr>
              <w:noProof/>
            </w:rPr>
          </w:pPr>
          <w:hyperlink w:anchor="_Toc213837831" w:history="1">
            <w:r w:rsidRPr="009152F4">
              <w:rPr>
                <w:rStyle w:val="Hyperlink"/>
                <w:noProof/>
              </w:rPr>
              <w:t>Political Factors:</w:t>
            </w:r>
            <w:r>
              <w:rPr>
                <w:noProof/>
                <w:webHidden/>
              </w:rPr>
              <w:tab/>
            </w:r>
            <w:r>
              <w:rPr>
                <w:noProof/>
                <w:webHidden/>
              </w:rPr>
              <w:fldChar w:fldCharType="begin"/>
            </w:r>
            <w:r>
              <w:rPr>
                <w:noProof/>
                <w:webHidden/>
              </w:rPr>
              <w:instrText xml:space="preserve"> PAGEREF _Toc213837831 \h </w:instrText>
            </w:r>
            <w:r>
              <w:rPr>
                <w:noProof/>
                <w:webHidden/>
              </w:rPr>
            </w:r>
            <w:r>
              <w:rPr>
                <w:noProof/>
                <w:webHidden/>
              </w:rPr>
              <w:fldChar w:fldCharType="separate"/>
            </w:r>
            <w:r>
              <w:rPr>
                <w:noProof/>
                <w:webHidden/>
              </w:rPr>
              <w:t>2</w:t>
            </w:r>
            <w:r>
              <w:rPr>
                <w:noProof/>
                <w:webHidden/>
              </w:rPr>
              <w:fldChar w:fldCharType="end"/>
            </w:r>
          </w:hyperlink>
        </w:p>
        <w:p w14:paraId="1F98AF2F" w14:textId="068A4660" w:rsidR="009B5E59" w:rsidRDefault="009B5E59">
          <w:pPr>
            <w:pStyle w:val="TOC2"/>
            <w:tabs>
              <w:tab w:val="right" w:leader="dot" w:pos="9350"/>
            </w:tabs>
            <w:rPr>
              <w:noProof/>
            </w:rPr>
          </w:pPr>
          <w:hyperlink w:anchor="_Toc213837832" w:history="1">
            <w:r w:rsidRPr="009152F4">
              <w:rPr>
                <w:rStyle w:val="Hyperlink"/>
                <w:noProof/>
              </w:rPr>
              <w:t>Economic Factors:</w:t>
            </w:r>
            <w:r>
              <w:rPr>
                <w:noProof/>
                <w:webHidden/>
              </w:rPr>
              <w:tab/>
            </w:r>
            <w:r>
              <w:rPr>
                <w:noProof/>
                <w:webHidden/>
              </w:rPr>
              <w:fldChar w:fldCharType="begin"/>
            </w:r>
            <w:r>
              <w:rPr>
                <w:noProof/>
                <w:webHidden/>
              </w:rPr>
              <w:instrText xml:space="preserve"> PAGEREF _Toc213837832 \h </w:instrText>
            </w:r>
            <w:r>
              <w:rPr>
                <w:noProof/>
                <w:webHidden/>
              </w:rPr>
            </w:r>
            <w:r>
              <w:rPr>
                <w:noProof/>
                <w:webHidden/>
              </w:rPr>
              <w:fldChar w:fldCharType="separate"/>
            </w:r>
            <w:r>
              <w:rPr>
                <w:noProof/>
                <w:webHidden/>
              </w:rPr>
              <w:t>2</w:t>
            </w:r>
            <w:r>
              <w:rPr>
                <w:noProof/>
                <w:webHidden/>
              </w:rPr>
              <w:fldChar w:fldCharType="end"/>
            </w:r>
          </w:hyperlink>
        </w:p>
        <w:p w14:paraId="3F855659" w14:textId="69CAD581" w:rsidR="009B5E59" w:rsidRDefault="009B5E59">
          <w:pPr>
            <w:pStyle w:val="TOC2"/>
            <w:tabs>
              <w:tab w:val="right" w:leader="dot" w:pos="9350"/>
            </w:tabs>
            <w:rPr>
              <w:noProof/>
            </w:rPr>
          </w:pPr>
          <w:hyperlink w:anchor="_Toc213837833" w:history="1">
            <w:r w:rsidRPr="009152F4">
              <w:rPr>
                <w:rStyle w:val="Hyperlink"/>
                <w:noProof/>
              </w:rPr>
              <w:t>Social Factors:</w:t>
            </w:r>
            <w:r>
              <w:rPr>
                <w:noProof/>
                <w:webHidden/>
              </w:rPr>
              <w:tab/>
            </w:r>
            <w:r>
              <w:rPr>
                <w:noProof/>
                <w:webHidden/>
              </w:rPr>
              <w:fldChar w:fldCharType="begin"/>
            </w:r>
            <w:r>
              <w:rPr>
                <w:noProof/>
                <w:webHidden/>
              </w:rPr>
              <w:instrText xml:space="preserve"> PAGEREF _Toc213837833 \h </w:instrText>
            </w:r>
            <w:r>
              <w:rPr>
                <w:noProof/>
                <w:webHidden/>
              </w:rPr>
            </w:r>
            <w:r>
              <w:rPr>
                <w:noProof/>
                <w:webHidden/>
              </w:rPr>
              <w:fldChar w:fldCharType="separate"/>
            </w:r>
            <w:r>
              <w:rPr>
                <w:noProof/>
                <w:webHidden/>
              </w:rPr>
              <w:t>3</w:t>
            </w:r>
            <w:r>
              <w:rPr>
                <w:noProof/>
                <w:webHidden/>
              </w:rPr>
              <w:fldChar w:fldCharType="end"/>
            </w:r>
          </w:hyperlink>
        </w:p>
        <w:p w14:paraId="794E579D" w14:textId="7C47DA59" w:rsidR="009B5E59" w:rsidRDefault="009B5E59">
          <w:pPr>
            <w:pStyle w:val="TOC2"/>
            <w:tabs>
              <w:tab w:val="right" w:leader="dot" w:pos="9350"/>
            </w:tabs>
            <w:rPr>
              <w:noProof/>
            </w:rPr>
          </w:pPr>
          <w:hyperlink w:anchor="_Toc213837834" w:history="1">
            <w:r w:rsidRPr="009152F4">
              <w:rPr>
                <w:rStyle w:val="Hyperlink"/>
                <w:noProof/>
              </w:rPr>
              <w:t>Technological Factors:</w:t>
            </w:r>
            <w:r>
              <w:rPr>
                <w:noProof/>
                <w:webHidden/>
              </w:rPr>
              <w:tab/>
            </w:r>
            <w:r>
              <w:rPr>
                <w:noProof/>
                <w:webHidden/>
              </w:rPr>
              <w:fldChar w:fldCharType="begin"/>
            </w:r>
            <w:r>
              <w:rPr>
                <w:noProof/>
                <w:webHidden/>
              </w:rPr>
              <w:instrText xml:space="preserve"> PAGEREF _Toc213837834 \h </w:instrText>
            </w:r>
            <w:r>
              <w:rPr>
                <w:noProof/>
                <w:webHidden/>
              </w:rPr>
            </w:r>
            <w:r>
              <w:rPr>
                <w:noProof/>
                <w:webHidden/>
              </w:rPr>
              <w:fldChar w:fldCharType="separate"/>
            </w:r>
            <w:r>
              <w:rPr>
                <w:noProof/>
                <w:webHidden/>
              </w:rPr>
              <w:t>3</w:t>
            </w:r>
            <w:r>
              <w:rPr>
                <w:noProof/>
                <w:webHidden/>
              </w:rPr>
              <w:fldChar w:fldCharType="end"/>
            </w:r>
          </w:hyperlink>
        </w:p>
        <w:p w14:paraId="4D842695" w14:textId="22B8E2C2" w:rsidR="009B5E59" w:rsidRDefault="009B5E59">
          <w:pPr>
            <w:pStyle w:val="TOC2"/>
            <w:tabs>
              <w:tab w:val="right" w:leader="dot" w:pos="9350"/>
            </w:tabs>
            <w:rPr>
              <w:noProof/>
            </w:rPr>
          </w:pPr>
          <w:hyperlink w:anchor="_Toc213837835" w:history="1">
            <w:r w:rsidRPr="009152F4">
              <w:rPr>
                <w:rStyle w:val="Hyperlink"/>
                <w:noProof/>
              </w:rPr>
              <w:t>Legal Factors:</w:t>
            </w:r>
            <w:r>
              <w:rPr>
                <w:noProof/>
                <w:webHidden/>
              </w:rPr>
              <w:tab/>
            </w:r>
            <w:r>
              <w:rPr>
                <w:noProof/>
                <w:webHidden/>
              </w:rPr>
              <w:fldChar w:fldCharType="begin"/>
            </w:r>
            <w:r>
              <w:rPr>
                <w:noProof/>
                <w:webHidden/>
              </w:rPr>
              <w:instrText xml:space="preserve"> PAGEREF _Toc213837835 \h </w:instrText>
            </w:r>
            <w:r>
              <w:rPr>
                <w:noProof/>
                <w:webHidden/>
              </w:rPr>
            </w:r>
            <w:r>
              <w:rPr>
                <w:noProof/>
                <w:webHidden/>
              </w:rPr>
              <w:fldChar w:fldCharType="separate"/>
            </w:r>
            <w:r>
              <w:rPr>
                <w:noProof/>
                <w:webHidden/>
              </w:rPr>
              <w:t>3</w:t>
            </w:r>
            <w:r>
              <w:rPr>
                <w:noProof/>
                <w:webHidden/>
              </w:rPr>
              <w:fldChar w:fldCharType="end"/>
            </w:r>
          </w:hyperlink>
        </w:p>
        <w:p w14:paraId="61C90867" w14:textId="0E76D01B" w:rsidR="009B5E59" w:rsidRDefault="009B5E59">
          <w:pPr>
            <w:pStyle w:val="TOC2"/>
            <w:tabs>
              <w:tab w:val="right" w:leader="dot" w:pos="9350"/>
            </w:tabs>
            <w:rPr>
              <w:noProof/>
            </w:rPr>
          </w:pPr>
          <w:hyperlink w:anchor="_Toc213837836" w:history="1">
            <w:r w:rsidRPr="009152F4">
              <w:rPr>
                <w:rStyle w:val="Hyperlink"/>
                <w:noProof/>
              </w:rPr>
              <w:t>Environmental Factors:</w:t>
            </w:r>
            <w:r>
              <w:rPr>
                <w:noProof/>
                <w:webHidden/>
              </w:rPr>
              <w:tab/>
            </w:r>
            <w:r>
              <w:rPr>
                <w:noProof/>
                <w:webHidden/>
              </w:rPr>
              <w:fldChar w:fldCharType="begin"/>
            </w:r>
            <w:r>
              <w:rPr>
                <w:noProof/>
                <w:webHidden/>
              </w:rPr>
              <w:instrText xml:space="preserve"> PAGEREF _Toc213837836 \h </w:instrText>
            </w:r>
            <w:r>
              <w:rPr>
                <w:noProof/>
                <w:webHidden/>
              </w:rPr>
            </w:r>
            <w:r>
              <w:rPr>
                <w:noProof/>
                <w:webHidden/>
              </w:rPr>
              <w:fldChar w:fldCharType="separate"/>
            </w:r>
            <w:r>
              <w:rPr>
                <w:noProof/>
                <w:webHidden/>
              </w:rPr>
              <w:t>4</w:t>
            </w:r>
            <w:r>
              <w:rPr>
                <w:noProof/>
                <w:webHidden/>
              </w:rPr>
              <w:fldChar w:fldCharType="end"/>
            </w:r>
          </w:hyperlink>
        </w:p>
        <w:p w14:paraId="7854554B" w14:textId="31829C9F" w:rsidR="009B5E59" w:rsidRDefault="009B5E59">
          <w:pPr>
            <w:pStyle w:val="TOC1"/>
            <w:tabs>
              <w:tab w:val="right" w:leader="dot" w:pos="9350"/>
            </w:tabs>
            <w:rPr>
              <w:rFonts w:asciiTheme="minorHAnsi" w:eastAsiaTheme="minorEastAsia" w:hAnsiTheme="minorHAnsi"/>
              <w:noProof/>
            </w:rPr>
          </w:pPr>
          <w:hyperlink w:anchor="_Toc213837837" w:history="1">
            <w:r w:rsidRPr="009152F4">
              <w:rPr>
                <w:rStyle w:val="Hyperlink"/>
                <w:noProof/>
              </w:rPr>
              <w:t>3. Critical Analysis and Evaluation</w:t>
            </w:r>
            <w:r>
              <w:rPr>
                <w:noProof/>
                <w:webHidden/>
              </w:rPr>
              <w:tab/>
            </w:r>
            <w:r>
              <w:rPr>
                <w:noProof/>
                <w:webHidden/>
              </w:rPr>
              <w:fldChar w:fldCharType="begin"/>
            </w:r>
            <w:r>
              <w:rPr>
                <w:noProof/>
                <w:webHidden/>
              </w:rPr>
              <w:instrText xml:space="preserve"> PAGEREF _Toc213837837 \h </w:instrText>
            </w:r>
            <w:r>
              <w:rPr>
                <w:noProof/>
                <w:webHidden/>
              </w:rPr>
            </w:r>
            <w:r>
              <w:rPr>
                <w:noProof/>
                <w:webHidden/>
              </w:rPr>
              <w:fldChar w:fldCharType="separate"/>
            </w:r>
            <w:r>
              <w:rPr>
                <w:noProof/>
                <w:webHidden/>
              </w:rPr>
              <w:t>4</w:t>
            </w:r>
            <w:r>
              <w:rPr>
                <w:noProof/>
                <w:webHidden/>
              </w:rPr>
              <w:fldChar w:fldCharType="end"/>
            </w:r>
          </w:hyperlink>
        </w:p>
        <w:p w14:paraId="56592471" w14:textId="1770568E" w:rsidR="009B5E59" w:rsidRDefault="009B5E59">
          <w:pPr>
            <w:pStyle w:val="TOC2"/>
            <w:tabs>
              <w:tab w:val="right" w:leader="dot" w:pos="9350"/>
            </w:tabs>
            <w:rPr>
              <w:noProof/>
            </w:rPr>
          </w:pPr>
          <w:hyperlink w:anchor="_Toc213837838" w:history="1">
            <w:r w:rsidRPr="009152F4">
              <w:rPr>
                <w:rStyle w:val="Hyperlink"/>
                <w:noProof/>
              </w:rPr>
              <w:t>Threats: Navigating Economic and Competitive Pressures</w:t>
            </w:r>
            <w:r>
              <w:rPr>
                <w:noProof/>
                <w:webHidden/>
              </w:rPr>
              <w:tab/>
            </w:r>
            <w:r>
              <w:rPr>
                <w:noProof/>
                <w:webHidden/>
              </w:rPr>
              <w:fldChar w:fldCharType="begin"/>
            </w:r>
            <w:r>
              <w:rPr>
                <w:noProof/>
                <w:webHidden/>
              </w:rPr>
              <w:instrText xml:space="preserve"> PAGEREF _Toc213837838 \h </w:instrText>
            </w:r>
            <w:r>
              <w:rPr>
                <w:noProof/>
                <w:webHidden/>
              </w:rPr>
            </w:r>
            <w:r>
              <w:rPr>
                <w:noProof/>
                <w:webHidden/>
              </w:rPr>
              <w:fldChar w:fldCharType="separate"/>
            </w:r>
            <w:r>
              <w:rPr>
                <w:noProof/>
                <w:webHidden/>
              </w:rPr>
              <w:t>4</w:t>
            </w:r>
            <w:r>
              <w:rPr>
                <w:noProof/>
                <w:webHidden/>
              </w:rPr>
              <w:fldChar w:fldCharType="end"/>
            </w:r>
          </w:hyperlink>
        </w:p>
        <w:p w14:paraId="34D7E92E" w14:textId="037A5F8E" w:rsidR="009B5E59" w:rsidRDefault="009B5E59">
          <w:pPr>
            <w:pStyle w:val="TOC2"/>
            <w:tabs>
              <w:tab w:val="right" w:leader="dot" w:pos="9350"/>
            </w:tabs>
            <w:rPr>
              <w:noProof/>
            </w:rPr>
          </w:pPr>
          <w:hyperlink w:anchor="_Toc213837839" w:history="1">
            <w:r w:rsidRPr="009152F4">
              <w:rPr>
                <w:rStyle w:val="Hyperlink"/>
                <w:noProof/>
              </w:rPr>
              <w:t>Opportunities: Leveraging Regulation and Technology for Growth</w:t>
            </w:r>
            <w:r>
              <w:rPr>
                <w:noProof/>
                <w:webHidden/>
              </w:rPr>
              <w:tab/>
            </w:r>
            <w:r>
              <w:rPr>
                <w:noProof/>
                <w:webHidden/>
              </w:rPr>
              <w:fldChar w:fldCharType="begin"/>
            </w:r>
            <w:r>
              <w:rPr>
                <w:noProof/>
                <w:webHidden/>
              </w:rPr>
              <w:instrText xml:space="preserve"> PAGEREF _Toc213837839 \h </w:instrText>
            </w:r>
            <w:r>
              <w:rPr>
                <w:noProof/>
                <w:webHidden/>
              </w:rPr>
            </w:r>
            <w:r>
              <w:rPr>
                <w:noProof/>
                <w:webHidden/>
              </w:rPr>
              <w:fldChar w:fldCharType="separate"/>
            </w:r>
            <w:r>
              <w:rPr>
                <w:noProof/>
                <w:webHidden/>
              </w:rPr>
              <w:t>5</w:t>
            </w:r>
            <w:r>
              <w:rPr>
                <w:noProof/>
                <w:webHidden/>
              </w:rPr>
              <w:fldChar w:fldCharType="end"/>
            </w:r>
          </w:hyperlink>
        </w:p>
        <w:p w14:paraId="5A19534A" w14:textId="774B2D30" w:rsidR="009B5E59" w:rsidRDefault="009B5E59">
          <w:pPr>
            <w:pStyle w:val="TOC1"/>
            <w:tabs>
              <w:tab w:val="right" w:leader="dot" w:pos="9350"/>
            </w:tabs>
            <w:rPr>
              <w:rFonts w:asciiTheme="minorHAnsi" w:eastAsiaTheme="minorEastAsia" w:hAnsiTheme="minorHAnsi"/>
              <w:noProof/>
            </w:rPr>
          </w:pPr>
          <w:hyperlink w:anchor="_Toc213837840" w:history="1">
            <w:r w:rsidRPr="009152F4">
              <w:rPr>
                <w:rStyle w:val="Hyperlink"/>
                <w:noProof/>
              </w:rPr>
              <w:t>4. Conclusion and Recommendations</w:t>
            </w:r>
            <w:r>
              <w:rPr>
                <w:noProof/>
                <w:webHidden/>
              </w:rPr>
              <w:tab/>
            </w:r>
            <w:r>
              <w:rPr>
                <w:noProof/>
                <w:webHidden/>
              </w:rPr>
              <w:fldChar w:fldCharType="begin"/>
            </w:r>
            <w:r>
              <w:rPr>
                <w:noProof/>
                <w:webHidden/>
              </w:rPr>
              <w:instrText xml:space="preserve"> PAGEREF _Toc213837840 \h </w:instrText>
            </w:r>
            <w:r>
              <w:rPr>
                <w:noProof/>
                <w:webHidden/>
              </w:rPr>
            </w:r>
            <w:r>
              <w:rPr>
                <w:noProof/>
                <w:webHidden/>
              </w:rPr>
              <w:fldChar w:fldCharType="separate"/>
            </w:r>
            <w:r>
              <w:rPr>
                <w:noProof/>
                <w:webHidden/>
              </w:rPr>
              <w:t>5</w:t>
            </w:r>
            <w:r>
              <w:rPr>
                <w:noProof/>
                <w:webHidden/>
              </w:rPr>
              <w:fldChar w:fldCharType="end"/>
            </w:r>
          </w:hyperlink>
        </w:p>
        <w:p w14:paraId="189D25F6" w14:textId="2ADBAB8A" w:rsidR="009B5E59" w:rsidRDefault="009B5E59">
          <w:pPr>
            <w:pStyle w:val="TOC1"/>
            <w:tabs>
              <w:tab w:val="right" w:leader="dot" w:pos="9350"/>
            </w:tabs>
            <w:rPr>
              <w:rFonts w:asciiTheme="minorHAnsi" w:eastAsiaTheme="minorEastAsia" w:hAnsiTheme="minorHAnsi"/>
              <w:noProof/>
            </w:rPr>
          </w:pPr>
          <w:hyperlink w:anchor="_Toc213837841" w:history="1">
            <w:r w:rsidRPr="009152F4">
              <w:rPr>
                <w:rStyle w:val="Hyperlink"/>
                <w:noProof/>
              </w:rPr>
              <w:t>References</w:t>
            </w:r>
            <w:r>
              <w:rPr>
                <w:noProof/>
                <w:webHidden/>
              </w:rPr>
              <w:tab/>
            </w:r>
            <w:r>
              <w:rPr>
                <w:noProof/>
                <w:webHidden/>
              </w:rPr>
              <w:fldChar w:fldCharType="begin"/>
            </w:r>
            <w:r>
              <w:rPr>
                <w:noProof/>
                <w:webHidden/>
              </w:rPr>
              <w:instrText xml:space="preserve"> PAGEREF _Toc213837841 \h </w:instrText>
            </w:r>
            <w:r>
              <w:rPr>
                <w:noProof/>
                <w:webHidden/>
              </w:rPr>
            </w:r>
            <w:r>
              <w:rPr>
                <w:noProof/>
                <w:webHidden/>
              </w:rPr>
              <w:fldChar w:fldCharType="separate"/>
            </w:r>
            <w:r>
              <w:rPr>
                <w:noProof/>
                <w:webHidden/>
              </w:rPr>
              <w:t>6</w:t>
            </w:r>
            <w:r>
              <w:rPr>
                <w:noProof/>
                <w:webHidden/>
              </w:rPr>
              <w:fldChar w:fldCharType="end"/>
            </w:r>
          </w:hyperlink>
        </w:p>
        <w:p w14:paraId="5305CF5E" w14:textId="5FC60D4E" w:rsidR="00FB005E" w:rsidRDefault="00FB005E">
          <w:r>
            <w:rPr>
              <w:b/>
              <w:bCs/>
              <w:noProof/>
            </w:rPr>
            <w:fldChar w:fldCharType="end"/>
          </w:r>
        </w:p>
      </w:sdtContent>
    </w:sdt>
    <w:p w14:paraId="151B3820" w14:textId="5044DD52" w:rsidR="00FB005E" w:rsidRDefault="00FB005E">
      <w:pPr>
        <w:spacing w:line="278" w:lineRule="auto"/>
        <w:jc w:val="left"/>
      </w:pPr>
      <w:r>
        <w:br w:type="page"/>
      </w:r>
    </w:p>
    <w:p w14:paraId="2DCA382D" w14:textId="031A8EA3" w:rsidR="00FB005E" w:rsidRPr="00FB005E" w:rsidRDefault="00FB005E" w:rsidP="00FB005E">
      <w:pPr>
        <w:pStyle w:val="Heading1"/>
      </w:pPr>
      <w:bookmarkStart w:id="0" w:name="_Toc213837829"/>
      <w:r w:rsidRPr="00FB005E">
        <w:lastRenderedPageBreak/>
        <w:t>1. Introduction</w:t>
      </w:r>
      <w:bookmarkEnd w:id="0"/>
      <w:r w:rsidRPr="00FB005E">
        <w:t xml:space="preserve"> </w:t>
      </w:r>
    </w:p>
    <w:p w14:paraId="2A57DF16" w14:textId="516B60DB" w:rsidR="00BC0D50" w:rsidRDefault="00BC0D50" w:rsidP="00BC0D50">
      <w:pPr>
        <w:rPr>
          <w:b/>
        </w:rPr>
      </w:pPr>
      <w:r w:rsidRPr="00BC0D50">
        <w:t xml:space="preserve">Lloyds Banking group is one of the largest financial institutions based in the United Kingdom, founded in 1765; it has its brands, which include, but are not limited to, the Bank of Scotland, Halifax and Lloyds Bank (Lloyds Bank, 2024). The </w:t>
      </w:r>
      <w:proofErr w:type="spellStart"/>
      <w:r w:rsidRPr="00BC0D50">
        <w:t>organisation</w:t>
      </w:r>
      <w:proofErr w:type="spellEnd"/>
      <w:r w:rsidRPr="00BC0D50">
        <w:t xml:space="preserve"> offers a large selection of services such as retail and business banking, mortgages, loans and insurance, which serves millions of customers within UK. This report was written to develop a PESTLE analysis of the Lloyds Bank in order to assess how the external political, economic, social, technological, legal, and environmental threats impact its strategies in marketing, operational resilience, and sustainability (Open Banking Limited, 2023; Bank of England, 2025).</w:t>
      </w:r>
    </w:p>
    <w:p w14:paraId="60A205EA" w14:textId="143758D7" w:rsidR="00FB005E" w:rsidRDefault="00FB005E" w:rsidP="00FB005E">
      <w:pPr>
        <w:pStyle w:val="Heading1"/>
      </w:pPr>
      <w:bookmarkStart w:id="1" w:name="_Toc213837830"/>
      <w:r w:rsidRPr="00FB005E">
        <w:t>2. Situational Analysis – PESTLE Model</w:t>
      </w:r>
      <w:bookmarkEnd w:id="1"/>
    </w:p>
    <w:p w14:paraId="1AA3DEB7" w14:textId="40A9CC34" w:rsidR="005A2084" w:rsidRDefault="005A2084" w:rsidP="005A2084">
      <w:r>
        <w:t xml:space="preserve">PESTEL analysis gives a broad overview of the macro-environmental forces that influence the marketing and strategic decision-making of the Lloyds Bank. </w:t>
      </w:r>
    </w:p>
    <w:p w14:paraId="76442A48" w14:textId="4D0BAF1F" w:rsidR="005A2084" w:rsidRDefault="005A2084" w:rsidP="005A2084">
      <w:pPr>
        <w:pStyle w:val="Heading2"/>
      </w:pPr>
      <w:bookmarkStart w:id="2" w:name="_Toc213837831"/>
      <w:r>
        <w:t>Political Factors:</w:t>
      </w:r>
      <w:bookmarkEnd w:id="2"/>
    </w:p>
    <w:p w14:paraId="006FC985" w14:textId="3CBBB68A" w:rsidR="005A2084" w:rsidRDefault="005A2084" w:rsidP="005A2084">
      <w:r>
        <w:t>Lloyds Bank is within a very strict regulatory framework created by the Prudential Regulation Authority (PRA) and Financial Conduct Authority (FCA). One of the most significant recent changes is the Consumer Duty by the FCA (launched in July 2023) that dictates a new level of consumer protection. The implementation review carried out by the FCA showed that much more should be done by many firms, especially proving fair value; in this regard, the regulator discovered that out of every five firms, one could not demonstrate that its products and services offered fair value (FCA, 2024). Lloyds will require a radical change in product governance and marketing to prove providing the results of good outcomes, which will directly affect the strategic priorities and costs.</w:t>
      </w:r>
    </w:p>
    <w:p w14:paraId="22693EB1" w14:textId="57014B1C" w:rsidR="005A2084" w:rsidRDefault="005A2084" w:rsidP="005A2084">
      <w:pPr>
        <w:pStyle w:val="Heading2"/>
      </w:pPr>
      <w:bookmarkStart w:id="3" w:name="_Toc213837832"/>
      <w:r>
        <w:t>Economic Factors:</w:t>
      </w:r>
      <w:bookmarkEnd w:id="3"/>
    </w:p>
    <w:p w14:paraId="45F73391" w14:textId="6D64857C" w:rsidR="005A2084" w:rsidRDefault="005A2084" w:rsidP="005A2084">
      <w:r>
        <w:t xml:space="preserve">Lloyds is directly affected by the economic instability in the UK on its basic profitability. In December 2021, the base interest rate hit a historic low of 0.1% but has now risen to 5.25 percent by August 2023, at which point the Bank of England controls it (Bank of England, </w:t>
      </w:r>
      <w:r>
        <w:lastRenderedPageBreak/>
        <w:t xml:space="preserve">2024). This change increased the net interest income through which the net income of Lloyds grew by 5% to reach an amount of 13.3 billion by 2023 (Lloyds Banking Group, 2023). Nevertheless, an increase in rates killed the demand of credit; House purchase approvals decreased to around 45,000 per month in late 2023, compared to more than 70,000 per month a year prior (Bank of England, 2024). At the same time, the cost-of-living crisis strained consumers, with Office for National Statistics (ONS) stating that 87% of the adults indicate an upsurge in their expenditure in the early part of 2024 (ONS, 2024). </w:t>
      </w:r>
    </w:p>
    <w:p w14:paraId="14AE70E8" w14:textId="15C8CF8B" w:rsidR="005A2084" w:rsidRDefault="005A2084" w:rsidP="005A2084">
      <w:pPr>
        <w:pStyle w:val="Heading2"/>
      </w:pPr>
      <w:bookmarkStart w:id="4" w:name="_Toc213837833"/>
      <w:r>
        <w:t>Social Factors:</w:t>
      </w:r>
      <w:bookmarkEnd w:id="4"/>
    </w:p>
    <w:p w14:paraId="3EB01D4C" w14:textId="61AE0E39" w:rsidR="005A2084" w:rsidRDefault="005A2084" w:rsidP="005A2084">
      <w:r>
        <w:t xml:space="preserve">The social pressures are moving towards ethical and affordable banking. The FCA Financial Lives Survey (2022) found out that 47 percent of adults in the UK (24.9 million people) exhibit at least one or more vulnerability traits, including bad health or limited financial strength. Moreover, sustainability as a consumer concern is increasing; a survey of consumers by Competition and Markets Authority (CMA) in 2023 indicates that 65 percent of consumers believe that it is important that the values of a bank reflect their own (CMA, 2023). This is in line with the Helping Britain Prosper Plan by Lloyds but this has to be supported by actual actions. </w:t>
      </w:r>
    </w:p>
    <w:p w14:paraId="6B2BBB32" w14:textId="0057ADB8" w:rsidR="005A2084" w:rsidRDefault="005A2084" w:rsidP="005A2084">
      <w:pPr>
        <w:pStyle w:val="Heading2"/>
      </w:pPr>
      <w:bookmarkStart w:id="5" w:name="_Toc213837834"/>
      <w:r>
        <w:t>Technological Factors:</w:t>
      </w:r>
      <w:bookmarkEnd w:id="5"/>
    </w:p>
    <w:p w14:paraId="6E9FEC96" w14:textId="1968B9D6" w:rsidR="005A2084" w:rsidRDefault="005A2084" w:rsidP="005A2084">
      <w:r>
        <w:t xml:space="preserve">The competition is being redefined by the fintech disruption, which is driven by the UK Open Banking initiative. By the end of 2023, more than 7 million consumers and businesses in the UK were proactively using the services of Open Banking (Open Banking Limited, 2023). This ecosystem is powered with more than 400 regulated third-party providers (TPPs) that rival traditional banks. This is a two-sided sword in case of Lloyds. Investment in AI to detect frauds is of paramount significance to the bank, according to the UK Finance (2023), </w:t>
      </w:r>
      <w:proofErr w:type="spellStart"/>
      <w:r>
        <w:t>authorised</w:t>
      </w:r>
      <w:proofErr w:type="spellEnd"/>
      <w:r>
        <w:t xml:space="preserve"> push payment (APP) fraud losses amounted to 459.7 million last year alone. </w:t>
      </w:r>
    </w:p>
    <w:p w14:paraId="3A974C23" w14:textId="6FD092C3" w:rsidR="005A2084" w:rsidRDefault="005A2084" w:rsidP="005A2084">
      <w:pPr>
        <w:pStyle w:val="Heading2"/>
      </w:pPr>
      <w:bookmarkStart w:id="6" w:name="_Toc213837835"/>
      <w:r>
        <w:t>Legal Factors:</w:t>
      </w:r>
      <w:bookmarkEnd w:id="6"/>
    </w:p>
    <w:p w14:paraId="046E4854" w14:textId="4238F391" w:rsidR="005A2084" w:rsidRDefault="00065DFC" w:rsidP="005A2084">
      <w:r>
        <w:lastRenderedPageBreak/>
        <w:t>There</w:t>
      </w:r>
      <w:r w:rsidR="005A2084">
        <w:t xml:space="preserve"> is data protection, which is one of the most significant areas of law. The Information Commissioner Office (ICO) has been seen to take some initiatives to implement the UK GDPR, and one of the major areas is the financial services sector. To mention just an example, a financial services company was fined over 98,000 by the ICO because it mailed more than 870,000 direct marketing emails without adequate </w:t>
      </w:r>
      <w:proofErr w:type="spellStart"/>
      <w:r w:rsidR="005A2084">
        <w:t>authorisation</w:t>
      </w:r>
      <w:proofErr w:type="spellEnd"/>
      <w:r w:rsidR="005A2084">
        <w:t xml:space="preserve"> (ICO, 2023). To a data-intensive </w:t>
      </w:r>
      <w:proofErr w:type="spellStart"/>
      <w:r w:rsidR="005A2084">
        <w:t>organisation</w:t>
      </w:r>
      <w:proofErr w:type="spellEnd"/>
      <w:r w:rsidR="005A2084">
        <w:t xml:space="preserve"> like Lloyds, these precedents underscore the fact that failure may lead to huge fines and irreparable damage to customer confidence, limiting the aggressive use of data to market the </w:t>
      </w:r>
      <w:proofErr w:type="spellStart"/>
      <w:r w:rsidR="005A2084">
        <w:t>organisation</w:t>
      </w:r>
      <w:proofErr w:type="spellEnd"/>
      <w:r w:rsidR="005A2084">
        <w:t>.</w:t>
      </w:r>
    </w:p>
    <w:p w14:paraId="50955EDA" w14:textId="64ABA9DC" w:rsidR="005A2084" w:rsidRDefault="005A2084" w:rsidP="005A2084">
      <w:pPr>
        <w:pStyle w:val="Heading2"/>
      </w:pPr>
      <w:bookmarkStart w:id="7" w:name="_Toc213837836"/>
      <w:r>
        <w:t>Environmental Factors:</w:t>
      </w:r>
      <w:bookmarkEnd w:id="7"/>
    </w:p>
    <w:p w14:paraId="3EDD9296" w14:textId="45B998B6" w:rsidR="005A2084" w:rsidRPr="005A2084" w:rsidRDefault="005A2084" w:rsidP="005A2084">
      <w:r>
        <w:t xml:space="preserve">Regulation of the environment is becoming a central risk of strategy. Biennial Exploratory Scenario (BES) 2024 by the Bank of England requires the major banks to have a model of the financial effects of climate change. At the same time, there is an increasing pressure by regulators on plausible transition schemes. Lloyds itself has pledged to cut its energy emissions in the oil and gas industry by 30 percent by 2030, 2022 baseline (Lloyds Banking Group, 2023). This may result in reputational harm and regulatory fines in the case of non-compliance with such changes in the ESG framework, and this will have a direct impact on its lending strategies. </w:t>
      </w:r>
    </w:p>
    <w:p w14:paraId="496EFE6A" w14:textId="77777777" w:rsidR="005A2084" w:rsidRDefault="00FB005E" w:rsidP="00FB005E">
      <w:pPr>
        <w:pStyle w:val="Heading1"/>
      </w:pPr>
      <w:bookmarkStart w:id="8" w:name="_Toc213837837"/>
      <w:r w:rsidRPr="00FB005E">
        <w:t>3. Critical Analysis and Evaluation</w:t>
      </w:r>
      <w:bookmarkEnd w:id="8"/>
    </w:p>
    <w:p w14:paraId="57D94171" w14:textId="546F06F6" w:rsidR="00FB005E" w:rsidRDefault="005A2084" w:rsidP="005A2084">
      <w:pPr>
        <w:pStyle w:val="Heading2"/>
      </w:pPr>
      <w:bookmarkStart w:id="9" w:name="_Toc213837838"/>
      <w:r w:rsidRPr="005A2084">
        <w:t>Threats: Navigating Economic and Competitive Pressures</w:t>
      </w:r>
      <w:bookmarkEnd w:id="9"/>
    </w:p>
    <w:p w14:paraId="173A1B21" w14:textId="1DE4CC88" w:rsidR="005A2084" w:rsidRDefault="005A2084" w:rsidP="005A2084">
      <w:r>
        <w:t xml:space="preserve">The threats are mainly economical volatility and disruptive competition. Although it has enhanced the net interest margins, the high rate of increase in the base rate of the Bank of England has also smothered the demand of credit and this has aggravated the pressure on the consumers during the cost-of-living crisis (Samet and </w:t>
      </w:r>
      <w:proofErr w:type="spellStart"/>
      <w:r>
        <w:t>Kirimhan</w:t>
      </w:r>
      <w:proofErr w:type="spellEnd"/>
      <w:r>
        <w:t xml:space="preserve">, 2025). This exposes a delicate position of the Lloyds, which means that it has to focus on profitability and responsible lending in order to eliminate the risk of loan defaults by overstretched borrowers. Open Banking and fintech disruption are an important threat to the business in terms of competition. It has also enabled the more than 400 regulated third-party </w:t>
      </w:r>
      <w:r>
        <w:lastRenderedPageBreak/>
        <w:t>providers to develop innovative, customer-centric services directly undermining the market share held by Lloyds</w:t>
      </w:r>
      <w:r w:rsidR="00666267">
        <w:t xml:space="preserve"> </w:t>
      </w:r>
      <w:r>
        <w:t>(Gulyas and Kiss, 2023).</w:t>
      </w:r>
    </w:p>
    <w:p w14:paraId="1E0F8414" w14:textId="53BC9000" w:rsidR="005A2084" w:rsidRDefault="005A2084" w:rsidP="005A2084">
      <w:pPr>
        <w:pStyle w:val="Heading2"/>
      </w:pPr>
      <w:bookmarkStart w:id="10" w:name="_Toc213837839"/>
      <w:r w:rsidRPr="005A2084">
        <w:t>Opportunities: Leveraging Regulation and Technology for Growth</w:t>
      </w:r>
      <w:bookmarkEnd w:id="10"/>
    </w:p>
    <w:p w14:paraId="09999837" w14:textId="6D87427D" w:rsidR="005A2084" w:rsidRPr="005A2084" w:rsidRDefault="00666267" w:rsidP="005A2084">
      <w:r>
        <w:t>However</w:t>
      </w:r>
      <w:r w:rsidR="005A2084">
        <w:t xml:space="preserve">, there are great opportunities in the external environment. The high compliance pressure of the regulatory and legal authorities, including the FCA Consumer Duty, offers an opportunity to develop a deep customer trust and brand integrity due to the transparent marketing with ethical </w:t>
      </w:r>
      <w:proofErr w:type="spellStart"/>
      <w:r w:rsidR="005A2084">
        <w:t>scrupples</w:t>
      </w:r>
      <w:proofErr w:type="spellEnd"/>
      <w:r w:rsidR="005A2084">
        <w:t xml:space="preserve"> (FCA, 2024; Finch and </w:t>
      </w:r>
      <w:proofErr w:type="spellStart"/>
      <w:r w:rsidR="005A2084">
        <w:t>Otioma</w:t>
      </w:r>
      <w:proofErr w:type="spellEnd"/>
      <w:r w:rsidR="005A2084">
        <w:t xml:space="preserve">, 2025). Lloyds will be able to distinguish itself by being excellent in customer fairness. This disruptive Open Banking system which generates some competition also provides an important strategic opening. To increase the efficiency of its services quickly and innovate its digital solutions, making strategic partnerships with </w:t>
      </w:r>
      <w:proofErr w:type="spellStart"/>
      <w:r w:rsidR="005A2084">
        <w:t>fintechs</w:t>
      </w:r>
      <w:proofErr w:type="spellEnd"/>
      <w:r w:rsidR="005A2084">
        <w:t xml:space="preserve">, Lloyds can consider the approach to gaining better customer retention (Zhang and Li, 2024). </w:t>
      </w:r>
    </w:p>
    <w:p w14:paraId="202DA242" w14:textId="535C3D8B" w:rsidR="00FB005E" w:rsidRPr="00FB005E" w:rsidRDefault="00FB005E" w:rsidP="00FB005E">
      <w:pPr>
        <w:pStyle w:val="Heading1"/>
      </w:pPr>
      <w:bookmarkStart w:id="11" w:name="_Toc213837840"/>
      <w:r w:rsidRPr="00FB005E">
        <w:t>4. Conclusion and Recommendations</w:t>
      </w:r>
      <w:bookmarkEnd w:id="11"/>
    </w:p>
    <w:p w14:paraId="7CEB6761" w14:textId="2F9710C7" w:rsidR="00FB005E" w:rsidRDefault="00AC49CC" w:rsidP="00AC49CC">
      <w:r w:rsidRPr="00AC49CC">
        <w:t>Conclusively, the macro-environment surrounding Lloyds Bank is complex due to technological disruption, regulatory pressures and sustainability imperatives. Financial uncertainty and the changing customer expectations require dynamic marketing approaches that focus on trust, innovation, and ethical governance. To close the recommendation gap, it is suggested that the Lloyds should reinforce fintech partnerships to become service-efficient</w:t>
      </w:r>
      <w:r w:rsidR="005A2084">
        <w:t xml:space="preserve">, </w:t>
      </w:r>
      <w:r w:rsidRPr="00AC49CC">
        <w:t>broaden green financing programs in compliance with ESG frameworks</w:t>
      </w:r>
      <w:r w:rsidR="005A2084">
        <w:t xml:space="preserve">, and </w:t>
      </w:r>
      <w:r w:rsidRPr="00AC49CC">
        <w:t xml:space="preserve">keep investing in service </w:t>
      </w:r>
      <w:proofErr w:type="spellStart"/>
      <w:r w:rsidRPr="00AC49CC">
        <w:t>personalisation</w:t>
      </w:r>
      <w:proofErr w:type="spellEnd"/>
      <w:r w:rsidRPr="00AC49CC">
        <w:t xml:space="preserve"> based on AI to breed digital interactions and ensure a competitive advantage</w:t>
      </w:r>
      <w:r w:rsidR="005A2084">
        <w:t>.</w:t>
      </w:r>
      <w:r w:rsidR="00FB005E">
        <w:br w:type="page"/>
      </w:r>
    </w:p>
    <w:p w14:paraId="43BDBFF0" w14:textId="3BC02CB9" w:rsidR="00A748B9" w:rsidRDefault="00FB005E" w:rsidP="00FB005E">
      <w:pPr>
        <w:pStyle w:val="Heading1"/>
      </w:pPr>
      <w:bookmarkStart w:id="12" w:name="_Toc213837841"/>
      <w:r>
        <w:lastRenderedPageBreak/>
        <w:t>References</w:t>
      </w:r>
      <w:bookmarkEnd w:id="12"/>
    </w:p>
    <w:p w14:paraId="4B12D84D" w14:textId="77777777" w:rsidR="002E2BE5" w:rsidRPr="00FB005E" w:rsidRDefault="002E2BE5" w:rsidP="00D03134">
      <w:pPr>
        <w:ind w:left="720" w:hanging="720"/>
      </w:pPr>
      <w:r w:rsidRPr="00FB005E">
        <w:t xml:space="preserve">Bank of England (2025). </w:t>
      </w:r>
      <w:r w:rsidRPr="00FB005E">
        <w:rPr>
          <w:i/>
          <w:iCs/>
        </w:rPr>
        <w:t>Climate-scenario analysis and stress testing</w:t>
      </w:r>
      <w:r w:rsidRPr="00FB005E">
        <w:t>. [online] Bankofengland.co.uk. Available at: https://www.bankofengland.co.uk/climate-change/climate-scenario-analysis-and-stress-testing.</w:t>
      </w:r>
    </w:p>
    <w:p w14:paraId="2D00D179" w14:textId="77777777" w:rsidR="002E2BE5" w:rsidRDefault="002E2BE5" w:rsidP="00D03134">
      <w:pPr>
        <w:ind w:left="720" w:hanging="720"/>
      </w:pPr>
      <w:r w:rsidRPr="002E2BE5">
        <w:t xml:space="preserve">Bank of England. (2024). Monetary Policy Report - February 2024. [Online] Available at: </w:t>
      </w:r>
      <w:hyperlink r:id="rId9" w:history="1">
        <w:r w:rsidRPr="00924688">
          <w:rPr>
            <w:rStyle w:val="Hyperlink"/>
          </w:rPr>
          <w:t>https://www.bankofengland.co.uk/monetary-policy-report/2024/february-2024</w:t>
        </w:r>
      </w:hyperlink>
    </w:p>
    <w:p w14:paraId="1370DE16" w14:textId="77777777" w:rsidR="002E2BE5" w:rsidRPr="00FB005E" w:rsidRDefault="002E2BE5" w:rsidP="00D03134">
      <w:pPr>
        <w:ind w:left="720" w:hanging="720"/>
      </w:pPr>
      <w:r w:rsidRPr="00FB005E">
        <w:t xml:space="preserve">Chauhan, S., Akhtar, A. and Gupta, A. (2022). Customer experience in digital banking: a review and future research directions. </w:t>
      </w:r>
      <w:r w:rsidRPr="00FB005E">
        <w:rPr>
          <w:i/>
          <w:iCs/>
        </w:rPr>
        <w:t>International Journal of Quality and Service Sciences</w:t>
      </w:r>
      <w:r w:rsidRPr="00FB005E">
        <w:t>, 14(2), pp.311–348.</w:t>
      </w:r>
    </w:p>
    <w:p w14:paraId="6C049E46" w14:textId="77777777" w:rsidR="002E2BE5" w:rsidRPr="00FB005E" w:rsidRDefault="002E2BE5" w:rsidP="00D03134">
      <w:pPr>
        <w:ind w:left="720" w:hanging="720"/>
      </w:pPr>
      <w:r w:rsidRPr="00FB005E">
        <w:t xml:space="preserve">FCA (2024). </w:t>
      </w:r>
      <w:r w:rsidRPr="00FB005E">
        <w:rPr>
          <w:i/>
          <w:iCs/>
        </w:rPr>
        <w:t>Consumer Duty implementation: good practice and areas for improvement</w:t>
      </w:r>
      <w:r w:rsidRPr="00FB005E">
        <w:t>. [online] FCA. Available at: https://www.fca.org.uk/publications/good-and-poor-practice/consumer-duty-implementation-good-practice-and-areas-improvement.</w:t>
      </w:r>
    </w:p>
    <w:p w14:paraId="0838CAAF" w14:textId="77777777" w:rsidR="002E2BE5" w:rsidRDefault="002E2BE5" w:rsidP="00D03134">
      <w:pPr>
        <w:ind w:left="720" w:hanging="720"/>
      </w:pPr>
      <w:r w:rsidRPr="002E2BE5">
        <w:t>Financial Conduct Authority (FCA). (2022). Financial Lives Survey 2022. [Online] Available at:</w:t>
      </w:r>
      <w:r>
        <w:t xml:space="preserve"> </w:t>
      </w:r>
      <w:hyperlink r:id="rId10" w:history="1">
        <w:r w:rsidRPr="00924688">
          <w:rPr>
            <w:rStyle w:val="Hyperlink"/>
          </w:rPr>
          <w:t>https://www.fca.org.uk/data/financial-lives-2022-early-survey-insights-vulnerability-financial-resilience</w:t>
        </w:r>
      </w:hyperlink>
      <w:r>
        <w:t xml:space="preserve"> </w:t>
      </w:r>
    </w:p>
    <w:p w14:paraId="05C45ABE" w14:textId="77777777" w:rsidR="002E2BE5" w:rsidRPr="00FB005E" w:rsidRDefault="002E2BE5" w:rsidP="00D03134">
      <w:pPr>
        <w:ind w:left="720" w:hanging="720"/>
      </w:pPr>
      <w:r w:rsidRPr="00FB005E">
        <w:t xml:space="preserve">Finch, J. and </w:t>
      </w:r>
      <w:proofErr w:type="spellStart"/>
      <w:r w:rsidRPr="00FB005E">
        <w:t>Otioma</w:t>
      </w:r>
      <w:proofErr w:type="spellEnd"/>
      <w:r w:rsidRPr="00FB005E">
        <w:t xml:space="preserve">, C. (2025). Consumers as Innovators and the UK Financial Conduct Authority’s Consumer Duty. [online] </w:t>
      </w:r>
      <w:proofErr w:type="spellStart"/>
      <w:proofErr w:type="gramStart"/>
      <w:r w:rsidRPr="00FB005E">
        <w:t>doi:https</w:t>
      </w:r>
      <w:proofErr w:type="spellEnd"/>
      <w:r w:rsidRPr="00FB005E">
        <w:t>://doi.org/10.36399/gla.pubs.349742</w:t>
      </w:r>
      <w:proofErr w:type="gramEnd"/>
      <w:r w:rsidRPr="00FB005E">
        <w:t>.</w:t>
      </w:r>
    </w:p>
    <w:p w14:paraId="58D9E338" w14:textId="77777777" w:rsidR="002E2BE5" w:rsidRPr="00FB005E" w:rsidRDefault="002E2BE5" w:rsidP="00D03134">
      <w:pPr>
        <w:ind w:left="720" w:hanging="720"/>
      </w:pPr>
      <w:r w:rsidRPr="00FB005E">
        <w:t xml:space="preserve">Gulyás, O. and Kiss, G. (2023). Impact of cyber-attacks on the financial institutions. </w:t>
      </w:r>
      <w:r w:rsidRPr="00FB005E">
        <w:rPr>
          <w:i/>
          <w:iCs/>
        </w:rPr>
        <w:t>Procedia Computer Science</w:t>
      </w:r>
      <w:r w:rsidRPr="00FB005E">
        <w:t xml:space="preserve">, [online] 219, pp.84–90. </w:t>
      </w:r>
      <w:proofErr w:type="spellStart"/>
      <w:proofErr w:type="gramStart"/>
      <w:r w:rsidRPr="00FB005E">
        <w:t>doi:https</w:t>
      </w:r>
      <w:proofErr w:type="spellEnd"/>
      <w:r w:rsidRPr="00FB005E">
        <w:t>://doi.org/10.1016/j.procs.2023.01.267</w:t>
      </w:r>
      <w:proofErr w:type="gramEnd"/>
      <w:r w:rsidRPr="00FB005E">
        <w:t>.</w:t>
      </w:r>
    </w:p>
    <w:p w14:paraId="39EEBE06" w14:textId="77777777" w:rsidR="002E2BE5" w:rsidRPr="00827764" w:rsidRDefault="002E2BE5" w:rsidP="00D03134">
      <w:pPr>
        <w:ind w:left="720" w:hanging="720"/>
      </w:pPr>
      <w:r w:rsidRPr="00827764">
        <w:t xml:space="preserve">Lloyds Bank (2024). </w:t>
      </w:r>
      <w:r w:rsidRPr="00827764">
        <w:rPr>
          <w:i/>
          <w:iCs/>
        </w:rPr>
        <w:t>Lloyds Bank - Personal Banking, Personal Finances &amp; Bank Accounts</w:t>
      </w:r>
      <w:r w:rsidRPr="00827764">
        <w:t>. [online] Lloydsbank.com. Available at: https://www.lloydsbank.com/.</w:t>
      </w:r>
    </w:p>
    <w:p w14:paraId="16FCCE7D" w14:textId="77777777" w:rsidR="002E2BE5" w:rsidRPr="00FB005E" w:rsidRDefault="002E2BE5" w:rsidP="00D03134">
      <w:pPr>
        <w:ind w:left="720" w:hanging="720"/>
      </w:pPr>
      <w:proofErr w:type="spellStart"/>
      <w:r w:rsidRPr="00FB005E">
        <w:t>Mogaji</w:t>
      </w:r>
      <w:proofErr w:type="spellEnd"/>
      <w:r w:rsidRPr="00FB005E">
        <w:t xml:space="preserve">, E., Farquhar, J.D., van Esch, P., </w:t>
      </w:r>
      <w:proofErr w:type="spellStart"/>
      <w:r w:rsidRPr="00FB005E">
        <w:t>Durodié</w:t>
      </w:r>
      <w:proofErr w:type="spellEnd"/>
      <w:r w:rsidRPr="00FB005E">
        <w:t xml:space="preserve">, C. and Perez-Vega, R. (2022). Guest editorial: Artificial intelligence in financial services marketing. </w:t>
      </w:r>
      <w:r w:rsidRPr="00FB005E">
        <w:rPr>
          <w:i/>
          <w:iCs/>
        </w:rPr>
        <w:t>International Journal of Bank Marketing</w:t>
      </w:r>
      <w:r w:rsidRPr="00FB005E">
        <w:t xml:space="preserve">, 40(6), pp.1097–1101. </w:t>
      </w:r>
      <w:proofErr w:type="spellStart"/>
      <w:proofErr w:type="gramStart"/>
      <w:r w:rsidRPr="00FB005E">
        <w:t>doi:https</w:t>
      </w:r>
      <w:proofErr w:type="spellEnd"/>
      <w:r w:rsidRPr="00FB005E">
        <w:t>://doi.org/10.1108/ijbm-09-2022-617</w:t>
      </w:r>
      <w:proofErr w:type="gramEnd"/>
      <w:r w:rsidRPr="00FB005E">
        <w:t>.</w:t>
      </w:r>
    </w:p>
    <w:p w14:paraId="7B8A50DF" w14:textId="77777777" w:rsidR="002E2BE5" w:rsidRDefault="002E2BE5" w:rsidP="00D03134">
      <w:pPr>
        <w:ind w:left="720" w:hanging="720"/>
      </w:pPr>
      <w:r w:rsidRPr="00FB005E">
        <w:lastRenderedPageBreak/>
        <w:t xml:space="preserve">‌Open Banking Limited (2023) </w:t>
      </w:r>
      <w:r w:rsidRPr="00FB005E">
        <w:rPr>
          <w:i/>
          <w:iCs/>
        </w:rPr>
        <w:t>Open Banking Impact Report: October 2023</w:t>
      </w:r>
      <w:r w:rsidRPr="00FB005E">
        <w:t xml:space="preserve">. [online] London: Open Banking Limited. Available at: </w:t>
      </w:r>
      <w:hyperlink r:id="rId11" w:tgtFrame="_new" w:history="1">
        <w:r w:rsidRPr="00FB005E">
          <w:rPr>
            <w:rStyle w:val="Hyperlink"/>
          </w:rPr>
          <w:t>https://www.openbanking.org.uk/wp-content/uploads/Impact-Report-Oct-2023-1-1.pdf</w:t>
        </w:r>
      </w:hyperlink>
    </w:p>
    <w:p w14:paraId="044D7573" w14:textId="77777777" w:rsidR="002E2BE5" w:rsidRPr="00FB005E" w:rsidRDefault="002E2BE5" w:rsidP="00D03134">
      <w:pPr>
        <w:ind w:left="720" w:hanging="720"/>
      </w:pPr>
      <w:r w:rsidRPr="00FB005E">
        <w:t xml:space="preserve">Samet, A. and Destan </w:t>
      </w:r>
      <w:proofErr w:type="spellStart"/>
      <w:r w:rsidRPr="00FB005E">
        <w:t>Kirimhan</w:t>
      </w:r>
      <w:proofErr w:type="spellEnd"/>
      <w:r w:rsidRPr="00FB005E">
        <w:t xml:space="preserve"> (2025). The impact of interest rate increases on bank profitability: Evidence from U.S. banks. </w:t>
      </w:r>
      <w:r w:rsidRPr="00FB005E">
        <w:rPr>
          <w:i/>
          <w:iCs/>
        </w:rPr>
        <w:t>SSRN Electronic Journal</w:t>
      </w:r>
      <w:r w:rsidRPr="00FB005E">
        <w:t xml:space="preserve">. [online] </w:t>
      </w:r>
      <w:proofErr w:type="spellStart"/>
      <w:proofErr w:type="gramStart"/>
      <w:r w:rsidRPr="00FB005E">
        <w:t>doi:https</w:t>
      </w:r>
      <w:proofErr w:type="spellEnd"/>
      <w:r w:rsidRPr="00FB005E">
        <w:t>://doi.org/10.2139/ssrn.5281518</w:t>
      </w:r>
      <w:proofErr w:type="gramEnd"/>
      <w:r w:rsidRPr="00FB005E">
        <w:t>.</w:t>
      </w:r>
    </w:p>
    <w:p w14:paraId="2A9F68C3" w14:textId="77777777" w:rsidR="002E2BE5" w:rsidRPr="00FB005E" w:rsidRDefault="002E2BE5" w:rsidP="00D03134">
      <w:pPr>
        <w:ind w:left="720" w:hanging="720"/>
      </w:pPr>
      <w:r w:rsidRPr="00FB005E">
        <w:t xml:space="preserve">Schreiner, L. and Beyer, A. (2025). </w:t>
      </w:r>
      <w:r w:rsidRPr="00FB005E">
        <w:rPr>
          <w:i/>
          <w:iCs/>
        </w:rPr>
        <w:t>Working Paper Series Impacts of ESG banking regulation on financing new sustainable technologies No 3089</w:t>
      </w:r>
      <w:r w:rsidRPr="00FB005E">
        <w:t>. [online] Available at: https://www.ecb.europa.eu/pub/pdf/scpwps/ecb.wp3089~b889a488a7.en.pdf.</w:t>
      </w:r>
    </w:p>
    <w:p w14:paraId="4082CC38" w14:textId="77777777" w:rsidR="002E2BE5" w:rsidRDefault="002E2BE5" w:rsidP="00D03134">
      <w:pPr>
        <w:ind w:left="720" w:hanging="720"/>
      </w:pPr>
      <w:r w:rsidRPr="00FB005E">
        <w:t xml:space="preserve">Zhang, X. and Li, Z. (2024). FinTech: The disruptive force reducing bank competition pressure. </w:t>
      </w:r>
      <w:r w:rsidRPr="00FB005E">
        <w:rPr>
          <w:i/>
          <w:iCs/>
        </w:rPr>
        <w:t>Emerging Markets Review</w:t>
      </w:r>
      <w:r w:rsidRPr="00FB005E">
        <w:t xml:space="preserve">, [online] 65, p.101237. </w:t>
      </w:r>
      <w:proofErr w:type="spellStart"/>
      <w:proofErr w:type="gramStart"/>
      <w:r w:rsidRPr="00FB005E">
        <w:t>doi:https</w:t>
      </w:r>
      <w:proofErr w:type="spellEnd"/>
      <w:r w:rsidRPr="00FB005E">
        <w:t>://doi.org/10.1016/j.ememar.2024.101237</w:t>
      </w:r>
      <w:proofErr w:type="gramEnd"/>
      <w:r w:rsidRPr="00FB005E">
        <w:t>.</w:t>
      </w:r>
    </w:p>
    <w:p w14:paraId="7BEA83C7" w14:textId="77777777" w:rsidR="00827764" w:rsidRDefault="00827764" w:rsidP="00FB005E"/>
    <w:p w14:paraId="1DD696D9" w14:textId="77777777" w:rsidR="002E2BE5" w:rsidRPr="00FB005E" w:rsidRDefault="002E2BE5" w:rsidP="00FB005E"/>
    <w:p w14:paraId="05D6ACF2" w14:textId="77777777" w:rsidR="00FB005E" w:rsidRPr="00FB005E" w:rsidRDefault="00FB005E" w:rsidP="00FB005E"/>
    <w:p w14:paraId="1D7DEB37" w14:textId="77777777" w:rsidR="00FB005E" w:rsidRPr="00FB005E" w:rsidRDefault="00FB005E" w:rsidP="00FB005E"/>
    <w:sectPr w:rsidR="00FB005E" w:rsidRPr="00FB005E" w:rsidSect="00FB005E">
      <w:headerReference w:type="default"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821D5" w14:textId="77777777" w:rsidR="007B38E2" w:rsidRDefault="007B38E2" w:rsidP="00FB005E">
      <w:pPr>
        <w:spacing w:after="0" w:line="240" w:lineRule="auto"/>
      </w:pPr>
      <w:r>
        <w:separator/>
      </w:r>
    </w:p>
  </w:endnote>
  <w:endnote w:type="continuationSeparator" w:id="0">
    <w:p w14:paraId="0F2FDB79" w14:textId="77777777" w:rsidR="007B38E2" w:rsidRDefault="007B38E2" w:rsidP="00FB0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371199"/>
      <w:docPartObj>
        <w:docPartGallery w:val="Page Numbers (Bottom of Page)"/>
        <w:docPartUnique/>
      </w:docPartObj>
    </w:sdtPr>
    <w:sdtEndPr>
      <w:rPr>
        <w:noProof/>
      </w:rPr>
    </w:sdtEndPr>
    <w:sdtContent>
      <w:p w14:paraId="0510C2D3" w14:textId="2733C457" w:rsidR="00FB005E" w:rsidRDefault="00FB00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9ACC56" w14:textId="77777777" w:rsidR="00FB005E" w:rsidRDefault="00FB0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00C46" w14:textId="77777777" w:rsidR="007B38E2" w:rsidRDefault="007B38E2" w:rsidP="00FB005E">
      <w:pPr>
        <w:spacing w:after="0" w:line="240" w:lineRule="auto"/>
      </w:pPr>
      <w:r>
        <w:separator/>
      </w:r>
    </w:p>
  </w:footnote>
  <w:footnote w:type="continuationSeparator" w:id="0">
    <w:p w14:paraId="50D23F34" w14:textId="77777777" w:rsidR="007B38E2" w:rsidRDefault="007B38E2" w:rsidP="00FB0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B9840" w14:textId="1681EE79" w:rsidR="00827764" w:rsidRPr="00827764" w:rsidRDefault="006E337E" w:rsidP="00827764">
    <w:pPr>
      <w:pStyle w:val="Header"/>
    </w:pPr>
    <w:r>
      <w:rPr>
        <w:noProof/>
      </w:rPr>
      <w:ptab w:relativeTo="margin" w:alignment="left" w:leader="none"/>
    </w:r>
    <w:r>
      <w:rPr>
        <w:noProof/>
      </w:rPr>
      <w:drawing>
        <wp:inline distT="0" distB="0" distL="0" distR="0" wp14:anchorId="1EDB0A34" wp14:editId="384DAA10">
          <wp:extent cx="1797050" cy="718098"/>
          <wp:effectExtent l="0" t="0" r="0" b="6350"/>
          <wp:docPr id="1355530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30825" name=""/>
                  <pic:cNvPicPr/>
                </pic:nvPicPr>
                <pic:blipFill>
                  <a:blip r:embed="rId1"/>
                  <a:stretch>
                    <a:fillRect/>
                  </a:stretch>
                </pic:blipFill>
                <pic:spPr>
                  <a:xfrm>
                    <a:off x="0" y="0"/>
                    <a:ext cx="1815848" cy="725610"/>
                  </a:xfrm>
                  <a:prstGeom prst="rect">
                    <a:avLst/>
                  </a:prstGeom>
                </pic:spPr>
              </pic:pic>
            </a:graphicData>
          </a:graphic>
        </wp:inline>
      </w:drawing>
    </w:r>
    <w:r w:rsidR="00827764">
      <w:rPr>
        <w:noProof/>
      </w:rPr>
      <w:ptab w:relativeTo="margin" w:alignment="right" w:leader="none"/>
    </w:r>
    <w:r w:rsidR="00827764">
      <w:rPr>
        <w:noProof/>
      </w:rPr>
      <w:drawing>
        <wp:inline distT="0" distB="0" distL="0" distR="0" wp14:anchorId="3CA43CB5" wp14:editId="22DB1E72">
          <wp:extent cx="2276476" cy="734582"/>
          <wp:effectExtent l="0" t="0" r="0" b="8890"/>
          <wp:docPr id="1176262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62995" name=""/>
                  <pic:cNvPicPr/>
                </pic:nvPicPr>
                <pic:blipFill>
                  <a:blip r:embed="rId2"/>
                  <a:stretch>
                    <a:fillRect/>
                  </a:stretch>
                </pic:blipFill>
                <pic:spPr>
                  <a:xfrm>
                    <a:off x="0" y="0"/>
                    <a:ext cx="2303978" cy="74345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258BD"/>
    <w:multiLevelType w:val="hybridMultilevel"/>
    <w:tmpl w:val="36E20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3469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5E"/>
    <w:rsid w:val="00065DFC"/>
    <w:rsid w:val="001F77B0"/>
    <w:rsid w:val="002E2BE5"/>
    <w:rsid w:val="004E1BD7"/>
    <w:rsid w:val="005A2084"/>
    <w:rsid w:val="005C7E86"/>
    <w:rsid w:val="005D5F4A"/>
    <w:rsid w:val="00666267"/>
    <w:rsid w:val="006E337E"/>
    <w:rsid w:val="007B38E2"/>
    <w:rsid w:val="00827764"/>
    <w:rsid w:val="00854883"/>
    <w:rsid w:val="009B5E59"/>
    <w:rsid w:val="009E78D8"/>
    <w:rsid w:val="00A55AFC"/>
    <w:rsid w:val="00A748B9"/>
    <w:rsid w:val="00AC49CC"/>
    <w:rsid w:val="00B3412E"/>
    <w:rsid w:val="00BC0D50"/>
    <w:rsid w:val="00C45E9A"/>
    <w:rsid w:val="00D03134"/>
    <w:rsid w:val="00DC18DB"/>
    <w:rsid w:val="00DF58DB"/>
    <w:rsid w:val="00E27C5E"/>
    <w:rsid w:val="00FB005E"/>
    <w:rsid w:val="00FE694C"/>
    <w:rsid w:val="00FF0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CA967"/>
  <w15:chartTrackingRefBased/>
  <w15:docId w15:val="{BA6A5179-E274-4F5E-850E-509397832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94C"/>
    <w:pPr>
      <w:spacing w:line="360" w:lineRule="auto"/>
      <w:jc w:val="both"/>
    </w:pPr>
    <w:rPr>
      <w:rFonts w:ascii="Arial" w:hAnsi="Arial"/>
    </w:rPr>
  </w:style>
  <w:style w:type="paragraph" w:styleId="Heading1">
    <w:name w:val="heading 1"/>
    <w:basedOn w:val="Normal"/>
    <w:next w:val="Normal"/>
    <w:link w:val="Heading1Char"/>
    <w:uiPriority w:val="9"/>
    <w:qFormat/>
    <w:rsid w:val="00FE694C"/>
    <w:pPr>
      <w:outlineLvl w:val="0"/>
    </w:pPr>
    <w:rPr>
      <w:b/>
    </w:rPr>
  </w:style>
  <w:style w:type="paragraph" w:styleId="Heading2">
    <w:name w:val="heading 2"/>
    <w:basedOn w:val="Heading1"/>
    <w:next w:val="Normal"/>
    <w:link w:val="Heading2Char"/>
    <w:uiPriority w:val="9"/>
    <w:unhideWhenUsed/>
    <w:qFormat/>
    <w:rsid w:val="00FE694C"/>
    <w:pPr>
      <w:outlineLvl w:val="1"/>
    </w:pPr>
    <w:rPr>
      <w:i/>
    </w:rPr>
  </w:style>
  <w:style w:type="paragraph" w:styleId="Heading3">
    <w:name w:val="heading 3"/>
    <w:basedOn w:val="Heading2"/>
    <w:next w:val="Normal"/>
    <w:link w:val="Heading3Char"/>
    <w:uiPriority w:val="9"/>
    <w:unhideWhenUsed/>
    <w:qFormat/>
    <w:rsid w:val="00FE694C"/>
    <w:pPr>
      <w:outlineLvl w:val="2"/>
    </w:pPr>
    <w:rPr>
      <w:b w:val="0"/>
    </w:rPr>
  </w:style>
  <w:style w:type="paragraph" w:styleId="Heading4">
    <w:name w:val="heading 4"/>
    <w:basedOn w:val="Normal"/>
    <w:next w:val="Normal"/>
    <w:link w:val="Heading4Char"/>
    <w:uiPriority w:val="9"/>
    <w:semiHidden/>
    <w:unhideWhenUsed/>
    <w:qFormat/>
    <w:rsid w:val="00FB005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B005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FB005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B005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B005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B005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94C"/>
    <w:rPr>
      <w:rFonts w:ascii="Arial" w:hAnsi="Arial"/>
      <w:b/>
    </w:rPr>
  </w:style>
  <w:style w:type="character" w:customStyle="1" w:styleId="Heading2Char">
    <w:name w:val="Heading 2 Char"/>
    <w:basedOn w:val="DefaultParagraphFont"/>
    <w:link w:val="Heading2"/>
    <w:uiPriority w:val="9"/>
    <w:rsid w:val="00FE694C"/>
    <w:rPr>
      <w:rFonts w:ascii="Arial" w:hAnsi="Arial"/>
      <w:b/>
      <w:i/>
    </w:rPr>
  </w:style>
  <w:style w:type="character" w:customStyle="1" w:styleId="Heading3Char">
    <w:name w:val="Heading 3 Char"/>
    <w:basedOn w:val="DefaultParagraphFont"/>
    <w:link w:val="Heading3"/>
    <w:uiPriority w:val="9"/>
    <w:rsid w:val="00FE694C"/>
    <w:rPr>
      <w:rFonts w:ascii="Arial" w:hAnsi="Arial"/>
      <w:i/>
    </w:rPr>
  </w:style>
  <w:style w:type="character" w:customStyle="1" w:styleId="Heading4Char">
    <w:name w:val="Heading 4 Char"/>
    <w:basedOn w:val="DefaultParagraphFont"/>
    <w:link w:val="Heading4"/>
    <w:uiPriority w:val="9"/>
    <w:semiHidden/>
    <w:rsid w:val="00FB005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B005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B0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05E"/>
    <w:rPr>
      <w:rFonts w:eastAsiaTheme="majorEastAsia" w:cstheme="majorBidi"/>
      <w:color w:val="272727" w:themeColor="text1" w:themeTint="D8"/>
    </w:rPr>
  </w:style>
  <w:style w:type="paragraph" w:styleId="Title">
    <w:name w:val="Title"/>
    <w:basedOn w:val="Normal"/>
    <w:next w:val="Normal"/>
    <w:link w:val="TitleChar"/>
    <w:uiPriority w:val="10"/>
    <w:qFormat/>
    <w:rsid w:val="00FB0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05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05E"/>
    <w:pPr>
      <w:spacing w:before="160"/>
      <w:jc w:val="center"/>
    </w:pPr>
    <w:rPr>
      <w:i/>
      <w:iCs/>
      <w:color w:val="404040" w:themeColor="text1" w:themeTint="BF"/>
    </w:rPr>
  </w:style>
  <w:style w:type="character" w:customStyle="1" w:styleId="QuoteChar">
    <w:name w:val="Quote Char"/>
    <w:basedOn w:val="DefaultParagraphFont"/>
    <w:link w:val="Quote"/>
    <w:uiPriority w:val="29"/>
    <w:rsid w:val="00FB005E"/>
    <w:rPr>
      <w:rFonts w:ascii="Arial" w:hAnsi="Arial"/>
      <w:i/>
      <w:iCs/>
      <w:color w:val="404040" w:themeColor="text1" w:themeTint="BF"/>
    </w:rPr>
  </w:style>
  <w:style w:type="paragraph" w:styleId="ListParagraph">
    <w:name w:val="List Paragraph"/>
    <w:basedOn w:val="Normal"/>
    <w:uiPriority w:val="34"/>
    <w:qFormat/>
    <w:rsid w:val="00FB005E"/>
    <w:pPr>
      <w:ind w:left="720"/>
      <w:contextualSpacing/>
    </w:pPr>
  </w:style>
  <w:style w:type="character" w:styleId="IntenseEmphasis">
    <w:name w:val="Intense Emphasis"/>
    <w:basedOn w:val="DefaultParagraphFont"/>
    <w:uiPriority w:val="21"/>
    <w:qFormat/>
    <w:rsid w:val="00FB005E"/>
    <w:rPr>
      <w:i/>
      <w:iCs/>
      <w:color w:val="2E74B5" w:themeColor="accent1" w:themeShade="BF"/>
    </w:rPr>
  </w:style>
  <w:style w:type="paragraph" w:styleId="IntenseQuote">
    <w:name w:val="Intense Quote"/>
    <w:basedOn w:val="Normal"/>
    <w:next w:val="Normal"/>
    <w:link w:val="IntenseQuoteChar"/>
    <w:uiPriority w:val="30"/>
    <w:qFormat/>
    <w:rsid w:val="00FB005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B005E"/>
    <w:rPr>
      <w:rFonts w:ascii="Arial" w:hAnsi="Arial"/>
      <w:i/>
      <w:iCs/>
      <w:color w:val="2E74B5" w:themeColor="accent1" w:themeShade="BF"/>
    </w:rPr>
  </w:style>
  <w:style w:type="character" w:styleId="IntenseReference">
    <w:name w:val="Intense Reference"/>
    <w:basedOn w:val="DefaultParagraphFont"/>
    <w:uiPriority w:val="32"/>
    <w:qFormat/>
    <w:rsid w:val="00FB005E"/>
    <w:rPr>
      <w:b/>
      <w:bCs/>
      <w:smallCaps/>
      <w:color w:val="2E74B5" w:themeColor="accent1" w:themeShade="BF"/>
      <w:spacing w:val="5"/>
    </w:rPr>
  </w:style>
  <w:style w:type="character" w:styleId="Hyperlink">
    <w:name w:val="Hyperlink"/>
    <w:basedOn w:val="DefaultParagraphFont"/>
    <w:uiPriority w:val="99"/>
    <w:unhideWhenUsed/>
    <w:rsid w:val="00FB005E"/>
    <w:rPr>
      <w:color w:val="0563C1" w:themeColor="hyperlink"/>
      <w:u w:val="single"/>
    </w:rPr>
  </w:style>
  <w:style w:type="character" w:styleId="UnresolvedMention">
    <w:name w:val="Unresolved Mention"/>
    <w:basedOn w:val="DefaultParagraphFont"/>
    <w:uiPriority w:val="99"/>
    <w:semiHidden/>
    <w:unhideWhenUsed/>
    <w:rsid w:val="00FB005E"/>
    <w:rPr>
      <w:color w:val="605E5C"/>
      <w:shd w:val="clear" w:color="auto" w:fill="E1DFDD"/>
    </w:rPr>
  </w:style>
  <w:style w:type="paragraph" w:styleId="TOCHeading">
    <w:name w:val="TOC Heading"/>
    <w:basedOn w:val="Heading1"/>
    <w:next w:val="Normal"/>
    <w:uiPriority w:val="39"/>
    <w:unhideWhenUsed/>
    <w:qFormat/>
    <w:rsid w:val="00FB005E"/>
    <w:pPr>
      <w:keepNext/>
      <w:keepLines/>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FB005E"/>
    <w:pPr>
      <w:spacing w:after="100"/>
    </w:pPr>
  </w:style>
  <w:style w:type="paragraph" w:styleId="Header">
    <w:name w:val="header"/>
    <w:basedOn w:val="Normal"/>
    <w:link w:val="HeaderChar"/>
    <w:uiPriority w:val="99"/>
    <w:unhideWhenUsed/>
    <w:rsid w:val="00FB00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05E"/>
    <w:rPr>
      <w:rFonts w:ascii="Arial" w:hAnsi="Arial"/>
    </w:rPr>
  </w:style>
  <w:style w:type="paragraph" w:styleId="Footer">
    <w:name w:val="footer"/>
    <w:basedOn w:val="Normal"/>
    <w:link w:val="FooterChar"/>
    <w:uiPriority w:val="99"/>
    <w:unhideWhenUsed/>
    <w:rsid w:val="00FB0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05E"/>
    <w:rPr>
      <w:rFonts w:ascii="Arial" w:hAnsi="Arial"/>
    </w:rPr>
  </w:style>
  <w:style w:type="paragraph" w:styleId="TOC2">
    <w:name w:val="toc 2"/>
    <w:basedOn w:val="Normal"/>
    <w:next w:val="Normal"/>
    <w:autoRedefine/>
    <w:uiPriority w:val="39"/>
    <w:unhideWhenUsed/>
    <w:rsid w:val="009B5E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ebp"/><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enbanking.org.uk/wp-content/uploads/Impact-Report-Oct-2023-1-1.pdf?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ca.org.uk/data/financial-lives-2022-early-survey-insights-vulnerability-financial-resilience" TargetMode="External"/><Relationship Id="rId4" Type="http://schemas.openxmlformats.org/officeDocument/2006/relationships/settings" Target="settings.xml"/><Relationship Id="rId9" Type="http://schemas.openxmlformats.org/officeDocument/2006/relationships/hyperlink" Target="https://www.bankofengland.co.uk/monetary-policy-report/2024/february-202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0110C-0E18-4DC9-B123-BB2F15D7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MT_Sales-06</cp:lastModifiedBy>
  <cp:revision>7</cp:revision>
  <dcterms:created xsi:type="dcterms:W3CDTF">2025-10-30T11:20:00Z</dcterms:created>
  <dcterms:modified xsi:type="dcterms:W3CDTF">2025-11-12T11:11:00Z</dcterms:modified>
</cp:coreProperties>
</file>