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01ECB0" w14:textId="073D9F53" w:rsidR="000B2FC5" w:rsidRDefault="002220A1" w:rsidP="00752DC0">
      <w:pPr>
        <w:pBdr>
          <w:top w:val="nil"/>
          <w:left w:val="nil"/>
          <w:bottom w:val="nil"/>
          <w:right w:val="nil"/>
          <w:between w:val="nil"/>
        </w:pBdr>
        <w:spacing w:line="36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noProof/>
          <w:color w:val="000000"/>
          <w:sz w:val="28"/>
          <w:szCs w:val="28"/>
          <w:lang w:val="en-IN" w:eastAsia="en-IN" w:bidi="bn-IN"/>
        </w:rPr>
        <w:drawing>
          <wp:inline distT="0" distB="0" distL="0" distR="0" wp14:anchorId="4149A32B" wp14:editId="41057ABE">
            <wp:extent cx="2076450" cy="75247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076450" cy="752475"/>
                    </a:xfrm>
                    <a:prstGeom prst="rect">
                      <a:avLst/>
                    </a:prstGeom>
                    <a:ln/>
                  </pic:spPr>
                </pic:pic>
              </a:graphicData>
            </a:graphic>
          </wp:inline>
        </w:drawing>
      </w:r>
    </w:p>
    <w:p w14:paraId="0EE1E3F2" w14:textId="77777777" w:rsidR="000B2FC5" w:rsidRDefault="000B2FC5">
      <w:pPr>
        <w:pBdr>
          <w:top w:val="nil"/>
          <w:left w:val="nil"/>
          <w:bottom w:val="nil"/>
          <w:right w:val="nil"/>
          <w:between w:val="nil"/>
        </w:pBdr>
        <w:spacing w:line="360" w:lineRule="auto"/>
        <w:jc w:val="center"/>
        <w:rPr>
          <w:rFonts w:ascii="Times New Roman" w:eastAsia="Times New Roman" w:hAnsi="Times New Roman" w:cs="Times New Roman"/>
          <w:b/>
          <w:color w:val="000000"/>
          <w:sz w:val="28"/>
          <w:szCs w:val="28"/>
        </w:rPr>
      </w:pPr>
    </w:p>
    <w:p w14:paraId="0AF283BF" w14:textId="77777777" w:rsidR="000B2FC5" w:rsidRDefault="000B2FC5">
      <w:pPr>
        <w:pBdr>
          <w:top w:val="nil"/>
          <w:left w:val="nil"/>
          <w:bottom w:val="nil"/>
          <w:right w:val="nil"/>
          <w:between w:val="nil"/>
        </w:pBdr>
        <w:spacing w:line="360" w:lineRule="auto"/>
        <w:jc w:val="center"/>
        <w:rPr>
          <w:rFonts w:ascii="Times New Roman" w:eastAsia="Times New Roman" w:hAnsi="Times New Roman" w:cs="Times New Roman"/>
          <w:b/>
          <w:color w:val="000000"/>
          <w:sz w:val="28"/>
          <w:szCs w:val="28"/>
        </w:rPr>
      </w:pPr>
    </w:p>
    <w:p w14:paraId="14B4FF25" w14:textId="77777777" w:rsidR="000B2FC5" w:rsidRDefault="000B2FC5">
      <w:pPr>
        <w:pBdr>
          <w:top w:val="nil"/>
          <w:left w:val="nil"/>
          <w:bottom w:val="nil"/>
          <w:right w:val="nil"/>
          <w:between w:val="nil"/>
        </w:pBdr>
        <w:spacing w:line="360" w:lineRule="auto"/>
        <w:jc w:val="center"/>
        <w:rPr>
          <w:rFonts w:ascii="Times New Roman" w:eastAsia="Times New Roman" w:hAnsi="Times New Roman" w:cs="Times New Roman"/>
          <w:b/>
          <w:color w:val="000000"/>
          <w:sz w:val="28"/>
          <w:szCs w:val="28"/>
        </w:rPr>
      </w:pPr>
    </w:p>
    <w:p w14:paraId="7EACF03A" w14:textId="77777777" w:rsidR="000B2FC5" w:rsidRDefault="000B2FC5">
      <w:pPr>
        <w:pBdr>
          <w:top w:val="nil"/>
          <w:left w:val="nil"/>
          <w:bottom w:val="nil"/>
          <w:right w:val="nil"/>
          <w:between w:val="nil"/>
        </w:pBdr>
        <w:spacing w:line="360" w:lineRule="auto"/>
        <w:jc w:val="center"/>
        <w:rPr>
          <w:rFonts w:ascii="Times New Roman" w:eastAsia="Times New Roman" w:hAnsi="Times New Roman" w:cs="Times New Roman"/>
          <w:b/>
          <w:color w:val="000000"/>
          <w:sz w:val="28"/>
          <w:szCs w:val="28"/>
        </w:rPr>
      </w:pPr>
    </w:p>
    <w:p w14:paraId="4B88CD57" w14:textId="77777777" w:rsidR="000B2FC5" w:rsidRDefault="002220A1">
      <w:pPr>
        <w:pBdr>
          <w:top w:val="nil"/>
          <w:left w:val="nil"/>
          <w:bottom w:val="nil"/>
          <w:right w:val="nil"/>
          <w:between w:val="nil"/>
        </w:pBdr>
        <w:spacing w:line="360" w:lineRule="auto"/>
        <w:jc w:val="center"/>
        <w:rPr>
          <w:rFonts w:ascii="Times New Roman" w:eastAsia="Times New Roman" w:hAnsi="Times New Roman" w:cs="Times New Roman"/>
          <w:b/>
          <w:color w:val="000000"/>
          <w:sz w:val="40"/>
          <w:szCs w:val="40"/>
        </w:rPr>
      </w:pPr>
      <w:r>
        <w:rPr>
          <w:rFonts w:ascii="Times New Roman" w:eastAsia="Times New Roman" w:hAnsi="Times New Roman" w:cs="Times New Roman"/>
          <w:b/>
          <w:color w:val="000000"/>
          <w:sz w:val="40"/>
          <w:szCs w:val="40"/>
        </w:rPr>
        <w:t>Assignment</w:t>
      </w:r>
    </w:p>
    <w:p w14:paraId="5A3A6E93" w14:textId="77777777" w:rsidR="000B2FC5" w:rsidRDefault="000B2FC5">
      <w:pPr>
        <w:pBdr>
          <w:top w:val="nil"/>
          <w:left w:val="nil"/>
          <w:bottom w:val="nil"/>
          <w:right w:val="nil"/>
          <w:between w:val="nil"/>
        </w:pBdr>
        <w:spacing w:line="360" w:lineRule="auto"/>
        <w:jc w:val="center"/>
        <w:rPr>
          <w:rFonts w:ascii="Times New Roman" w:eastAsia="Times New Roman" w:hAnsi="Times New Roman" w:cs="Times New Roman"/>
          <w:b/>
          <w:color w:val="000000"/>
          <w:sz w:val="28"/>
          <w:szCs w:val="28"/>
        </w:rPr>
      </w:pPr>
    </w:p>
    <w:p w14:paraId="0EB0F3CB" w14:textId="77777777" w:rsidR="000B2FC5" w:rsidRDefault="002220A1">
      <w:pPr>
        <w:pBdr>
          <w:top w:val="nil"/>
          <w:left w:val="nil"/>
          <w:bottom w:val="nil"/>
          <w:right w:val="nil"/>
          <w:between w:val="nil"/>
        </w:pBdr>
        <w:spacing w:line="36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HUMAN RESOURCE MANAGEMENT</w:t>
      </w:r>
    </w:p>
    <w:p w14:paraId="358565EC" w14:textId="77777777" w:rsidR="000B2FC5" w:rsidRDefault="000B2FC5">
      <w:pPr>
        <w:pBdr>
          <w:top w:val="nil"/>
          <w:left w:val="nil"/>
          <w:bottom w:val="nil"/>
          <w:right w:val="nil"/>
          <w:between w:val="nil"/>
        </w:pBdr>
        <w:spacing w:line="360" w:lineRule="auto"/>
        <w:jc w:val="center"/>
        <w:rPr>
          <w:rFonts w:ascii="Times New Roman" w:eastAsia="Times New Roman" w:hAnsi="Times New Roman" w:cs="Times New Roman"/>
          <w:b/>
          <w:color w:val="000000"/>
          <w:sz w:val="28"/>
          <w:szCs w:val="28"/>
        </w:rPr>
      </w:pPr>
    </w:p>
    <w:p w14:paraId="59A3EAE5" w14:textId="77777777" w:rsidR="00D4180A" w:rsidRDefault="00D4180A" w:rsidP="00D4180A">
      <w:pPr>
        <w:pBdr>
          <w:top w:val="nil"/>
          <w:left w:val="nil"/>
          <w:bottom w:val="nil"/>
          <w:right w:val="nil"/>
          <w:between w:val="nil"/>
        </w:pBdr>
        <w:spacing w:line="360" w:lineRule="auto"/>
        <w:rPr>
          <w:rFonts w:ascii="Times New Roman" w:eastAsia="Times New Roman" w:hAnsi="Times New Roman" w:cs="Times New Roman"/>
          <w:b/>
          <w:color w:val="000000"/>
          <w:sz w:val="28"/>
          <w:szCs w:val="28"/>
        </w:rPr>
      </w:pPr>
    </w:p>
    <w:p w14:paraId="00773D12" w14:textId="77777777" w:rsidR="00D4180A" w:rsidRDefault="00D4180A" w:rsidP="00D4180A">
      <w:pPr>
        <w:pBdr>
          <w:top w:val="nil"/>
          <w:left w:val="nil"/>
          <w:bottom w:val="nil"/>
          <w:right w:val="nil"/>
          <w:between w:val="nil"/>
        </w:pBdr>
        <w:spacing w:line="360" w:lineRule="auto"/>
        <w:rPr>
          <w:rFonts w:ascii="Times New Roman" w:eastAsia="Times New Roman" w:hAnsi="Times New Roman" w:cs="Times New Roman"/>
          <w:b/>
          <w:color w:val="000000"/>
          <w:sz w:val="28"/>
          <w:szCs w:val="28"/>
        </w:rPr>
      </w:pPr>
    </w:p>
    <w:p w14:paraId="796E81E6" w14:textId="77777777" w:rsidR="00D4180A" w:rsidRDefault="00D4180A" w:rsidP="00D4180A">
      <w:pPr>
        <w:pBdr>
          <w:top w:val="nil"/>
          <w:left w:val="nil"/>
          <w:bottom w:val="nil"/>
          <w:right w:val="nil"/>
          <w:between w:val="nil"/>
        </w:pBdr>
        <w:spacing w:line="360" w:lineRule="auto"/>
        <w:rPr>
          <w:rFonts w:ascii="Times New Roman" w:eastAsia="Times New Roman" w:hAnsi="Times New Roman" w:cs="Times New Roman"/>
          <w:b/>
          <w:color w:val="000000"/>
          <w:sz w:val="28"/>
          <w:szCs w:val="28"/>
        </w:rPr>
      </w:pPr>
    </w:p>
    <w:p w14:paraId="1F7A54C3" w14:textId="77777777" w:rsidR="000B2FC5" w:rsidRDefault="002220A1" w:rsidP="00D4180A">
      <w:pPr>
        <w:pBdr>
          <w:top w:val="nil"/>
          <w:left w:val="nil"/>
          <w:bottom w:val="nil"/>
          <w:right w:val="nil"/>
          <w:between w:val="nil"/>
        </w:pBdr>
        <w:spacing w:line="36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Student name:</w:t>
      </w:r>
      <w:r w:rsidR="00D4180A">
        <w:rPr>
          <w:rFonts w:ascii="Times New Roman" w:eastAsia="Times New Roman" w:hAnsi="Times New Roman" w:cs="Times New Roman"/>
          <w:b/>
          <w:color w:val="000000"/>
          <w:sz w:val="28"/>
          <w:szCs w:val="28"/>
        </w:rPr>
        <w:t xml:space="preserve"> MISHAB CHANDAPARAMBIL</w:t>
      </w:r>
    </w:p>
    <w:p w14:paraId="331273C3" w14:textId="77777777" w:rsidR="000B2FC5" w:rsidRDefault="002220A1" w:rsidP="00D4180A">
      <w:pPr>
        <w:pBdr>
          <w:top w:val="nil"/>
          <w:left w:val="nil"/>
          <w:bottom w:val="nil"/>
          <w:right w:val="nil"/>
          <w:between w:val="nil"/>
        </w:pBdr>
        <w:spacing w:line="36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Student Id:</w:t>
      </w:r>
      <w:r w:rsidR="00D4180A">
        <w:rPr>
          <w:rFonts w:ascii="Times New Roman" w:eastAsia="Times New Roman" w:hAnsi="Times New Roman" w:cs="Times New Roman"/>
          <w:b/>
          <w:color w:val="000000"/>
          <w:sz w:val="28"/>
          <w:szCs w:val="28"/>
        </w:rPr>
        <w:t xml:space="preserve"> 2243796</w:t>
      </w:r>
    </w:p>
    <w:p w14:paraId="65EFDF26" w14:textId="77777777" w:rsidR="000B2FC5" w:rsidRDefault="000B2FC5" w:rsidP="00D4180A">
      <w:pPr>
        <w:pBdr>
          <w:top w:val="nil"/>
          <w:left w:val="nil"/>
          <w:bottom w:val="nil"/>
          <w:right w:val="nil"/>
          <w:between w:val="nil"/>
        </w:pBdr>
        <w:spacing w:line="360" w:lineRule="auto"/>
        <w:rPr>
          <w:rFonts w:ascii="Times New Roman" w:eastAsia="Times New Roman" w:hAnsi="Times New Roman" w:cs="Times New Roman"/>
          <w:b/>
          <w:color w:val="000000"/>
          <w:sz w:val="28"/>
          <w:szCs w:val="28"/>
        </w:rPr>
      </w:pPr>
    </w:p>
    <w:p w14:paraId="3E509071" w14:textId="77777777" w:rsidR="000B2FC5" w:rsidRDefault="002220A1">
      <w:pPr>
        <w:rPr>
          <w:rFonts w:ascii="Times New Roman" w:eastAsia="Times New Roman" w:hAnsi="Times New Roman" w:cs="Times New Roman"/>
          <w:b/>
          <w:sz w:val="28"/>
          <w:szCs w:val="28"/>
        </w:rPr>
      </w:pPr>
      <w:r>
        <w:br w:type="page"/>
      </w:r>
    </w:p>
    <w:p w14:paraId="33C21E83" w14:textId="77777777" w:rsidR="000B2FC5" w:rsidRDefault="002220A1">
      <w:pPr>
        <w:keepNext/>
        <w:keepLines/>
        <w:pBdr>
          <w:top w:val="nil"/>
          <w:left w:val="nil"/>
          <w:bottom w:val="nil"/>
          <w:right w:val="nil"/>
          <w:between w:val="nil"/>
        </w:pBdr>
        <w:spacing w:before="480" w:line="360" w:lineRule="auto"/>
        <w:jc w:val="center"/>
        <w:rPr>
          <w:rFonts w:ascii="Calibri" w:eastAsia="Calibri" w:hAnsi="Calibri" w:cs="Calibri"/>
          <w:color w:val="366091"/>
          <w:sz w:val="28"/>
          <w:szCs w:val="28"/>
        </w:rPr>
      </w:pPr>
      <w:r>
        <w:rPr>
          <w:rFonts w:ascii="Times New Roman" w:eastAsia="Times New Roman" w:hAnsi="Times New Roman" w:cs="Times New Roman"/>
          <w:b/>
          <w:color w:val="000000"/>
          <w:sz w:val="28"/>
          <w:szCs w:val="28"/>
        </w:rPr>
        <w:lastRenderedPageBreak/>
        <w:t>Table of Contents</w:t>
      </w:r>
    </w:p>
    <w:sdt>
      <w:sdtPr>
        <w:id w:val="17523593"/>
        <w:docPartObj>
          <w:docPartGallery w:val="Table of Contents"/>
          <w:docPartUnique/>
        </w:docPartObj>
      </w:sdtPr>
      <w:sdtContent>
        <w:p w14:paraId="39194ACD" w14:textId="77777777" w:rsidR="000B2FC5" w:rsidRDefault="000B2FC5">
          <w:pPr>
            <w:pBdr>
              <w:top w:val="nil"/>
              <w:left w:val="nil"/>
              <w:bottom w:val="nil"/>
              <w:right w:val="nil"/>
              <w:between w:val="nil"/>
            </w:pBdr>
            <w:tabs>
              <w:tab w:val="right" w:leader="dot" w:pos="9350"/>
            </w:tabs>
            <w:spacing w:after="100"/>
            <w:rPr>
              <w:rFonts w:ascii="Times New Roman" w:eastAsia="Times New Roman" w:hAnsi="Times New Roman" w:cs="Times New Roman"/>
              <w:color w:val="000000"/>
              <w:sz w:val="24"/>
              <w:szCs w:val="24"/>
            </w:rPr>
          </w:pPr>
          <w:r>
            <w:fldChar w:fldCharType="begin"/>
          </w:r>
          <w:r w:rsidR="002220A1">
            <w:instrText xml:space="preserve"> TOC \h \u \z \t "Heading 1,1,Heading 2,2,Heading 3,3,"</w:instrText>
          </w:r>
          <w:r>
            <w:fldChar w:fldCharType="separate"/>
          </w:r>
          <w:hyperlink w:anchor="_heading=h.gjdgxs">
            <w:r w:rsidR="002220A1">
              <w:rPr>
                <w:rFonts w:ascii="Times New Roman" w:eastAsia="Times New Roman" w:hAnsi="Times New Roman" w:cs="Times New Roman"/>
                <w:color w:val="000000"/>
                <w:sz w:val="24"/>
                <w:szCs w:val="24"/>
              </w:rPr>
              <w:t>Introduction</w:t>
            </w:r>
            <w:r w:rsidR="002220A1">
              <w:rPr>
                <w:rFonts w:ascii="Times New Roman" w:eastAsia="Times New Roman" w:hAnsi="Times New Roman" w:cs="Times New Roman"/>
                <w:color w:val="000000"/>
                <w:sz w:val="24"/>
                <w:szCs w:val="24"/>
              </w:rPr>
              <w:tab/>
              <w:t>3</w:t>
            </w:r>
          </w:hyperlink>
        </w:p>
        <w:p w14:paraId="1A5771B1" w14:textId="77777777" w:rsidR="000B2FC5" w:rsidRDefault="00000000">
          <w:pPr>
            <w:pBdr>
              <w:top w:val="nil"/>
              <w:left w:val="nil"/>
              <w:bottom w:val="nil"/>
              <w:right w:val="nil"/>
              <w:between w:val="nil"/>
            </w:pBdr>
            <w:tabs>
              <w:tab w:val="right" w:leader="dot" w:pos="9350"/>
            </w:tabs>
            <w:spacing w:after="100"/>
            <w:rPr>
              <w:rFonts w:ascii="Times New Roman" w:eastAsia="Times New Roman" w:hAnsi="Times New Roman" w:cs="Times New Roman"/>
              <w:color w:val="000000"/>
              <w:sz w:val="24"/>
              <w:szCs w:val="24"/>
            </w:rPr>
          </w:pPr>
          <w:hyperlink w:anchor="_heading=h.30j0zll">
            <w:r w:rsidR="002220A1">
              <w:rPr>
                <w:rFonts w:ascii="Times New Roman" w:eastAsia="Times New Roman" w:hAnsi="Times New Roman" w:cs="Times New Roman"/>
                <w:color w:val="000000"/>
                <w:sz w:val="24"/>
                <w:szCs w:val="24"/>
              </w:rPr>
              <w:t>Implementation of policies and procedures of HRM</w:t>
            </w:r>
            <w:r w:rsidR="002220A1">
              <w:rPr>
                <w:rFonts w:ascii="Times New Roman" w:eastAsia="Times New Roman" w:hAnsi="Times New Roman" w:cs="Times New Roman"/>
                <w:color w:val="000000"/>
                <w:sz w:val="24"/>
                <w:szCs w:val="24"/>
              </w:rPr>
              <w:tab/>
              <w:t>3</w:t>
            </w:r>
          </w:hyperlink>
        </w:p>
        <w:p w14:paraId="27B15743" w14:textId="77777777" w:rsidR="000B2FC5" w:rsidRDefault="00000000">
          <w:pPr>
            <w:pBdr>
              <w:top w:val="nil"/>
              <w:left w:val="nil"/>
              <w:bottom w:val="nil"/>
              <w:right w:val="nil"/>
              <w:between w:val="nil"/>
            </w:pBdr>
            <w:tabs>
              <w:tab w:val="right" w:leader="dot" w:pos="9350"/>
            </w:tabs>
            <w:spacing w:after="100"/>
            <w:rPr>
              <w:rFonts w:ascii="Times New Roman" w:eastAsia="Times New Roman" w:hAnsi="Times New Roman" w:cs="Times New Roman"/>
              <w:color w:val="000000"/>
              <w:sz w:val="24"/>
              <w:szCs w:val="24"/>
            </w:rPr>
          </w:pPr>
          <w:hyperlink w:anchor="_heading=h.1fob9te">
            <w:r w:rsidR="002220A1">
              <w:rPr>
                <w:rFonts w:ascii="Times New Roman" w:eastAsia="Times New Roman" w:hAnsi="Times New Roman" w:cs="Times New Roman"/>
                <w:color w:val="000000"/>
                <w:sz w:val="24"/>
                <w:szCs w:val="24"/>
              </w:rPr>
              <w:t>Difference between Private and Public regarding HRM</w:t>
            </w:r>
            <w:r w:rsidR="002220A1">
              <w:rPr>
                <w:rFonts w:ascii="Times New Roman" w:eastAsia="Times New Roman" w:hAnsi="Times New Roman" w:cs="Times New Roman"/>
                <w:color w:val="000000"/>
                <w:sz w:val="24"/>
                <w:szCs w:val="24"/>
              </w:rPr>
              <w:tab/>
              <w:t>5</w:t>
            </w:r>
          </w:hyperlink>
        </w:p>
        <w:p w14:paraId="596D7583" w14:textId="77777777" w:rsidR="000B2FC5" w:rsidRDefault="00000000">
          <w:pPr>
            <w:pBdr>
              <w:top w:val="nil"/>
              <w:left w:val="nil"/>
              <w:bottom w:val="nil"/>
              <w:right w:val="nil"/>
              <w:between w:val="nil"/>
            </w:pBdr>
            <w:tabs>
              <w:tab w:val="right" w:leader="dot" w:pos="9350"/>
            </w:tabs>
            <w:spacing w:after="100"/>
            <w:rPr>
              <w:rFonts w:ascii="Times New Roman" w:eastAsia="Times New Roman" w:hAnsi="Times New Roman" w:cs="Times New Roman"/>
              <w:color w:val="000000"/>
              <w:sz w:val="24"/>
              <w:szCs w:val="24"/>
            </w:rPr>
          </w:pPr>
          <w:hyperlink w:anchor="_heading=h.3znysh7">
            <w:r w:rsidR="002220A1">
              <w:rPr>
                <w:rFonts w:ascii="Times New Roman" w:eastAsia="Times New Roman" w:hAnsi="Times New Roman" w:cs="Times New Roman"/>
                <w:color w:val="000000"/>
                <w:sz w:val="24"/>
                <w:szCs w:val="24"/>
              </w:rPr>
              <w:t>Determination of HR strategies through the effectiveness of Private and Public sectors</w:t>
            </w:r>
            <w:r w:rsidR="002220A1">
              <w:rPr>
                <w:rFonts w:ascii="Times New Roman" w:eastAsia="Times New Roman" w:hAnsi="Times New Roman" w:cs="Times New Roman"/>
                <w:color w:val="000000"/>
                <w:sz w:val="24"/>
                <w:szCs w:val="24"/>
              </w:rPr>
              <w:tab/>
              <w:t>6</w:t>
            </w:r>
          </w:hyperlink>
        </w:p>
        <w:p w14:paraId="57420A11" w14:textId="77777777" w:rsidR="000B2FC5" w:rsidRDefault="00000000">
          <w:pPr>
            <w:pBdr>
              <w:top w:val="nil"/>
              <w:left w:val="nil"/>
              <w:bottom w:val="nil"/>
              <w:right w:val="nil"/>
              <w:between w:val="nil"/>
            </w:pBdr>
            <w:tabs>
              <w:tab w:val="right" w:leader="dot" w:pos="9350"/>
            </w:tabs>
            <w:spacing w:after="100"/>
            <w:rPr>
              <w:rFonts w:ascii="Times New Roman" w:eastAsia="Times New Roman" w:hAnsi="Times New Roman" w:cs="Times New Roman"/>
              <w:color w:val="000000"/>
              <w:sz w:val="24"/>
              <w:szCs w:val="24"/>
            </w:rPr>
          </w:pPr>
          <w:hyperlink w:anchor="_heading=h.2et92p0">
            <w:r w:rsidR="002220A1">
              <w:rPr>
                <w:rFonts w:ascii="Times New Roman" w:eastAsia="Times New Roman" w:hAnsi="Times New Roman" w:cs="Times New Roman"/>
                <w:color w:val="000000"/>
                <w:sz w:val="24"/>
                <w:szCs w:val="24"/>
              </w:rPr>
              <w:t>Development of employees through HRM</w:t>
            </w:r>
            <w:r w:rsidR="002220A1">
              <w:rPr>
                <w:rFonts w:ascii="Times New Roman" w:eastAsia="Times New Roman" w:hAnsi="Times New Roman" w:cs="Times New Roman"/>
                <w:color w:val="000000"/>
                <w:sz w:val="24"/>
                <w:szCs w:val="24"/>
              </w:rPr>
              <w:tab/>
              <w:t>8</w:t>
            </w:r>
          </w:hyperlink>
        </w:p>
        <w:p w14:paraId="1B890219" w14:textId="77777777" w:rsidR="000B2FC5" w:rsidRDefault="00000000">
          <w:pPr>
            <w:pBdr>
              <w:top w:val="nil"/>
              <w:left w:val="nil"/>
              <w:bottom w:val="nil"/>
              <w:right w:val="nil"/>
              <w:between w:val="nil"/>
            </w:pBdr>
            <w:tabs>
              <w:tab w:val="right" w:leader="dot" w:pos="9350"/>
            </w:tabs>
            <w:spacing w:after="100"/>
            <w:rPr>
              <w:rFonts w:ascii="Times New Roman" w:eastAsia="Times New Roman" w:hAnsi="Times New Roman" w:cs="Times New Roman"/>
              <w:color w:val="000000"/>
              <w:sz w:val="24"/>
              <w:szCs w:val="24"/>
            </w:rPr>
          </w:pPr>
          <w:hyperlink w:anchor="_heading=h.tyjcwt">
            <w:r w:rsidR="002220A1">
              <w:rPr>
                <w:rFonts w:ascii="Times New Roman" w:eastAsia="Times New Roman" w:hAnsi="Times New Roman" w:cs="Times New Roman"/>
                <w:color w:val="000000"/>
                <w:sz w:val="24"/>
                <w:szCs w:val="24"/>
              </w:rPr>
              <w:t>Organisational climate factors affect the effectiveness of HR strategy</w:t>
            </w:r>
            <w:r w:rsidR="002220A1">
              <w:rPr>
                <w:rFonts w:ascii="Times New Roman" w:eastAsia="Times New Roman" w:hAnsi="Times New Roman" w:cs="Times New Roman"/>
                <w:color w:val="000000"/>
                <w:sz w:val="24"/>
                <w:szCs w:val="24"/>
              </w:rPr>
              <w:tab/>
              <w:t>9</w:t>
            </w:r>
          </w:hyperlink>
        </w:p>
        <w:p w14:paraId="72223D57" w14:textId="77777777" w:rsidR="000B2FC5" w:rsidRDefault="00000000">
          <w:pPr>
            <w:pBdr>
              <w:top w:val="nil"/>
              <w:left w:val="nil"/>
              <w:bottom w:val="nil"/>
              <w:right w:val="nil"/>
              <w:between w:val="nil"/>
            </w:pBdr>
            <w:tabs>
              <w:tab w:val="right" w:leader="dot" w:pos="9350"/>
            </w:tabs>
            <w:spacing w:after="100"/>
            <w:rPr>
              <w:rFonts w:ascii="Times New Roman" w:eastAsia="Times New Roman" w:hAnsi="Times New Roman" w:cs="Times New Roman"/>
              <w:color w:val="000000"/>
              <w:sz w:val="24"/>
              <w:szCs w:val="24"/>
            </w:rPr>
          </w:pPr>
          <w:hyperlink w:anchor="_heading=h.3dy6vkm">
            <w:r w:rsidR="002220A1">
              <w:rPr>
                <w:rFonts w:ascii="Times New Roman" w:eastAsia="Times New Roman" w:hAnsi="Times New Roman" w:cs="Times New Roman"/>
                <w:color w:val="000000"/>
                <w:sz w:val="24"/>
                <w:szCs w:val="24"/>
              </w:rPr>
              <w:t>Conclusion</w:t>
            </w:r>
            <w:r w:rsidR="002220A1">
              <w:rPr>
                <w:rFonts w:ascii="Times New Roman" w:eastAsia="Times New Roman" w:hAnsi="Times New Roman" w:cs="Times New Roman"/>
                <w:color w:val="000000"/>
                <w:sz w:val="24"/>
                <w:szCs w:val="24"/>
              </w:rPr>
              <w:tab/>
              <w:t>11</w:t>
            </w:r>
          </w:hyperlink>
        </w:p>
        <w:p w14:paraId="26981EA7" w14:textId="77777777" w:rsidR="000B2FC5" w:rsidRDefault="00000000">
          <w:pPr>
            <w:pBdr>
              <w:top w:val="nil"/>
              <w:left w:val="nil"/>
              <w:bottom w:val="nil"/>
              <w:right w:val="nil"/>
              <w:between w:val="nil"/>
            </w:pBdr>
            <w:tabs>
              <w:tab w:val="right" w:leader="dot" w:pos="9350"/>
            </w:tabs>
            <w:spacing w:after="100"/>
            <w:rPr>
              <w:rFonts w:ascii="Cambria" w:eastAsia="Cambria" w:hAnsi="Cambria" w:cs="Cambria"/>
              <w:color w:val="000000"/>
            </w:rPr>
          </w:pPr>
          <w:hyperlink w:anchor="_heading=h.1t3h5sf">
            <w:r w:rsidR="002220A1">
              <w:rPr>
                <w:rFonts w:ascii="Times New Roman" w:eastAsia="Times New Roman" w:hAnsi="Times New Roman" w:cs="Times New Roman"/>
                <w:color w:val="000000"/>
                <w:sz w:val="24"/>
                <w:szCs w:val="24"/>
              </w:rPr>
              <w:t>References</w:t>
            </w:r>
            <w:r w:rsidR="002220A1">
              <w:rPr>
                <w:rFonts w:ascii="Times New Roman" w:eastAsia="Times New Roman" w:hAnsi="Times New Roman" w:cs="Times New Roman"/>
                <w:color w:val="000000"/>
                <w:sz w:val="24"/>
                <w:szCs w:val="24"/>
              </w:rPr>
              <w:tab/>
              <w:t>12</w:t>
            </w:r>
          </w:hyperlink>
        </w:p>
        <w:p w14:paraId="34DCC3D0" w14:textId="77777777" w:rsidR="000B2FC5" w:rsidRDefault="000B2FC5">
          <w:r>
            <w:fldChar w:fldCharType="end"/>
          </w:r>
        </w:p>
      </w:sdtContent>
    </w:sdt>
    <w:p w14:paraId="1450BF8F" w14:textId="77777777" w:rsidR="000B2FC5" w:rsidRDefault="002220A1">
      <w:pPr>
        <w:rPr>
          <w:rFonts w:ascii="Times New Roman" w:eastAsia="Times New Roman" w:hAnsi="Times New Roman" w:cs="Times New Roman"/>
          <w:b/>
          <w:sz w:val="28"/>
          <w:szCs w:val="28"/>
        </w:rPr>
      </w:pPr>
      <w:r>
        <w:br w:type="page"/>
      </w:r>
    </w:p>
    <w:p w14:paraId="78D17EE1" w14:textId="77777777" w:rsidR="000B2FC5" w:rsidRDefault="002220A1">
      <w:pPr>
        <w:pStyle w:val="Heading1"/>
        <w:rPr>
          <w:shd w:val="clear" w:color="auto" w:fill="FF9900"/>
        </w:rPr>
      </w:pPr>
      <w:bookmarkStart w:id="0" w:name="_heading=h.gjdgxs" w:colFirst="0" w:colLast="0"/>
      <w:bookmarkEnd w:id="0"/>
      <w:r>
        <w:lastRenderedPageBreak/>
        <w:t xml:space="preserve">Introduction </w:t>
      </w:r>
    </w:p>
    <w:p w14:paraId="17FD64D8" w14:textId="77777777" w:rsidR="000B2FC5" w:rsidRDefault="002220A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The current assessment focuses on the HRM practices, procedures, and issues that an organisation faces on a daily basis. Different prospects will be discussed regarding HRM in the public and private sectors, the implementation of HRM policies, and how they can help organisations as a whole. Development of employees with the HRM policies and discussion on different HRM strategies will also be discussed in this assessment. A case study will be followed to explain every critical aspect of HR practices to better comprehensiveness. Every aspect of the private and public sectors will be discussed in accordance with HRM policies and how they can affect the structural functionality of </w:t>
      </w:r>
      <w:r>
        <w:rPr>
          <w:rFonts w:ascii="Times New Roman" w:eastAsia="Times New Roman" w:hAnsi="Times New Roman" w:cs="Times New Roman"/>
          <w:sz w:val="24"/>
          <w:szCs w:val="24"/>
          <w:highlight w:val="white"/>
        </w:rPr>
        <w:t>organizations</w:t>
      </w:r>
      <w:r>
        <w:rPr>
          <w:rFonts w:ascii="Times New Roman" w:eastAsia="Times New Roman" w:hAnsi="Times New Roman" w:cs="Times New Roman"/>
          <w:color w:val="000000"/>
          <w:sz w:val="24"/>
          <w:szCs w:val="24"/>
          <w:highlight w:val="white"/>
        </w:rPr>
        <w:t xml:space="preserve">. </w:t>
      </w:r>
    </w:p>
    <w:p w14:paraId="6F12638B" w14:textId="77777777" w:rsidR="000B2FC5" w:rsidRDefault="002220A1">
      <w:pPr>
        <w:pStyle w:val="Heading1"/>
        <w:rPr>
          <w:highlight w:val="yellow"/>
        </w:rPr>
      </w:pPr>
      <w:bookmarkStart w:id="1" w:name="_heading=h.30j0zll" w:colFirst="0" w:colLast="0"/>
      <w:bookmarkEnd w:id="1"/>
      <w:r>
        <w:t xml:space="preserve">Implementation of policies and procedures of HRM </w:t>
      </w:r>
    </w:p>
    <w:p w14:paraId="2F81CABA" w14:textId="77777777" w:rsidR="000B2FC5" w:rsidRDefault="002220A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Employment recruitment, instruction, remuneration, labour laws, and divisions are HR tasks that have been carried out with the input of labour organisation representatives. Human Resources procedures that most closely match the atmosphere of the company must be put into place. The attitudes among workers and the organisational climate frequently clash. Contradictions like subjective objective vs. organisational objective, accountability vs. independence, entitlements vs. obligations, etc., frequently lead to confrontation. Problems of this nature might affect the way a company's HR operations (</w:t>
      </w:r>
      <w:proofErr w:type="spellStart"/>
      <w:r>
        <w:rPr>
          <w:rFonts w:ascii="Times New Roman" w:eastAsia="Times New Roman" w:hAnsi="Times New Roman" w:cs="Times New Roman"/>
          <w:color w:val="222222"/>
          <w:sz w:val="24"/>
          <w:szCs w:val="24"/>
          <w:highlight w:val="white"/>
        </w:rPr>
        <w:t>Brunetto</w:t>
      </w:r>
      <w:proofErr w:type="spellEnd"/>
      <w:r>
        <w:rPr>
          <w:rFonts w:ascii="Times New Roman" w:eastAsia="Times New Roman" w:hAnsi="Times New Roman" w:cs="Times New Roman"/>
          <w:color w:val="222222"/>
          <w:sz w:val="24"/>
          <w:szCs w:val="24"/>
          <w:highlight w:val="white"/>
        </w:rPr>
        <w:t xml:space="preserve"> and Beattie, 2020)</w:t>
      </w:r>
      <w:r>
        <w:rPr>
          <w:rFonts w:ascii="Times New Roman" w:eastAsia="Times New Roman" w:hAnsi="Times New Roman" w:cs="Times New Roman"/>
          <w:color w:val="000000"/>
          <w:sz w:val="24"/>
          <w:szCs w:val="24"/>
          <w:highlight w:val="white"/>
        </w:rPr>
        <w:t>. The problematic situation regarding the HRM scenario in ECC has been difficult for the company to deal with employee retention rate and development procedures. The current situation in the company describes how important it is to maintain a healthy work environment by correctly implementing HRM policies and procedures. All aspects of a company are impacted by the atmosphere within which the company function. Companies adjust the way they plan and execute operations in response to changing circumstances in the marketplace to account for shifting operational expenses and sales (</w:t>
      </w:r>
      <w:proofErr w:type="spellStart"/>
      <w:r>
        <w:rPr>
          <w:rFonts w:ascii="Times New Roman" w:eastAsia="Times New Roman" w:hAnsi="Times New Roman" w:cs="Times New Roman"/>
          <w:color w:val="222222"/>
          <w:sz w:val="24"/>
          <w:szCs w:val="24"/>
          <w:highlight w:val="white"/>
        </w:rPr>
        <w:t>Kravariti</w:t>
      </w:r>
      <w:proofErr w:type="spellEnd"/>
      <w:r>
        <w:rPr>
          <w:rFonts w:ascii="Times New Roman" w:eastAsia="Times New Roman" w:hAnsi="Times New Roman" w:cs="Times New Roman"/>
          <w:color w:val="222222"/>
          <w:sz w:val="24"/>
          <w:szCs w:val="24"/>
          <w:highlight w:val="white"/>
        </w:rPr>
        <w:t xml:space="preserve"> and Johnston, 2020)</w:t>
      </w:r>
      <w:r>
        <w:rPr>
          <w:rFonts w:ascii="Times New Roman" w:eastAsia="Times New Roman" w:hAnsi="Times New Roman" w:cs="Times New Roman"/>
          <w:color w:val="000000"/>
          <w:sz w:val="24"/>
          <w:szCs w:val="24"/>
          <w:highlight w:val="white"/>
        </w:rPr>
        <w:t xml:space="preserve">. The standing in the marketplace and revenue are impacted by where well and how soon companies operate. </w:t>
      </w:r>
    </w:p>
    <w:p w14:paraId="214B0588" w14:textId="77777777" w:rsidR="000B2FC5" w:rsidRDefault="000B2FC5">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p>
    <w:p w14:paraId="56200294" w14:textId="77777777" w:rsidR="000B2FC5" w:rsidRDefault="002220A1">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noProof/>
          <w:color w:val="000000"/>
          <w:sz w:val="24"/>
          <w:szCs w:val="24"/>
          <w:highlight w:val="white"/>
          <w:lang w:val="en-IN" w:eastAsia="en-IN" w:bidi="bn-IN"/>
        </w:rPr>
        <w:lastRenderedPageBreak/>
        <w:drawing>
          <wp:inline distT="114300" distB="114300" distL="114300" distR="114300" wp14:anchorId="0A42A7DD" wp14:editId="3A2E7EC9">
            <wp:extent cx="5943600" cy="36703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943600" cy="3670300"/>
                    </a:xfrm>
                    <a:prstGeom prst="rect">
                      <a:avLst/>
                    </a:prstGeom>
                    <a:ln/>
                  </pic:spPr>
                </pic:pic>
              </a:graphicData>
            </a:graphic>
          </wp:inline>
        </w:drawing>
      </w:r>
    </w:p>
    <w:p w14:paraId="250FCF3E" w14:textId="77777777" w:rsidR="000B2FC5" w:rsidRDefault="002220A1">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color w:val="000000"/>
          <w:sz w:val="24"/>
          <w:szCs w:val="24"/>
          <w:highlight w:val="white"/>
        </w:rPr>
        <w:t>Figure:</w:t>
      </w:r>
      <w:r>
        <w:rPr>
          <w:rFonts w:ascii="Times New Roman" w:eastAsia="Times New Roman" w:hAnsi="Times New Roman" w:cs="Times New Roman"/>
          <w:color w:val="000000"/>
          <w:sz w:val="24"/>
          <w:szCs w:val="24"/>
          <w:highlight w:val="white"/>
        </w:rPr>
        <w:t xml:space="preserve"> </w:t>
      </w:r>
      <w:r w:rsidR="002C40BD">
        <w:rPr>
          <w:rFonts w:ascii="Times New Roman" w:eastAsia="Times New Roman" w:hAnsi="Times New Roman" w:cs="Times New Roman"/>
          <w:color w:val="000000"/>
          <w:sz w:val="24"/>
          <w:szCs w:val="24"/>
          <w:highlight w:val="white"/>
        </w:rPr>
        <w:t>Preferred</w:t>
      </w:r>
      <w:r>
        <w:rPr>
          <w:rFonts w:ascii="Times New Roman" w:eastAsia="Times New Roman" w:hAnsi="Times New Roman" w:cs="Times New Roman"/>
          <w:color w:val="000000"/>
          <w:sz w:val="24"/>
          <w:szCs w:val="24"/>
          <w:highlight w:val="white"/>
        </w:rPr>
        <w:t xml:space="preserve"> HRM Practises and Procedures </w:t>
      </w:r>
    </w:p>
    <w:p w14:paraId="6A8E5171" w14:textId="77777777" w:rsidR="000B2FC5" w:rsidRDefault="002220A1">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color w:val="000000"/>
          <w:sz w:val="24"/>
          <w:szCs w:val="24"/>
          <w:highlight w:val="white"/>
        </w:rPr>
        <w:t>Source:</w:t>
      </w:r>
      <w:r>
        <w:rPr>
          <w:rFonts w:ascii="Times New Roman" w:eastAsia="Times New Roman" w:hAnsi="Times New Roman" w:cs="Times New Roman"/>
          <w:color w:val="000000"/>
          <w:sz w:val="24"/>
          <w:szCs w:val="24"/>
          <w:highlight w:val="white"/>
        </w:rPr>
        <w:t xml:space="preserve"> (Self-made) </w:t>
      </w:r>
    </w:p>
    <w:p w14:paraId="70D746AC" w14:textId="77777777" w:rsidR="000B2FC5" w:rsidRDefault="000B2FC5">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p>
    <w:p w14:paraId="0DBF2089" w14:textId="77777777" w:rsidR="000B2FC5" w:rsidRDefault="002220A1">
      <w:p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000000"/>
          <w:sz w:val="24"/>
          <w:szCs w:val="24"/>
          <w:highlight w:val="white"/>
        </w:rPr>
        <w:t>Compensation programs, salaries, including maintaining records can all be impacted by forthcoming laws, raising the cost of conducting a company. Safety standards increase HR's training requirements. The economic effect of new laws on payroll expenses may make it more difficult to afford to employ additional staff, improve the amenities that the company provides for them, or maintain competitive wage scales (</w:t>
      </w:r>
      <w:proofErr w:type="spellStart"/>
      <w:r>
        <w:rPr>
          <w:rFonts w:ascii="Times New Roman" w:eastAsia="Times New Roman" w:hAnsi="Times New Roman" w:cs="Times New Roman"/>
          <w:color w:val="222222"/>
          <w:sz w:val="24"/>
          <w:szCs w:val="24"/>
          <w:highlight w:val="white"/>
        </w:rPr>
        <w:t>Blom</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color w:val="000000"/>
          <w:sz w:val="24"/>
          <w:szCs w:val="24"/>
          <w:highlight w:val="white"/>
        </w:rPr>
        <w:t xml:space="preserve">. Companies risk losing brilliant individuals if companies are obliged to raise each person's workload, postpone commitments to employee investment strategies, or restrict compensation. Management for HR can provide the necessary choices to reduce absenteeism and minimise budget cuts. </w:t>
      </w:r>
      <w:r>
        <w:rPr>
          <w:rFonts w:ascii="Times New Roman" w:eastAsia="Times New Roman" w:hAnsi="Times New Roman" w:cs="Times New Roman"/>
          <w:sz w:val="24"/>
          <w:szCs w:val="24"/>
          <w:highlight w:val="white"/>
        </w:rPr>
        <w:t>Keeping up with changing regulations for employment might prove difficult for numerous CEOs (</w:t>
      </w:r>
      <w:proofErr w:type="spellStart"/>
      <w:r>
        <w:rPr>
          <w:rFonts w:ascii="Times New Roman" w:eastAsia="Times New Roman" w:hAnsi="Times New Roman" w:cs="Times New Roman"/>
          <w:sz w:val="24"/>
          <w:szCs w:val="24"/>
          <w:highlight w:val="white"/>
        </w:rPr>
        <w:t>Leisink</w:t>
      </w:r>
      <w:proofErr w:type="spellEnd"/>
      <w:r>
        <w:rPr>
          <w:rFonts w:ascii="Times New Roman" w:eastAsia="Times New Roman" w:hAnsi="Times New Roman" w:cs="Times New Roman"/>
          <w:sz w:val="24"/>
          <w:szCs w:val="24"/>
          <w:highlight w:val="white"/>
        </w:rPr>
        <w:t xml:space="preserve"> and </w:t>
      </w:r>
      <w:proofErr w:type="spellStart"/>
      <w:r>
        <w:rPr>
          <w:rFonts w:ascii="Times New Roman" w:eastAsia="Times New Roman" w:hAnsi="Times New Roman" w:cs="Times New Roman"/>
          <w:sz w:val="24"/>
          <w:szCs w:val="24"/>
          <w:highlight w:val="white"/>
        </w:rPr>
        <w:t>Knies</w:t>
      </w:r>
      <w:proofErr w:type="spellEnd"/>
      <w:r>
        <w:rPr>
          <w:rFonts w:ascii="Times New Roman" w:eastAsia="Times New Roman" w:hAnsi="Times New Roman" w:cs="Times New Roman"/>
          <w:sz w:val="24"/>
          <w:szCs w:val="24"/>
          <w:highlight w:val="white"/>
        </w:rPr>
        <w:t xml:space="preserve">, 2018). Several individuals choose to ignore regulations regarding employment simply because they believe their company is immune under regulations. But doing so might lead to reviews, legal proceedings, and possibly the demise of the business. Internal processes, organisational design, and strategies all grow as a firm grows. Some employees find it difficult to adjust to the aforementioned changes. Many businesses discover a reduction in output and </w:t>
      </w:r>
      <w:r>
        <w:rPr>
          <w:rFonts w:ascii="Times New Roman" w:eastAsia="Times New Roman" w:hAnsi="Times New Roman" w:cs="Times New Roman"/>
          <w:sz w:val="24"/>
          <w:szCs w:val="24"/>
          <w:highlight w:val="white"/>
        </w:rPr>
        <w:lastRenderedPageBreak/>
        <w:t xml:space="preserve">credibility during turbulent times. Lack of Funding for employee learning and growth for minor duties is a further prevalent Employment problem. </w:t>
      </w:r>
    </w:p>
    <w:p w14:paraId="784FD88B" w14:textId="77777777" w:rsidR="000B2FC5" w:rsidRDefault="002220A1">
      <w:pPr>
        <w:pStyle w:val="Heading1"/>
        <w:rPr>
          <w:highlight w:val="yellow"/>
        </w:rPr>
      </w:pPr>
      <w:bookmarkStart w:id="2" w:name="_heading=h.1fob9te" w:colFirst="0" w:colLast="0"/>
      <w:bookmarkEnd w:id="2"/>
      <w:r>
        <w:t xml:space="preserve">Difference between Private and Public regarding HRM </w:t>
      </w:r>
    </w:p>
    <w:p w14:paraId="2A335637" w14:textId="77777777" w:rsidR="000B2FC5" w:rsidRDefault="002220A1">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Although organisations correspond to different diversified groups of people – the totality of human society vs tiny, contending organisations – the public and private sectors preserve exceptionally different essential traits. Congressional adjustments, as well as citizen demands and preferences, are highly valued by those in authority. The overall happiness of the populace is what matters greatest to a governmental administrator. Entrepreneurs undertake an attempt to reconcile the needs of those who matter, companies and individuals. Contrarily, personal leadership prioritises the organisation's profitability </w:t>
      </w:r>
      <w:r>
        <w:rPr>
          <w:rFonts w:ascii="Times New Roman" w:eastAsia="Times New Roman" w:hAnsi="Times New Roman" w:cs="Times New Roman"/>
          <w:color w:val="000000"/>
          <w:sz w:val="24"/>
          <w:szCs w:val="24"/>
          <w:highlight w:val="white"/>
        </w:rPr>
        <w:t>(</w:t>
      </w:r>
      <w:proofErr w:type="spellStart"/>
      <w:r>
        <w:rPr>
          <w:rFonts w:ascii="Times New Roman" w:eastAsia="Times New Roman" w:hAnsi="Times New Roman" w:cs="Times New Roman"/>
          <w:color w:val="222222"/>
          <w:sz w:val="24"/>
          <w:szCs w:val="24"/>
          <w:highlight w:val="white"/>
        </w:rPr>
        <w:t>Prabawati</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AOktariyanda</w:t>
      </w:r>
      <w:proofErr w:type="spellEnd"/>
      <w:r>
        <w:rPr>
          <w:rFonts w:ascii="Times New Roman" w:eastAsia="Times New Roman" w:hAnsi="Times New Roman" w:cs="Times New Roman"/>
          <w:color w:val="222222"/>
          <w:sz w:val="24"/>
          <w:szCs w:val="24"/>
          <w:highlight w:val="white"/>
        </w:rPr>
        <w:t>, 2018)</w:t>
      </w:r>
      <w:r>
        <w:rPr>
          <w:rFonts w:ascii="Times New Roman" w:eastAsia="Times New Roman" w:hAnsi="Times New Roman" w:cs="Times New Roman"/>
          <w:color w:val="000000"/>
          <w:sz w:val="24"/>
          <w:szCs w:val="24"/>
          <w:highlight w:val="white"/>
        </w:rPr>
        <w:t xml:space="preserve">. The continual existence plus monetary prosperity of a business remains the primary concern, whether it's a private company or commercial management. </w:t>
      </w:r>
      <w:r>
        <w:rPr>
          <w:rFonts w:ascii="Times New Roman" w:eastAsia="Times New Roman" w:hAnsi="Times New Roman" w:cs="Times New Roman"/>
          <w:sz w:val="24"/>
          <w:szCs w:val="24"/>
          <w:highlight w:val="white"/>
        </w:rPr>
        <w:t>A presidential order creates an annual target to end poverty with the aim of ending "powerlessness" and "apathy." Numerous programmes are developed to do this, each with its own objectives, timetables, and presenters</w:t>
      </w:r>
      <w:r>
        <w:rPr>
          <w:rFonts w:ascii="Times New Roman" w:eastAsia="Times New Roman" w:hAnsi="Times New Roman" w:cs="Times New Roman"/>
          <w:color w:val="000000"/>
          <w:sz w:val="24"/>
          <w:szCs w:val="24"/>
          <w:highlight w:val="white"/>
        </w:rPr>
        <w:t xml:space="preserve"> (</w:t>
      </w:r>
      <w:proofErr w:type="spellStart"/>
      <w:r>
        <w:rPr>
          <w:rFonts w:ascii="Times New Roman" w:eastAsia="Times New Roman" w:hAnsi="Times New Roman" w:cs="Times New Roman"/>
          <w:color w:val="222222"/>
          <w:sz w:val="24"/>
          <w:szCs w:val="24"/>
          <w:highlight w:val="white"/>
        </w:rPr>
        <w:t>Boselie</w:t>
      </w:r>
      <w:proofErr w:type="spellEnd"/>
      <w:r>
        <w:rPr>
          <w:rFonts w:ascii="Times New Roman" w:eastAsia="Times New Roman" w:hAnsi="Times New Roman" w:cs="Times New Roman"/>
          <w:color w:val="222222"/>
          <w:sz w:val="24"/>
          <w:szCs w:val="24"/>
          <w:highlight w:val="white"/>
        </w:rPr>
        <w:t xml:space="preserve">, Van </w:t>
      </w:r>
      <w:proofErr w:type="spellStart"/>
      <w:r>
        <w:rPr>
          <w:rFonts w:ascii="Times New Roman" w:eastAsia="Times New Roman" w:hAnsi="Times New Roman" w:cs="Times New Roman"/>
          <w:color w:val="222222"/>
          <w:sz w:val="24"/>
          <w:szCs w:val="24"/>
          <w:highlight w:val="white"/>
        </w:rPr>
        <w:t>Harten</w:t>
      </w:r>
      <w:proofErr w:type="spellEnd"/>
      <w:r>
        <w:rPr>
          <w:rFonts w:ascii="Times New Roman" w:eastAsia="Times New Roman" w:hAnsi="Times New Roman" w:cs="Times New Roman"/>
          <w:color w:val="222222"/>
          <w:sz w:val="24"/>
          <w:szCs w:val="24"/>
          <w:highlight w:val="white"/>
        </w:rPr>
        <w:t xml:space="preserve"> and Veld, 2021)</w:t>
      </w:r>
      <w:r>
        <w:rPr>
          <w:rFonts w:ascii="Times New Roman" w:eastAsia="Times New Roman" w:hAnsi="Times New Roman" w:cs="Times New Roman"/>
          <w:color w:val="000000"/>
          <w:sz w:val="24"/>
          <w:szCs w:val="24"/>
          <w:highlight w:val="white"/>
        </w:rPr>
        <w:t xml:space="preserve">. Although ambitions can be precisely stated and quantified in terms of earnings and expenditures, establishing targets as well as assessing accomplishment are simple tasks for an individual administrator. </w:t>
      </w:r>
      <w:r>
        <w:rPr>
          <w:rFonts w:ascii="Times New Roman" w:eastAsia="Times New Roman" w:hAnsi="Times New Roman" w:cs="Times New Roman"/>
          <w:sz w:val="24"/>
          <w:szCs w:val="24"/>
          <w:highlight w:val="white"/>
        </w:rPr>
        <w:t xml:space="preserve">The broader effects on competitors, customers, and sources are not included in the restricted assessment for business efficiency. For federal supervisors, requirements are ambiguous, encompassing ethereal, and very difficult to define. This is true because goals under the overall population segment apply to a region that includes a lot more companies compared to just one. The overall improvement of the community as a whole acts as a gauge to measure the effectiveness of organisations across a range of projects </w:t>
      </w:r>
      <w:r>
        <w:rPr>
          <w:rFonts w:ascii="Times New Roman" w:eastAsia="Times New Roman" w:hAnsi="Times New Roman" w:cs="Times New Roman"/>
          <w:color w:val="000000"/>
          <w:sz w:val="24"/>
          <w:szCs w:val="24"/>
          <w:highlight w:val="white"/>
        </w:rPr>
        <w:t>(</w:t>
      </w:r>
      <w:r>
        <w:rPr>
          <w:rFonts w:ascii="Times New Roman" w:eastAsia="Times New Roman" w:hAnsi="Times New Roman" w:cs="Times New Roman"/>
          <w:color w:val="222222"/>
          <w:sz w:val="24"/>
          <w:szCs w:val="24"/>
          <w:highlight w:val="white"/>
        </w:rPr>
        <w:t>Fahim, 2018)</w:t>
      </w:r>
      <w:r>
        <w:rPr>
          <w:rFonts w:ascii="Times New Roman" w:eastAsia="Times New Roman" w:hAnsi="Times New Roman" w:cs="Times New Roman"/>
          <w:color w:val="000000"/>
          <w:sz w:val="24"/>
          <w:szCs w:val="24"/>
          <w:highlight w:val="white"/>
        </w:rPr>
        <w:t>. When it comes to responsibility, institutions of both kinds differ significantly. Executives at government-owned companies are always subject to review by the public and answer to an infinite number of human beings: people throughout the administered region. Their choices are greatly influenced by the obvious and powerful societal impact. The intricacy of an average supervisor's job will ultimately grow as they try to please as countless individuals as they can despite getting things done (</w:t>
      </w:r>
      <w:proofErr w:type="spellStart"/>
      <w:r>
        <w:rPr>
          <w:rFonts w:ascii="Times New Roman" w:eastAsia="Times New Roman" w:hAnsi="Times New Roman" w:cs="Times New Roman"/>
          <w:color w:val="000000"/>
          <w:sz w:val="24"/>
          <w:szCs w:val="24"/>
          <w:highlight w:val="white"/>
        </w:rPr>
        <w:t>Adiguzel</w:t>
      </w:r>
      <w:proofErr w:type="spellEnd"/>
      <w:r>
        <w:rPr>
          <w:rFonts w:ascii="Times New Roman" w:eastAsia="Times New Roman" w:hAnsi="Times New Roman" w:cs="Times New Roman"/>
          <w:color w:val="000000"/>
          <w:sz w:val="24"/>
          <w:szCs w:val="24"/>
          <w:highlight w:val="white"/>
        </w:rPr>
        <w:t xml:space="preserve">, </w:t>
      </w:r>
      <w:proofErr w:type="spellStart"/>
      <w:r>
        <w:rPr>
          <w:rFonts w:ascii="Times New Roman" w:eastAsia="Times New Roman" w:hAnsi="Times New Roman" w:cs="Times New Roman"/>
          <w:color w:val="000000"/>
          <w:sz w:val="24"/>
          <w:szCs w:val="24"/>
          <w:highlight w:val="white"/>
        </w:rPr>
        <w:t>Ozcinar</w:t>
      </w:r>
      <w:proofErr w:type="spellEnd"/>
      <w:r>
        <w:rPr>
          <w:rFonts w:ascii="Times New Roman" w:eastAsia="Times New Roman" w:hAnsi="Times New Roman" w:cs="Times New Roman"/>
          <w:color w:val="000000"/>
          <w:sz w:val="24"/>
          <w:szCs w:val="24"/>
          <w:highlight w:val="white"/>
        </w:rPr>
        <w:t xml:space="preserve"> and </w:t>
      </w:r>
      <w:proofErr w:type="spellStart"/>
      <w:r>
        <w:rPr>
          <w:rFonts w:ascii="Times New Roman" w:eastAsia="Times New Roman" w:hAnsi="Times New Roman" w:cs="Times New Roman"/>
          <w:color w:val="000000"/>
          <w:sz w:val="24"/>
          <w:szCs w:val="24"/>
          <w:highlight w:val="white"/>
        </w:rPr>
        <w:t>Karadal</w:t>
      </w:r>
      <w:proofErr w:type="spellEnd"/>
      <w:r>
        <w:rPr>
          <w:rFonts w:ascii="Times New Roman" w:eastAsia="Times New Roman" w:hAnsi="Times New Roman" w:cs="Times New Roman"/>
          <w:color w:val="000000"/>
          <w:sz w:val="24"/>
          <w:szCs w:val="24"/>
          <w:highlight w:val="white"/>
        </w:rPr>
        <w:t xml:space="preserve">, 2020). However, corporate commitment—the sense of loyalty individuals have towards their employer—is often stronger in </w:t>
      </w:r>
      <w:r>
        <w:rPr>
          <w:rFonts w:ascii="Times New Roman" w:eastAsia="Times New Roman" w:hAnsi="Times New Roman" w:cs="Times New Roman"/>
          <w:color w:val="000000"/>
          <w:sz w:val="24"/>
          <w:szCs w:val="24"/>
          <w:highlight w:val="white"/>
        </w:rPr>
        <w:lastRenderedPageBreak/>
        <w:t xml:space="preserve">the general population sphere. The governmental industry's mechanisms for accountability do not apply to the private sector as a whole. </w:t>
      </w:r>
      <w:r>
        <w:rPr>
          <w:rFonts w:ascii="Times New Roman" w:eastAsia="Times New Roman" w:hAnsi="Times New Roman" w:cs="Times New Roman"/>
          <w:sz w:val="24"/>
          <w:szCs w:val="24"/>
          <w:highlight w:val="white"/>
        </w:rPr>
        <w:t>They are still held accountable for a small group of investors and employees, but they are also subject to scrutiny from the community (</w:t>
      </w:r>
      <w:proofErr w:type="spellStart"/>
      <w:r>
        <w:rPr>
          <w:rFonts w:ascii="Times New Roman" w:eastAsia="Times New Roman" w:hAnsi="Times New Roman" w:cs="Times New Roman"/>
          <w:sz w:val="24"/>
          <w:szCs w:val="24"/>
          <w:highlight w:val="white"/>
        </w:rPr>
        <w:t>Brunetto</w:t>
      </w:r>
      <w:proofErr w:type="spellEnd"/>
      <w:r>
        <w:rPr>
          <w:rFonts w:ascii="Times New Roman" w:eastAsia="Times New Roman" w:hAnsi="Times New Roman" w:cs="Times New Roman"/>
          <w:sz w:val="24"/>
          <w:szCs w:val="24"/>
          <w:highlight w:val="white"/>
        </w:rPr>
        <w:t xml:space="preserve"> and Beattie, 2020). </w:t>
      </w:r>
    </w:p>
    <w:p w14:paraId="0E7F506E" w14:textId="77777777" w:rsidR="000B2FC5" w:rsidRDefault="002220A1">
      <w:pPr>
        <w:pStyle w:val="Heading1"/>
      </w:pPr>
      <w:bookmarkStart w:id="3" w:name="_heading=h.3znysh7" w:colFirst="0" w:colLast="0"/>
      <w:bookmarkEnd w:id="3"/>
      <w:r>
        <w:t xml:space="preserve">Determination of HR strategies through the effectiveness of Private and Public sectors </w:t>
      </w:r>
    </w:p>
    <w:p w14:paraId="453D3446" w14:textId="77777777" w:rsidR="000B2FC5" w:rsidRDefault="002220A1">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The efficiency with which each sector achieves its unique goals and objectives has an impact on how HR policies are developed in both the public and commercial sectors (Pham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2020).</w:t>
      </w:r>
    </w:p>
    <w:p w14:paraId="580B30A1" w14:textId="77777777" w:rsidR="000B2FC5" w:rsidRDefault="002220A1">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i/>
          <w:color w:val="0E101A"/>
          <w:sz w:val="24"/>
          <w:szCs w:val="24"/>
        </w:rPr>
        <w:t>Public Sector:</w:t>
      </w:r>
      <w:r>
        <w:rPr>
          <w:rFonts w:ascii="Times New Roman" w:eastAsia="Times New Roman" w:hAnsi="Times New Roman" w:cs="Times New Roman"/>
          <w:color w:val="0E101A"/>
          <w:sz w:val="24"/>
          <w:szCs w:val="24"/>
        </w:rPr>
        <w:t xml:space="preserve"> The public sector is focused on delivering necessary services to the general public and advancing citizen well-being. In the public sector, HR strategies frequently give fairness, accountability, and openness top priority. According to the characteristics of governmental organisations, HR policies work to ensure diversity, fair hiring practices, and equitable employment chances. To draw and keep talent, the public sphere may also place a strong emphasis on work-life balance, employee perks, and job security. Public sector performance evaluation systems frequently concentrate on service delivery, programme efficiency, and programme effectiveness (Yong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2020).</w:t>
      </w:r>
    </w:p>
    <w:p w14:paraId="40556A1A" w14:textId="77777777" w:rsidR="000B2FC5" w:rsidRDefault="002220A1">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i/>
          <w:color w:val="0E101A"/>
          <w:sz w:val="24"/>
          <w:szCs w:val="24"/>
        </w:rPr>
        <w:t>Private Sector:</w:t>
      </w:r>
      <w:r>
        <w:rPr>
          <w:rFonts w:ascii="Times New Roman" w:eastAsia="Times New Roman" w:hAnsi="Times New Roman" w:cs="Times New Roman"/>
          <w:color w:val="0E101A"/>
          <w:sz w:val="24"/>
          <w:szCs w:val="24"/>
        </w:rPr>
        <w:t xml:space="preserve"> Profit and market competitiveness are the driving forces in the private sector. In the private sector, maximising effectiveness, creativity, and profitability are priorities. Private businesses frequently use techniques including attractive salary packages, incentive programmes based on performance, and possibilities for professional advancement to draw in and keep top performers (Abbas, 2020). To promote an environment of productivity and innovation, employee empowerment and involvement are also emphasised. Private-sector company HR strategies typically allow for more fluid management of employees, including recruiting, educating, and reorganisation based on company requirements. They also tend to be able to adapt and respond to market conditions.</w:t>
      </w:r>
    </w:p>
    <w:p w14:paraId="27D44A94" w14:textId="77777777" w:rsidR="000B2FC5" w:rsidRDefault="002220A1">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highlight w:val="yellow"/>
        </w:rPr>
      </w:pPr>
      <w:r w:rsidRPr="00D4180A">
        <w:rPr>
          <w:rFonts w:ascii="Times New Roman" w:eastAsia="Times New Roman" w:hAnsi="Times New Roman" w:cs="Times New Roman"/>
          <w:color w:val="0E101A"/>
          <w:sz w:val="24"/>
          <w:szCs w:val="24"/>
        </w:rPr>
        <w:t>Economically oriented firms in private industry make certain HRM practises have become considerably more heavily geared towards maximising profits. Ultimately, shifting from the business community to the government arena might have an impact on an organization's HR management procedures in terms of developing talent to increase workforce productivity (</w:t>
      </w:r>
      <w:proofErr w:type="spellStart"/>
      <w:r w:rsidRPr="00D4180A">
        <w:rPr>
          <w:rFonts w:ascii="Times New Roman" w:eastAsia="Times New Roman" w:hAnsi="Times New Roman" w:cs="Times New Roman"/>
          <w:color w:val="222222"/>
          <w:sz w:val="24"/>
          <w:szCs w:val="24"/>
        </w:rPr>
        <w:t>Prabawati</w:t>
      </w:r>
      <w:proofErr w:type="spellEnd"/>
      <w:r w:rsidRPr="00D4180A">
        <w:rPr>
          <w:rFonts w:ascii="Times New Roman" w:eastAsia="Times New Roman" w:hAnsi="Times New Roman" w:cs="Times New Roman"/>
          <w:color w:val="222222"/>
          <w:sz w:val="24"/>
          <w:szCs w:val="24"/>
        </w:rPr>
        <w:t xml:space="preserve"> and </w:t>
      </w:r>
      <w:proofErr w:type="spellStart"/>
      <w:r w:rsidRPr="00D4180A">
        <w:rPr>
          <w:rFonts w:ascii="Times New Roman" w:eastAsia="Times New Roman" w:hAnsi="Times New Roman" w:cs="Times New Roman"/>
          <w:color w:val="222222"/>
          <w:sz w:val="24"/>
          <w:szCs w:val="24"/>
        </w:rPr>
        <w:t>AOktariyanda</w:t>
      </w:r>
      <w:proofErr w:type="spellEnd"/>
      <w:r w:rsidRPr="00D4180A">
        <w:rPr>
          <w:rFonts w:ascii="Times New Roman" w:eastAsia="Times New Roman" w:hAnsi="Times New Roman" w:cs="Times New Roman"/>
          <w:color w:val="222222"/>
          <w:sz w:val="24"/>
          <w:szCs w:val="24"/>
        </w:rPr>
        <w:t>, 2018</w:t>
      </w:r>
      <w:r w:rsidRPr="00D4180A">
        <w:rPr>
          <w:rFonts w:ascii="Times New Roman" w:eastAsia="Times New Roman" w:hAnsi="Times New Roman" w:cs="Times New Roman"/>
          <w:color w:val="0E101A"/>
          <w:sz w:val="24"/>
          <w:szCs w:val="24"/>
        </w:rPr>
        <w:t xml:space="preserve">). Selectivity, training programmes, enticements, and </w:t>
      </w:r>
      <w:r w:rsidRPr="00D4180A">
        <w:rPr>
          <w:rFonts w:ascii="Times New Roman" w:eastAsia="Times New Roman" w:hAnsi="Times New Roman" w:cs="Times New Roman"/>
          <w:color w:val="0E101A"/>
          <w:sz w:val="24"/>
          <w:szCs w:val="24"/>
        </w:rPr>
        <w:lastRenderedPageBreak/>
        <w:t>remuneration ought to become part of a contemporary approach to human resources management to favourably link with the recognised measurements of organisational objectives in the private sectors</w:t>
      </w:r>
      <w:r w:rsidR="00D4180A" w:rsidRPr="00D4180A">
        <w:rPr>
          <w:rFonts w:ascii="Times New Roman" w:eastAsia="Times New Roman" w:hAnsi="Times New Roman" w:cs="Times New Roman"/>
          <w:color w:val="0E101A"/>
          <w:sz w:val="24"/>
          <w:szCs w:val="24"/>
        </w:rPr>
        <w:t>.</w:t>
      </w:r>
    </w:p>
    <w:p w14:paraId="163DCF28" w14:textId="77777777" w:rsidR="000B2FC5" w:rsidRDefault="002220A1">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Numerous factors affect the efficacy of HR strategy in each area. Achieving public service objectives, maintaining equity and accountability, and complying with regulations and laws are all important components of success in the public sector. Financial performance, market competition, and customer happiness are used to gauge effectiveness in the private sector. The unique aims and aspirations of each organisation, as well as sector-specific effectiveness variables, are taken into account when determining HR strategies (Sousa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2019). Metrics, including employee engagement, performance results, retention of talent rates, and customer feedback, are used to assess how well HR policies operate in reaching organisational goals. In the end, developing HR strategy for various industries is a constantly changing ongoing process. To create specialised approaches that address the particular needs and purposes of organisations within each sector, it is necessary to have a complete awareness of the challenges, goals, and successful variables that are distinct to each sector. It is crucial to remember that each industry can experience differences in the efficacy of HR strategies based on things like organisational culture, administration, resources, and outside influences. Both industries can benefit from one another's best practices. To increase efficiency and innovation, for instance, the public sector can gain from incorporating private sector techniques, and the private sector can profit from the public sector's promotion of responsibility for society and ethical behaviour (</w:t>
      </w:r>
      <w:proofErr w:type="spellStart"/>
      <w:r>
        <w:rPr>
          <w:rFonts w:ascii="Times New Roman" w:eastAsia="Times New Roman" w:hAnsi="Times New Roman" w:cs="Times New Roman"/>
          <w:color w:val="0E101A"/>
          <w:sz w:val="24"/>
          <w:szCs w:val="24"/>
        </w:rPr>
        <w:t>Alsafadi</w:t>
      </w:r>
      <w:proofErr w:type="spellEnd"/>
      <w:r>
        <w:rPr>
          <w:rFonts w:ascii="Times New Roman" w:eastAsia="Times New Roman" w:hAnsi="Times New Roman" w:cs="Times New Roman"/>
          <w:color w:val="0E101A"/>
          <w:sz w:val="24"/>
          <w:szCs w:val="24"/>
        </w:rPr>
        <w:t xml:space="preserve">. and </w:t>
      </w:r>
      <w:proofErr w:type="spellStart"/>
      <w:r>
        <w:rPr>
          <w:rFonts w:ascii="Times New Roman" w:eastAsia="Times New Roman" w:hAnsi="Times New Roman" w:cs="Times New Roman"/>
          <w:color w:val="0E101A"/>
          <w:sz w:val="24"/>
          <w:szCs w:val="24"/>
        </w:rPr>
        <w:t>Altahat</w:t>
      </w:r>
      <w:proofErr w:type="spellEnd"/>
      <w:r>
        <w:rPr>
          <w:rFonts w:ascii="Times New Roman" w:eastAsia="Times New Roman" w:hAnsi="Times New Roman" w:cs="Times New Roman"/>
          <w:color w:val="0E101A"/>
          <w:sz w:val="24"/>
          <w:szCs w:val="24"/>
        </w:rPr>
        <w:t>, 2021). In the end, deciding on HR strategies for both industries necessitates carefully taking into account organisational goals, stakeholder expectations, regulatory requirements, and the particular traits and difficulties of each industry.</w:t>
      </w:r>
    </w:p>
    <w:p w14:paraId="5C40FEA2" w14:textId="77777777" w:rsidR="000B2FC5" w:rsidRPr="00D4180A" w:rsidRDefault="002220A1">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rPr>
      </w:pPr>
      <w:r w:rsidRPr="00D4180A">
        <w:rPr>
          <w:rFonts w:ascii="Times New Roman" w:eastAsia="Times New Roman" w:hAnsi="Times New Roman" w:cs="Times New Roman"/>
          <w:b/>
          <w:color w:val="0E101A"/>
          <w:sz w:val="24"/>
          <w:szCs w:val="24"/>
        </w:rPr>
        <w:t xml:space="preserve">Resource-Based View: </w:t>
      </w:r>
      <w:r w:rsidRPr="00D4180A">
        <w:rPr>
          <w:rFonts w:ascii="Times New Roman" w:eastAsia="Times New Roman" w:hAnsi="Times New Roman" w:cs="Times New Roman"/>
          <w:color w:val="0E101A"/>
          <w:sz w:val="24"/>
          <w:szCs w:val="24"/>
        </w:rPr>
        <w:t xml:space="preserve">A strategy for management that allocates expenditures in accordance with the goal of accomplishing long-term competitive advantages. According to this perspective, the prosperous commercial and government agencies may be distinguished between the failed ones by virtue of particular to a sector capabilities. The HR professionals in both the government and business industries may improve the effectiveness of HRM initiatives by adopting this viewpoint. This a resource-based perspective may also assist HR professionals in the public and private industries in achieving ethical company practises simultaneously emphasising the welfare of the workforce in those sectors (Pham </w:t>
      </w:r>
      <w:r w:rsidRPr="00D4180A">
        <w:rPr>
          <w:rFonts w:ascii="Times New Roman" w:eastAsia="Times New Roman" w:hAnsi="Times New Roman" w:cs="Times New Roman"/>
          <w:i/>
          <w:color w:val="0E101A"/>
          <w:sz w:val="24"/>
          <w:szCs w:val="24"/>
        </w:rPr>
        <w:t>et al.</w:t>
      </w:r>
      <w:r w:rsidRPr="00D4180A">
        <w:rPr>
          <w:rFonts w:ascii="Times New Roman" w:eastAsia="Times New Roman" w:hAnsi="Times New Roman" w:cs="Times New Roman"/>
          <w:color w:val="0E101A"/>
          <w:sz w:val="24"/>
          <w:szCs w:val="24"/>
        </w:rPr>
        <w:t xml:space="preserve">, 2020). </w:t>
      </w:r>
    </w:p>
    <w:p w14:paraId="4475632B" w14:textId="77777777" w:rsidR="000B2FC5" w:rsidRDefault="002220A1" w:rsidP="00D4180A">
      <w:pPr>
        <w:rPr>
          <w:shd w:val="clear" w:color="auto" w:fill="F1C232"/>
        </w:rPr>
      </w:pPr>
      <w:r>
        <w:br w:type="page"/>
      </w:r>
      <w:bookmarkStart w:id="4" w:name="_heading=h.2et92p0" w:colFirst="0" w:colLast="0"/>
      <w:bookmarkEnd w:id="4"/>
      <w:r>
        <w:lastRenderedPageBreak/>
        <w:t xml:space="preserve">Development of employees through HRM </w:t>
      </w:r>
    </w:p>
    <w:p w14:paraId="666A4C0D" w14:textId="77777777" w:rsidR="000B2FC5" w:rsidRDefault="002220A1">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color w:val="0E101A"/>
          <w:sz w:val="24"/>
          <w:szCs w:val="24"/>
          <w:highlight w:val="white"/>
        </w:rPr>
        <w:t>Human resource management (HRM) is crucial for employee development if the organisation is to grow, for employees to be happy at work, and for overall performance. HRM is essential in developing and putting into practice plans to support the professional and personal development of employees (</w:t>
      </w:r>
      <w:proofErr w:type="spellStart"/>
      <w:r>
        <w:rPr>
          <w:rFonts w:ascii="Times New Roman" w:eastAsia="Times New Roman" w:hAnsi="Times New Roman" w:cs="Times New Roman"/>
          <w:color w:val="0E101A"/>
          <w:sz w:val="24"/>
          <w:szCs w:val="24"/>
          <w:highlight w:val="white"/>
        </w:rPr>
        <w:t>Hamadamin</w:t>
      </w:r>
      <w:proofErr w:type="spellEnd"/>
      <w:r>
        <w:rPr>
          <w:rFonts w:ascii="Times New Roman" w:eastAsia="Times New Roman" w:hAnsi="Times New Roman" w:cs="Times New Roman"/>
          <w:color w:val="0E101A"/>
          <w:sz w:val="24"/>
          <w:szCs w:val="24"/>
          <w:highlight w:val="white"/>
        </w:rPr>
        <w:t xml:space="preserve"> and </w:t>
      </w:r>
      <w:proofErr w:type="spellStart"/>
      <w:r>
        <w:rPr>
          <w:rFonts w:ascii="Times New Roman" w:eastAsia="Times New Roman" w:hAnsi="Times New Roman" w:cs="Times New Roman"/>
          <w:color w:val="0E101A"/>
          <w:sz w:val="24"/>
          <w:szCs w:val="24"/>
          <w:highlight w:val="white"/>
        </w:rPr>
        <w:t>Atan</w:t>
      </w:r>
      <w:proofErr w:type="spellEnd"/>
      <w:r>
        <w:rPr>
          <w:rFonts w:ascii="Times New Roman" w:eastAsia="Times New Roman" w:hAnsi="Times New Roman" w:cs="Times New Roman"/>
          <w:color w:val="0E101A"/>
          <w:sz w:val="24"/>
          <w:szCs w:val="24"/>
          <w:highlight w:val="white"/>
        </w:rPr>
        <w:t>, 2019).</w:t>
      </w:r>
    </w:p>
    <w:p w14:paraId="16F469FD" w14:textId="77777777" w:rsidR="000B2FC5" w:rsidRDefault="002220A1">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b/>
          <w:i/>
          <w:color w:val="0E101A"/>
          <w:sz w:val="24"/>
          <w:szCs w:val="24"/>
          <w:highlight w:val="white"/>
        </w:rPr>
        <w:t>Training and Development:</w:t>
      </w:r>
      <w:r>
        <w:rPr>
          <w:rFonts w:ascii="Times New Roman" w:eastAsia="Times New Roman" w:hAnsi="Times New Roman" w:cs="Times New Roman"/>
          <w:color w:val="0E101A"/>
          <w:sz w:val="24"/>
          <w:szCs w:val="24"/>
          <w:highlight w:val="white"/>
        </w:rPr>
        <w:t xml:space="preserve"> HRM supports training initiatives to improve employees' capabilities, knowledge, and skills. On-the-job training, seminars, workshops, and online learning tools can all fall under this category. To ensure continual progress, HR experts identify training gaps, create pertinent programmes, and evaluate their efficacy.</w:t>
      </w:r>
    </w:p>
    <w:p w14:paraId="3992CB87" w14:textId="77777777" w:rsidR="000B2FC5" w:rsidRDefault="002220A1">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b/>
          <w:i/>
          <w:color w:val="0E101A"/>
          <w:sz w:val="24"/>
          <w:szCs w:val="24"/>
          <w:highlight w:val="white"/>
        </w:rPr>
        <w:t>Career Development:</w:t>
      </w:r>
      <w:r>
        <w:rPr>
          <w:rFonts w:ascii="Times New Roman" w:eastAsia="Times New Roman" w:hAnsi="Times New Roman" w:cs="Times New Roman"/>
          <w:color w:val="0E101A"/>
          <w:sz w:val="24"/>
          <w:szCs w:val="24"/>
          <w:highlight w:val="white"/>
        </w:rPr>
        <w:t xml:space="preserve"> HRM facilitates employees' career development by offering chances for progress and advancement. Establishing career routes, mentoring programmes, employment assignments, and succession planning are some examples of this. To match organisational needs with employee development needs and goals, HR experts work collaboratively with staff members to identify these needs (Mira, Choong and </w:t>
      </w:r>
      <w:proofErr w:type="spellStart"/>
      <w:r>
        <w:rPr>
          <w:rFonts w:ascii="Times New Roman" w:eastAsia="Times New Roman" w:hAnsi="Times New Roman" w:cs="Times New Roman"/>
          <w:color w:val="0E101A"/>
          <w:sz w:val="24"/>
          <w:szCs w:val="24"/>
          <w:highlight w:val="white"/>
        </w:rPr>
        <w:t>Thim</w:t>
      </w:r>
      <w:proofErr w:type="spellEnd"/>
      <w:r>
        <w:rPr>
          <w:rFonts w:ascii="Times New Roman" w:eastAsia="Times New Roman" w:hAnsi="Times New Roman" w:cs="Times New Roman"/>
          <w:color w:val="0E101A"/>
          <w:sz w:val="24"/>
          <w:szCs w:val="24"/>
          <w:highlight w:val="white"/>
        </w:rPr>
        <w:t>, 2019).</w:t>
      </w:r>
    </w:p>
    <w:p w14:paraId="4F96D1DC" w14:textId="77777777" w:rsidR="000B2FC5" w:rsidRDefault="002220A1">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b/>
          <w:i/>
          <w:color w:val="0E101A"/>
          <w:sz w:val="24"/>
          <w:szCs w:val="24"/>
          <w:highlight w:val="white"/>
        </w:rPr>
        <w:t>Performance Management:</w:t>
      </w:r>
      <w:r>
        <w:rPr>
          <w:rFonts w:ascii="Times New Roman" w:eastAsia="Times New Roman" w:hAnsi="Times New Roman" w:cs="Times New Roman"/>
          <w:color w:val="0E101A"/>
          <w:sz w:val="24"/>
          <w:szCs w:val="24"/>
          <w:highlight w:val="white"/>
        </w:rPr>
        <w:t xml:space="preserve"> To assess and give feedback on employees' performance, HRM deploys performance management systems. HR specialists define performance goals, identify abilities and opportunities for development, and give guidance and encouragement to help people attain their full potential through routine performance reviews.</w:t>
      </w:r>
    </w:p>
    <w:p w14:paraId="67FDBA43" w14:textId="77777777" w:rsidR="000B2FC5" w:rsidRDefault="002220A1">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b/>
          <w:i/>
          <w:color w:val="0E101A"/>
          <w:sz w:val="24"/>
          <w:szCs w:val="24"/>
          <w:highlight w:val="white"/>
        </w:rPr>
        <w:t>Employee Engagement:</w:t>
      </w:r>
      <w:r>
        <w:rPr>
          <w:rFonts w:ascii="Times New Roman" w:eastAsia="Times New Roman" w:hAnsi="Times New Roman" w:cs="Times New Roman"/>
          <w:color w:val="0E101A"/>
          <w:sz w:val="24"/>
          <w:szCs w:val="24"/>
          <w:highlight w:val="white"/>
        </w:rPr>
        <w:t xml:space="preserve"> The goal of HRM is to establish a productive workplace that encourages staff involvement and satisfaction. This involves supporting a healthy work-life balance, praising and rewarding success, encouraging clear communication, as well as promoting employee involvement in decision-making (Ojo, Tan and Alias, 2022). To promote an engaged culture and make sure that workers feel valued and driven, HR specialists are crucial.</w:t>
      </w:r>
    </w:p>
    <w:p w14:paraId="0BDF9846" w14:textId="77777777" w:rsidR="000B2FC5" w:rsidRDefault="002220A1">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b/>
          <w:i/>
          <w:color w:val="0E101A"/>
          <w:sz w:val="24"/>
          <w:szCs w:val="24"/>
          <w:highlight w:val="white"/>
        </w:rPr>
        <w:t>Succession Planning:</w:t>
      </w:r>
      <w:r>
        <w:rPr>
          <w:rFonts w:ascii="Times New Roman" w:eastAsia="Times New Roman" w:hAnsi="Times New Roman" w:cs="Times New Roman"/>
          <w:color w:val="0E101A"/>
          <w:sz w:val="24"/>
          <w:szCs w:val="24"/>
          <w:highlight w:val="white"/>
        </w:rPr>
        <w:t xml:space="preserve"> Succession plans are created by HRM to find and groom high-potential workers for future leadership positions. This entails identifying and developing the organisation's talent as well as facilitating a smooth transition if important jobs fall vacant.</w:t>
      </w:r>
    </w:p>
    <w:p w14:paraId="1BE1798B" w14:textId="77777777" w:rsidR="000B2FC5" w:rsidRDefault="002220A1">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b/>
          <w:i/>
          <w:color w:val="0E101A"/>
          <w:sz w:val="24"/>
          <w:szCs w:val="24"/>
          <w:highlight w:val="white"/>
        </w:rPr>
        <w:t>Continuous Learning:</w:t>
      </w:r>
      <w:r>
        <w:rPr>
          <w:rFonts w:ascii="Times New Roman" w:eastAsia="Times New Roman" w:hAnsi="Times New Roman" w:cs="Times New Roman"/>
          <w:color w:val="0E101A"/>
          <w:sz w:val="24"/>
          <w:szCs w:val="24"/>
          <w:highlight w:val="white"/>
        </w:rPr>
        <w:t xml:space="preserve"> HRM encourages staff to take advantage of professional development opportunities to foster a culture of lifelong learning (</w:t>
      </w:r>
      <w:proofErr w:type="spellStart"/>
      <w:r>
        <w:rPr>
          <w:rFonts w:ascii="Times New Roman" w:eastAsia="Times New Roman" w:hAnsi="Times New Roman" w:cs="Times New Roman"/>
          <w:color w:val="0E101A"/>
          <w:sz w:val="24"/>
          <w:szCs w:val="24"/>
          <w:highlight w:val="white"/>
        </w:rPr>
        <w:t>Otoo</w:t>
      </w:r>
      <w:proofErr w:type="spellEnd"/>
      <w:r>
        <w:rPr>
          <w:rFonts w:ascii="Times New Roman" w:eastAsia="Times New Roman" w:hAnsi="Times New Roman" w:cs="Times New Roman"/>
          <w:color w:val="0E101A"/>
          <w:sz w:val="24"/>
          <w:szCs w:val="24"/>
          <w:highlight w:val="white"/>
        </w:rPr>
        <w:t>, 2019). This may include offering access to online learning tools, facilitating attendance at workshops and conferences, and granting educational reimbursements.</w:t>
      </w:r>
    </w:p>
    <w:p w14:paraId="3400813E" w14:textId="77777777" w:rsidR="000B2FC5" w:rsidRDefault="000B2FC5">
      <w:pPr>
        <w:pBdr>
          <w:top w:val="nil"/>
          <w:left w:val="nil"/>
          <w:bottom w:val="nil"/>
          <w:right w:val="nil"/>
          <w:between w:val="nil"/>
        </w:pBdr>
        <w:spacing w:line="360" w:lineRule="auto"/>
        <w:jc w:val="both"/>
        <w:rPr>
          <w:rFonts w:ascii="Times New Roman" w:eastAsia="Times New Roman" w:hAnsi="Times New Roman" w:cs="Times New Roman"/>
          <w:b/>
          <w:i/>
          <w:color w:val="0E101A"/>
          <w:sz w:val="24"/>
          <w:szCs w:val="24"/>
          <w:highlight w:val="white"/>
        </w:rPr>
      </w:pPr>
    </w:p>
    <w:p w14:paraId="126B06C3" w14:textId="77777777" w:rsidR="000B2FC5" w:rsidRDefault="002220A1">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b/>
          <w:i/>
          <w:color w:val="0E101A"/>
          <w:sz w:val="24"/>
          <w:szCs w:val="24"/>
          <w:highlight w:val="white"/>
        </w:rPr>
        <w:lastRenderedPageBreak/>
        <w:t>Knowledge Sharing:</w:t>
      </w:r>
      <w:r>
        <w:rPr>
          <w:rFonts w:ascii="Times New Roman" w:eastAsia="Times New Roman" w:hAnsi="Times New Roman" w:cs="Times New Roman"/>
          <w:b/>
          <w:color w:val="0E101A"/>
          <w:sz w:val="24"/>
          <w:szCs w:val="24"/>
          <w:highlight w:val="white"/>
        </w:rPr>
        <w:t xml:space="preserve"> </w:t>
      </w:r>
    </w:p>
    <w:p w14:paraId="2EEF1526" w14:textId="77777777" w:rsidR="000B2FC5" w:rsidRDefault="002220A1">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color w:val="0E101A"/>
          <w:sz w:val="24"/>
          <w:szCs w:val="24"/>
          <w:highlight w:val="white"/>
        </w:rPr>
        <w:t>HRM aids in creating an educated and engaged workforce by funding employee development. Initiatives for employee development improve productivity, work satisfaction, and retention. Additionally, businesses that place a high priority on employee growth are better able to adjust to shifting consumer expectations, encourage innovation, and keep a competitive advantage. To guarantee that people continue to grow and succeed, HRM must foster a culture of learning, link employee development with organisational goals, and offer resources and support (</w:t>
      </w:r>
      <w:proofErr w:type="spellStart"/>
      <w:r>
        <w:rPr>
          <w:rFonts w:ascii="Times New Roman" w:eastAsia="Times New Roman" w:hAnsi="Times New Roman" w:cs="Times New Roman"/>
          <w:color w:val="0E101A"/>
          <w:sz w:val="24"/>
          <w:szCs w:val="24"/>
          <w:highlight w:val="white"/>
        </w:rPr>
        <w:t>Bieńkowska</w:t>
      </w:r>
      <w:proofErr w:type="spellEnd"/>
      <w:r>
        <w:rPr>
          <w:rFonts w:ascii="Times New Roman" w:eastAsia="Times New Roman" w:hAnsi="Times New Roman" w:cs="Times New Roman"/>
          <w:color w:val="0E101A"/>
          <w:sz w:val="24"/>
          <w:szCs w:val="24"/>
          <w:highlight w:val="white"/>
        </w:rPr>
        <w:t xml:space="preserve"> </w:t>
      </w:r>
      <w:r>
        <w:rPr>
          <w:rFonts w:ascii="Times New Roman" w:eastAsia="Times New Roman" w:hAnsi="Times New Roman" w:cs="Times New Roman"/>
          <w:i/>
          <w:color w:val="0E101A"/>
          <w:sz w:val="24"/>
          <w:szCs w:val="24"/>
          <w:highlight w:val="white"/>
        </w:rPr>
        <w:t>et al.</w:t>
      </w:r>
      <w:r>
        <w:rPr>
          <w:rFonts w:ascii="Times New Roman" w:eastAsia="Times New Roman" w:hAnsi="Times New Roman" w:cs="Times New Roman"/>
          <w:color w:val="0E101A"/>
          <w:sz w:val="24"/>
          <w:szCs w:val="24"/>
          <w:highlight w:val="white"/>
        </w:rPr>
        <w:t xml:space="preserve"> 2022).</w:t>
      </w:r>
    </w:p>
    <w:p w14:paraId="250B1006" w14:textId="77777777" w:rsidR="000B2FC5" w:rsidRDefault="002220A1">
      <w:pPr>
        <w:pStyle w:val="Heading1"/>
      </w:pPr>
      <w:bookmarkStart w:id="5" w:name="_heading=h.tyjcwt" w:colFirst="0" w:colLast="0"/>
      <w:bookmarkEnd w:id="5"/>
      <w:r>
        <w:t xml:space="preserve">Organisational climate factors affect the effectiveness of HR strategy </w:t>
      </w:r>
    </w:p>
    <w:p w14:paraId="34727904" w14:textId="77777777" w:rsidR="000B2FC5" w:rsidRDefault="002220A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The atmosphere, customs, and values that are prevalent within an organisation are referred to as its "organisational climate." It significantly affects how well HR strategies are implemented and how effective they are. HR strategy effectiveness can be impacted by a number of organisational climate elements, including:</w:t>
      </w:r>
    </w:p>
    <w:p w14:paraId="26996931" w14:textId="77777777" w:rsidR="000B2FC5" w:rsidRDefault="002220A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i/>
          <w:color w:val="000000"/>
          <w:sz w:val="24"/>
          <w:szCs w:val="24"/>
          <w:highlight w:val="white"/>
        </w:rPr>
        <w:t xml:space="preserve">Implementation of Technology: </w:t>
      </w:r>
      <w:r>
        <w:rPr>
          <w:rFonts w:ascii="Times New Roman" w:eastAsia="Times New Roman" w:hAnsi="Times New Roman" w:cs="Times New Roman"/>
          <w:color w:val="000000"/>
          <w:sz w:val="24"/>
          <w:szCs w:val="24"/>
          <w:highlight w:val="white"/>
        </w:rPr>
        <w:t>The implementation and implementation of technology into HR systems and procedures can have a significant impact on how well HR strategy works (</w:t>
      </w:r>
      <w:proofErr w:type="spellStart"/>
      <w:r>
        <w:rPr>
          <w:rFonts w:ascii="Times New Roman" w:eastAsia="Times New Roman" w:hAnsi="Times New Roman" w:cs="Times New Roman"/>
          <w:color w:val="000000"/>
          <w:sz w:val="24"/>
          <w:szCs w:val="24"/>
          <w:highlight w:val="white"/>
        </w:rPr>
        <w:t>Waheed</w:t>
      </w:r>
      <w:proofErr w:type="spellEnd"/>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color w:val="000000"/>
          <w:sz w:val="24"/>
          <w:szCs w:val="24"/>
          <w:highlight w:val="white"/>
        </w:rPr>
        <w:t xml:space="preserve"> 2019). Technology facilitates self-service alternatives, streamlines administrative processes, improves data management, and fosters collaboration and communication. When technology is used properly, it decreases HR strain, boosts productivity, and frees up HR professionals to devote more time to strategic activities like hiring, managing, and using data to make decisions.</w:t>
      </w:r>
    </w:p>
    <w:p w14:paraId="6665555D" w14:textId="77777777" w:rsidR="000B2FC5" w:rsidRDefault="002220A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i/>
          <w:color w:val="000000"/>
          <w:sz w:val="24"/>
          <w:szCs w:val="24"/>
          <w:highlight w:val="white"/>
        </w:rPr>
        <w:t>Training and development:</w:t>
      </w:r>
      <w:r>
        <w:rPr>
          <w:rFonts w:ascii="Times New Roman" w:eastAsia="Times New Roman" w:hAnsi="Times New Roman" w:cs="Times New Roman"/>
          <w:color w:val="000000"/>
          <w:sz w:val="24"/>
          <w:szCs w:val="24"/>
          <w:highlight w:val="white"/>
        </w:rPr>
        <w:t xml:space="preserve"> The success of HR strategy is greatly influenced by a supportive workplace culture that appreciates and funds training and development initiatives (</w:t>
      </w:r>
      <w:proofErr w:type="spellStart"/>
      <w:r>
        <w:rPr>
          <w:rFonts w:ascii="Times New Roman" w:eastAsia="Times New Roman" w:hAnsi="Times New Roman" w:cs="Times New Roman"/>
          <w:color w:val="000000"/>
          <w:sz w:val="24"/>
          <w:szCs w:val="24"/>
          <w:highlight w:val="white"/>
        </w:rPr>
        <w:t>Pecino</w:t>
      </w:r>
      <w:proofErr w:type="spellEnd"/>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color w:val="000000"/>
          <w:sz w:val="24"/>
          <w:szCs w:val="24"/>
          <w:highlight w:val="white"/>
        </w:rPr>
        <w:t xml:space="preserve"> 2019). Giving workers the chance to advance their careers, expand their skills, and learn continuously improves retention, engagement, and job satisfaction. More competent and motivated staff can improve overall performance and assist the accomplishment of organisational goals when HR strategies that emphasise training and development are in line with the organisational climate.</w:t>
      </w:r>
    </w:p>
    <w:p w14:paraId="5888C573" w14:textId="77777777" w:rsidR="000B2FC5" w:rsidRDefault="002220A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i/>
          <w:color w:val="000000"/>
          <w:sz w:val="24"/>
          <w:szCs w:val="24"/>
          <w:highlight w:val="white"/>
        </w:rPr>
        <w:t>Organisational Culture:</w:t>
      </w:r>
      <w:r>
        <w:rPr>
          <w:rFonts w:ascii="Times New Roman" w:eastAsia="Times New Roman" w:hAnsi="Times New Roman" w:cs="Times New Roman"/>
          <w:color w:val="000000"/>
          <w:sz w:val="24"/>
          <w:szCs w:val="24"/>
          <w:highlight w:val="white"/>
        </w:rPr>
        <w:t xml:space="preserve"> The general atmosphere and mindsets towards HR practises are influenced by the organisational culture. The implementation of HR methods like instruction, growth, and performance management is supported by a culture that emphasises learning, </w:t>
      </w:r>
      <w:r>
        <w:rPr>
          <w:rFonts w:ascii="Times New Roman" w:eastAsia="Times New Roman" w:hAnsi="Times New Roman" w:cs="Times New Roman"/>
          <w:color w:val="000000"/>
          <w:sz w:val="24"/>
          <w:szCs w:val="24"/>
          <w:highlight w:val="white"/>
        </w:rPr>
        <w:lastRenderedPageBreak/>
        <w:t>collaboration, and continual progress. In contrast, a tight or bureaucratic culture could make HR initiatives less successful.</w:t>
      </w:r>
    </w:p>
    <w:p w14:paraId="120B9F80" w14:textId="77777777" w:rsidR="000B2FC5" w:rsidRDefault="002220A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i/>
          <w:color w:val="000000"/>
          <w:sz w:val="24"/>
          <w:szCs w:val="24"/>
          <w:highlight w:val="white"/>
        </w:rPr>
        <w:t>Employee Engagement:</w:t>
      </w:r>
      <w:r>
        <w:rPr>
          <w:rFonts w:ascii="Times New Roman" w:eastAsia="Times New Roman" w:hAnsi="Times New Roman" w:cs="Times New Roman"/>
          <w:color w:val="000000"/>
          <w:sz w:val="24"/>
          <w:szCs w:val="24"/>
          <w:highlight w:val="white"/>
        </w:rPr>
        <w:t xml:space="preserve"> HR tactics succeed when the staff is happy and engaged. Employees are more likely to support HR efforts, take part in development and training programmes, and contribute to a healthy work environment when they are actively interested, motivated, and committed (</w:t>
      </w:r>
      <w:proofErr w:type="spellStart"/>
      <w:r>
        <w:rPr>
          <w:rFonts w:ascii="Times New Roman" w:eastAsia="Times New Roman" w:hAnsi="Times New Roman" w:cs="Times New Roman"/>
          <w:color w:val="000000"/>
          <w:sz w:val="24"/>
          <w:szCs w:val="24"/>
          <w:highlight w:val="white"/>
        </w:rPr>
        <w:t>Mutonyi</w:t>
      </w:r>
      <w:proofErr w:type="spellEnd"/>
      <w:r>
        <w:rPr>
          <w:rFonts w:ascii="Times New Roman" w:eastAsia="Times New Roman" w:hAnsi="Times New Roman" w:cs="Times New Roman"/>
          <w:color w:val="000000"/>
          <w:sz w:val="24"/>
          <w:szCs w:val="24"/>
          <w:highlight w:val="white"/>
        </w:rPr>
        <w:t xml:space="preserve">, </w:t>
      </w:r>
      <w:proofErr w:type="spellStart"/>
      <w:r>
        <w:rPr>
          <w:rFonts w:ascii="Times New Roman" w:eastAsia="Times New Roman" w:hAnsi="Times New Roman" w:cs="Times New Roman"/>
          <w:color w:val="000000"/>
          <w:sz w:val="24"/>
          <w:szCs w:val="24"/>
          <w:highlight w:val="white"/>
        </w:rPr>
        <w:t>Slåtten</w:t>
      </w:r>
      <w:proofErr w:type="spellEnd"/>
      <w:r>
        <w:rPr>
          <w:rFonts w:ascii="Times New Roman" w:eastAsia="Times New Roman" w:hAnsi="Times New Roman" w:cs="Times New Roman"/>
          <w:color w:val="000000"/>
          <w:sz w:val="24"/>
          <w:szCs w:val="24"/>
          <w:highlight w:val="white"/>
        </w:rPr>
        <w:t xml:space="preserve"> and Lien, 2020).</w:t>
      </w:r>
    </w:p>
    <w:p w14:paraId="62F2B95B" w14:textId="77777777" w:rsidR="000B2FC5" w:rsidRDefault="002220A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i/>
          <w:color w:val="000000"/>
          <w:sz w:val="24"/>
          <w:szCs w:val="24"/>
          <w:highlight w:val="white"/>
        </w:rPr>
        <w:t>Flexibility and Adaptability:</w:t>
      </w:r>
      <w:r>
        <w:rPr>
          <w:rFonts w:ascii="Times New Roman" w:eastAsia="Times New Roman" w:hAnsi="Times New Roman" w:cs="Times New Roman"/>
          <w:color w:val="000000"/>
          <w:sz w:val="24"/>
          <w:szCs w:val="24"/>
          <w:highlight w:val="white"/>
        </w:rPr>
        <w:t xml:space="preserve"> HR initiatives can be implemented successfully in an environment that values adaptability and flexibility. Plans for human resources need to be flexible and adaptable in circumstances that change quickly. HR initiatives are supported in their efforts to adjust to changing business needs by an organisational climate that promotes innovation, risk-taking, and continual improvement.</w:t>
      </w:r>
    </w:p>
    <w:p w14:paraId="14BDB952" w14:textId="77777777" w:rsidR="000B2FC5" w:rsidRDefault="002220A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i/>
          <w:color w:val="000000"/>
          <w:sz w:val="24"/>
          <w:szCs w:val="24"/>
          <w:highlight w:val="white"/>
        </w:rPr>
        <w:t>Performance Recognition and Reward:</w:t>
      </w:r>
      <w:r>
        <w:rPr>
          <w:rFonts w:ascii="Times New Roman" w:eastAsia="Times New Roman" w:hAnsi="Times New Roman" w:cs="Times New Roman"/>
          <w:color w:val="000000"/>
          <w:sz w:val="24"/>
          <w:szCs w:val="24"/>
          <w:highlight w:val="white"/>
        </w:rPr>
        <w:t xml:space="preserve"> HR tactics targeted at inspiring and retaining top talent are in line with an organisational climate that recognises and rewards employee excellence (Iqbal, 2019). Employee engagement in HR activities, the pursuit of excellence, and contribution to organisational success are all more likely when they feel valued and acknowledged for their work.</w:t>
      </w:r>
    </w:p>
    <w:p w14:paraId="4D7B296C" w14:textId="77777777" w:rsidR="000B2FC5" w:rsidRDefault="002220A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i/>
          <w:color w:val="000000"/>
          <w:sz w:val="24"/>
          <w:szCs w:val="24"/>
          <w:highlight w:val="white"/>
        </w:rPr>
        <w:t>Trust and Fairness:</w:t>
      </w:r>
    </w:p>
    <w:p w14:paraId="08F0FBA4" w14:textId="77777777" w:rsidR="000B2FC5" w:rsidRDefault="002220A1">
      <w:pPr>
        <w:pBdr>
          <w:top w:val="nil"/>
          <w:left w:val="nil"/>
          <w:bottom w:val="nil"/>
          <w:right w:val="nil"/>
          <w:between w:val="nil"/>
        </w:pBdr>
        <w:spacing w:line="36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4"/>
          <w:szCs w:val="24"/>
          <w:highlight w:val="white"/>
        </w:rPr>
        <w:t>Organisations can establish an atmosphere that is conducive to the execution of successful HR strategies by encouraging constructive communication, supportive leadership, an environment of learning and cooperation, staff involvement, mobility, achievement recognition, trust, and fairness (</w:t>
      </w:r>
      <w:proofErr w:type="spellStart"/>
      <w:r>
        <w:rPr>
          <w:rFonts w:ascii="Times New Roman" w:eastAsia="Times New Roman" w:hAnsi="Times New Roman" w:cs="Times New Roman"/>
          <w:color w:val="000000"/>
          <w:sz w:val="24"/>
          <w:szCs w:val="24"/>
          <w:highlight w:val="white"/>
        </w:rPr>
        <w:t>Diamantidis</w:t>
      </w:r>
      <w:proofErr w:type="spellEnd"/>
      <w:r>
        <w:rPr>
          <w:rFonts w:ascii="Times New Roman" w:eastAsia="Times New Roman" w:hAnsi="Times New Roman" w:cs="Times New Roman"/>
          <w:color w:val="000000"/>
          <w:sz w:val="24"/>
          <w:szCs w:val="24"/>
          <w:highlight w:val="white"/>
        </w:rPr>
        <w:t xml:space="preserve"> and </w:t>
      </w:r>
      <w:proofErr w:type="spellStart"/>
      <w:r>
        <w:rPr>
          <w:rFonts w:ascii="Times New Roman" w:eastAsia="Times New Roman" w:hAnsi="Times New Roman" w:cs="Times New Roman"/>
          <w:color w:val="000000"/>
          <w:sz w:val="24"/>
          <w:szCs w:val="24"/>
          <w:highlight w:val="white"/>
        </w:rPr>
        <w:t>Chatzoglou</w:t>
      </w:r>
      <w:proofErr w:type="spellEnd"/>
      <w:r>
        <w:rPr>
          <w:rFonts w:ascii="Times New Roman" w:eastAsia="Times New Roman" w:hAnsi="Times New Roman" w:cs="Times New Roman"/>
          <w:color w:val="000000"/>
          <w:sz w:val="24"/>
          <w:szCs w:val="24"/>
          <w:highlight w:val="white"/>
        </w:rPr>
        <w:t>, 2019).</w:t>
      </w:r>
    </w:p>
    <w:p w14:paraId="1FF2692B" w14:textId="77777777" w:rsidR="000B2FC5" w:rsidRDefault="002220A1">
      <w:pPr>
        <w:pStyle w:val="Heading1"/>
        <w:rPr>
          <w:shd w:val="clear" w:color="auto" w:fill="D9EAD3"/>
        </w:rPr>
      </w:pPr>
      <w:bookmarkStart w:id="6" w:name="_heading=h.3dy6vkm" w:colFirst="0" w:colLast="0"/>
      <w:bookmarkEnd w:id="6"/>
      <w:r>
        <w:t xml:space="preserve">Conclusion </w:t>
      </w:r>
    </w:p>
    <w:p w14:paraId="31B95F01" w14:textId="77777777" w:rsidR="000B2FC5" w:rsidRDefault="002220A1">
      <w:pPr>
        <w:pBdr>
          <w:top w:val="nil"/>
          <w:left w:val="nil"/>
          <w:bottom w:val="nil"/>
          <w:right w:val="nil"/>
          <w:between w:val="nil"/>
        </w:pBdr>
        <w:spacing w:line="360" w:lineRule="auto"/>
        <w:jc w:val="both"/>
        <w:rPr>
          <w:rFonts w:ascii="Times New Roman" w:eastAsia="Times New Roman" w:hAnsi="Times New Roman" w:cs="Times New Roman"/>
          <w:b/>
          <w:color w:val="000000"/>
          <w:sz w:val="28"/>
          <w:szCs w:val="28"/>
          <w:shd w:val="clear" w:color="auto" w:fill="D9EAD3"/>
        </w:rPr>
      </w:pPr>
      <w:r>
        <w:rPr>
          <w:rFonts w:ascii="Times New Roman" w:eastAsia="Times New Roman" w:hAnsi="Times New Roman" w:cs="Times New Roman"/>
          <w:color w:val="000000"/>
          <w:sz w:val="24"/>
          <w:szCs w:val="24"/>
          <w:highlight w:val="white"/>
        </w:rPr>
        <w:t xml:space="preserve">In conclusion, HRM is a crucial task that takes place in the organisational and commercial context. The evolution of the field is influenced by current concerns in HRM practices such as inclusiveness and diversity, integrating technology, and talent management. Consistency and conformity to organisational and regulatory requirements are ensured by the efficient execution of HRM rules and regulations. The ownership, goals, funding, and social impacts of the commercial and public sectors' HRM differ from one another. The core of HRM is employee development, which includes education, professional advancement, performance evaluation, and </w:t>
      </w:r>
      <w:r>
        <w:rPr>
          <w:rFonts w:ascii="Times New Roman" w:eastAsia="Times New Roman" w:hAnsi="Times New Roman" w:cs="Times New Roman"/>
          <w:color w:val="000000"/>
          <w:sz w:val="24"/>
          <w:szCs w:val="24"/>
          <w:highlight w:val="white"/>
        </w:rPr>
        <w:lastRenderedPageBreak/>
        <w:t>engagement. The efficacy of the HR strategy, as well as interpersonal relationships, managerial culture, and employee engagement, is substantially influenced by the organisational climate.</w:t>
      </w:r>
    </w:p>
    <w:p w14:paraId="2F7E6EAC" w14:textId="77777777" w:rsidR="000B2FC5" w:rsidRDefault="002220A1">
      <w:pPr>
        <w:rPr>
          <w:rFonts w:ascii="Times New Roman" w:eastAsia="Times New Roman" w:hAnsi="Times New Roman" w:cs="Times New Roman"/>
          <w:b/>
          <w:sz w:val="28"/>
          <w:szCs w:val="28"/>
        </w:rPr>
      </w:pPr>
      <w:r>
        <w:br w:type="page"/>
      </w:r>
    </w:p>
    <w:p w14:paraId="20689700" w14:textId="77777777" w:rsidR="000B2FC5" w:rsidRDefault="002220A1">
      <w:pPr>
        <w:pStyle w:val="Heading1"/>
      </w:pPr>
      <w:bookmarkStart w:id="7" w:name="_heading=h.1t3h5sf" w:colFirst="0" w:colLast="0"/>
      <w:bookmarkEnd w:id="7"/>
      <w:r>
        <w:lastRenderedPageBreak/>
        <w:t>References</w:t>
      </w:r>
    </w:p>
    <w:p w14:paraId="67759EA8" w14:textId="77777777" w:rsidR="00570E7D" w:rsidRDefault="00570E7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Abbas, J., 2020. Impact of total quality management on Corporate green performance through the mediating role of corporate social responsibility. </w:t>
      </w:r>
      <w:r>
        <w:rPr>
          <w:rFonts w:ascii="Times New Roman" w:eastAsia="Times New Roman" w:hAnsi="Times New Roman" w:cs="Times New Roman"/>
          <w:i/>
          <w:color w:val="000000"/>
          <w:sz w:val="24"/>
          <w:szCs w:val="24"/>
        </w:rPr>
        <w:t>Journal of Cleaner Production</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242</w:t>
      </w:r>
      <w:r>
        <w:rPr>
          <w:rFonts w:ascii="Times New Roman" w:eastAsia="Times New Roman" w:hAnsi="Times New Roman" w:cs="Times New Roman"/>
          <w:color w:val="000000"/>
          <w:sz w:val="24"/>
          <w:szCs w:val="24"/>
        </w:rPr>
        <w:t xml:space="preserve">, p.118458. Available at: </w:t>
      </w:r>
      <w:hyperlink r:id="rId9">
        <w:r>
          <w:rPr>
            <w:rFonts w:ascii="Times New Roman" w:eastAsia="Times New Roman" w:hAnsi="Times New Roman" w:cs="Times New Roman"/>
            <w:color w:val="1155CC"/>
            <w:sz w:val="24"/>
            <w:szCs w:val="24"/>
            <w:u w:val="single"/>
          </w:rPr>
          <w:t>https://doi.org/10.1016/j.jclepro.2019.118458</w:t>
        </w:r>
      </w:hyperlink>
      <w:r>
        <w:rPr>
          <w:rFonts w:ascii="Times New Roman" w:eastAsia="Times New Roman" w:hAnsi="Times New Roman" w:cs="Times New Roman"/>
          <w:color w:val="000000"/>
          <w:sz w:val="24"/>
          <w:szCs w:val="24"/>
        </w:rPr>
        <w:t xml:space="preserve"> (Accessed: 15 June 2023).</w:t>
      </w:r>
    </w:p>
    <w:p w14:paraId="2654940F" w14:textId="77777777" w:rsidR="00570E7D" w:rsidRDefault="00570E7D">
      <w:pPr>
        <w:pBdr>
          <w:top w:val="nil"/>
          <w:left w:val="nil"/>
          <w:bottom w:val="nil"/>
          <w:right w:val="nil"/>
          <w:between w:val="nil"/>
        </w:pBdr>
        <w:spacing w:before="240"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Adiguzel</w:t>
      </w:r>
      <w:proofErr w:type="spellEnd"/>
      <w:r>
        <w:rPr>
          <w:rFonts w:ascii="Times New Roman" w:eastAsia="Times New Roman" w:hAnsi="Times New Roman" w:cs="Times New Roman"/>
          <w:color w:val="222222"/>
          <w:sz w:val="24"/>
          <w:szCs w:val="24"/>
          <w:highlight w:val="white"/>
        </w:rPr>
        <w:t xml:space="preserve">, Z., </w:t>
      </w:r>
      <w:proofErr w:type="spellStart"/>
      <w:r>
        <w:rPr>
          <w:rFonts w:ascii="Times New Roman" w:eastAsia="Times New Roman" w:hAnsi="Times New Roman" w:cs="Times New Roman"/>
          <w:color w:val="222222"/>
          <w:sz w:val="24"/>
          <w:szCs w:val="24"/>
          <w:highlight w:val="white"/>
        </w:rPr>
        <w:t>Ozcinar</w:t>
      </w:r>
      <w:proofErr w:type="spellEnd"/>
      <w:r>
        <w:rPr>
          <w:rFonts w:ascii="Times New Roman" w:eastAsia="Times New Roman" w:hAnsi="Times New Roman" w:cs="Times New Roman"/>
          <w:color w:val="222222"/>
          <w:sz w:val="24"/>
          <w:szCs w:val="24"/>
          <w:highlight w:val="white"/>
        </w:rPr>
        <w:t xml:space="preserve">, M.F. and </w:t>
      </w:r>
      <w:proofErr w:type="spellStart"/>
      <w:r>
        <w:rPr>
          <w:rFonts w:ascii="Times New Roman" w:eastAsia="Times New Roman" w:hAnsi="Times New Roman" w:cs="Times New Roman"/>
          <w:color w:val="222222"/>
          <w:sz w:val="24"/>
          <w:szCs w:val="24"/>
          <w:highlight w:val="white"/>
        </w:rPr>
        <w:t>Karadal</w:t>
      </w:r>
      <w:proofErr w:type="spellEnd"/>
      <w:r>
        <w:rPr>
          <w:rFonts w:ascii="Times New Roman" w:eastAsia="Times New Roman" w:hAnsi="Times New Roman" w:cs="Times New Roman"/>
          <w:color w:val="222222"/>
          <w:sz w:val="24"/>
          <w:szCs w:val="24"/>
          <w:highlight w:val="white"/>
        </w:rPr>
        <w:t xml:space="preserve">, H., 2020. Does servant leadership moderate the link between strategic human resource management on rule breaking and job satisfaction? </w:t>
      </w:r>
      <w:r>
        <w:rPr>
          <w:rFonts w:ascii="Times New Roman" w:eastAsia="Times New Roman" w:hAnsi="Times New Roman" w:cs="Times New Roman"/>
          <w:i/>
          <w:color w:val="000000"/>
          <w:sz w:val="24"/>
          <w:szCs w:val="24"/>
        </w:rPr>
        <w:t>European Research on Management and Business Economics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26</w:t>
      </w:r>
      <w:r>
        <w:rPr>
          <w:rFonts w:ascii="Times New Roman" w:eastAsia="Times New Roman" w:hAnsi="Times New Roman" w:cs="Times New Roman"/>
          <w:color w:val="000000"/>
          <w:sz w:val="24"/>
          <w:szCs w:val="24"/>
        </w:rPr>
        <w:t>(2), pp.103-110. Available at:</w:t>
      </w:r>
      <w:hyperlink r:id="rId10">
        <w:r>
          <w:rPr>
            <w:rFonts w:ascii="Times New Roman" w:eastAsia="Times New Roman" w:hAnsi="Times New Roman" w:cs="Times New Roman"/>
            <w:color w:val="000000"/>
            <w:sz w:val="24"/>
            <w:szCs w:val="24"/>
          </w:rPr>
          <w:t xml:space="preserve"> </w:t>
        </w:r>
      </w:hyperlink>
      <w:hyperlink r:id="rId11">
        <w:r>
          <w:rPr>
            <w:rFonts w:ascii="Times New Roman" w:eastAsia="Times New Roman" w:hAnsi="Times New Roman" w:cs="Times New Roman"/>
            <w:color w:val="1155CC"/>
            <w:sz w:val="24"/>
            <w:szCs w:val="24"/>
            <w:u w:val="single"/>
          </w:rPr>
          <w:t>https://doi.org/10.1016/j.iedeen.2020.04.002</w:t>
        </w:r>
      </w:hyperlink>
      <w:r>
        <w:rPr>
          <w:color w:val="222222"/>
          <w:sz w:val="20"/>
          <w:szCs w:val="20"/>
          <w:highlight w:val="white"/>
        </w:rPr>
        <w:t xml:space="preserve"> </w:t>
      </w:r>
      <w:r>
        <w:rPr>
          <w:rFonts w:ascii="Times New Roman" w:eastAsia="Times New Roman" w:hAnsi="Times New Roman" w:cs="Times New Roman"/>
          <w:color w:val="222222"/>
          <w:sz w:val="24"/>
          <w:szCs w:val="24"/>
          <w:highlight w:val="white"/>
        </w:rPr>
        <w:t>(Accessed on 15 June 2023)</w:t>
      </w:r>
    </w:p>
    <w:p w14:paraId="15C0D50D" w14:textId="77777777" w:rsidR="00570E7D" w:rsidRDefault="00570E7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Alsafadi</w:t>
      </w:r>
      <w:proofErr w:type="spellEnd"/>
      <w:r>
        <w:rPr>
          <w:rFonts w:ascii="Times New Roman" w:eastAsia="Times New Roman" w:hAnsi="Times New Roman" w:cs="Times New Roman"/>
          <w:color w:val="000000"/>
          <w:sz w:val="24"/>
          <w:szCs w:val="24"/>
        </w:rPr>
        <w:t xml:space="preserve">, Y. and </w:t>
      </w:r>
      <w:proofErr w:type="spellStart"/>
      <w:r>
        <w:rPr>
          <w:rFonts w:ascii="Times New Roman" w:eastAsia="Times New Roman" w:hAnsi="Times New Roman" w:cs="Times New Roman"/>
          <w:color w:val="000000"/>
          <w:sz w:val="24"/>
          <w:szCs w:val="24"/>
        </w:rPr>
        <w:t>Altahat</w:t>
      </w:r>
      <w:proofErr w:type="spellEnd"/>
      <w:r>
        <w:rPr>
          <w:rFonts w:ascii="Times New Roman" w:eastAsia="Times New Roman" w:hAnsi="Times New Roman" w:cs="Times New Roman"/>
          <w:color w:val="000000"/>
          <w:sz w:val="24"/>
          <w:szCs w:val="24"/>
        </w:rPr>
        <w:t xml:space="preserve">, S., 2021. Human resource management practices and employee performance: the role of job satisfaction. </w:t>
      </w:r>
      <w:r>
        <w:rPr>
          <w:rFonts w:ascii="Times New Roman" w:eastAsia="Times New Roman" w:hAnsi="Times New Roman" w:cs="Times New Roman"/>
          <w:i/>
          <w:color w:val="000000"/>
          <w:sz w:val="24"/>
          <w:szCs w:val="24"/>
        </w:rPr>
        <w:t>The Journal of Asian Finance, Economics and Business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8</w:t>
      </w:r>
      <w:r>
        <w:rPr>
          <w:rFonts w:ascii="Times New Roman" w:eastAsia="Times New Roman" w:hAnsi="Times New Roman" w:cs="Times New Roman"/>
          <w:color w:val="000000"/>
          <w:sz w:val="24"/>
          <w:szCs w:val="24"/>
        </w:rPr>
        <w:t xml:space="preserve">(1), pp.519-529. Available </w:t>
      </w:r>
      <w:proofErr w:type="spellStart"/>
      <w:r>
        <w:rPr>
          <w:rFonts w:ascii="Times New Roman" w:eastAsia="Times New Roman" w:hAnsi="Times New Roman" w:cs="Times New Roman"/>
          <w:color w:val="000000"/>
          <w:sz w:val="24"/>
          <w:szCs w:val="24"/>
        </w:rPr>
        <w:t>at:</w:t>
      </w:r>
      <w:hyperlink r:id="rId12">
        <w:r>
          <w:rPr>
            <w:rFonts w:ascii="Times New Roman" w:eastAsia="Times New Roman" w:hAnsi="Times New Roman" w:cs="Times New Roman"/>
            <w:color w:val="1155CC"/>
            <w:sz w:val="24"/>
            <w:szCs w:val="24"/>
            <w:u w:val="single"/>
          </w:rPr>
          <w:t>https</w:t>
        </w:r>
        <w:proofErr w:type="spellEnd"/>
        <w:r>
          <w:rPr>
            <w:rFonts w:ascii="Times New Roman" w:eastAsia="Times New Roman" w:hAnsi="Times New Roman" w:cs="Times New Roman"/>
            <w:color w:val="1155CC"/>
            <w:sz w:val="24"/>
            <w:szCs w:val="24"/>
            <w:u w:val="single"/>
          </w:rPr>
          <w:t>://doi.org/10.13106/jafeb.2021.vol8.no1.519</w:t>
        </w:r>
      </w:hyperlink>
      <w:r>
        <w:rPr>
          <w:rFonts w:ascii="Times New Roman" w:eastAsia="Times New Roman" w:hAnsi="Times New Roman" w:cs="Times New Roman"/>
          <w:color w:val="000000"/>
          <w:sz w:val="24"/>
          <w:szCs w:val="24"/>
        </w:rPr>
        <w:t xml:space="preserve">  (Accessed: 15 June 2023).</w:t>
      </w:r>
    </w:p>
    <w:p w14:paraId="21B9FFC8" w14:textId="77777777" w:rsidR="00570E7D" w:rsidRDefault="00570E7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752DC0">
        <w:rPr>
          <w:rFonts w:ascii="Times New Roman" w:eastAsia="Times New Roman" w:hAnsi="Times New Roman" w:cs="Times New Roman"/>
          <w:color w:val="000000"/>
          <w:sz w:val="24"/>
          <w:szCs w:val="24"/>
          <w:lang w:val="pl-PL"/>
        </w:rPr>
        <w:t xml:space="preserve">Bieńkowska, A., Koszela, A., Sałamacha, A. and Tworek, K., 2022. </w:t>
      </w:r>
      <w:r>
        <w:rPr>
          <w:rFonts w:ascii="Times New Roman" w:eastAsia="Times New Roman" w:hAnsi="Times New Roman" w:cs="Times New Roman"/>
          <w:color w:val="000000"/>
          <w:sz w:val="24"/>
          <w:szCs w:val="24"/>
        </w:rPr>
        <w:t xml:space="preserve">COVID-19-oriented HRM strategies influence job and organisational performance through job-related attitudes. </w:t>
      </w:r>
      <w:proofErr w:type="spellStart"/>
      <w:r>
        <w:rPr>
          <w:rFonts w:ascii="Times New Roman" w:eastAsia="Times New Roman" w:hAnsi="Times New Roman" w:cs="Times New Roman"/>
          <w:i/>
          <w:color w:val="000000"/>
          <w:sz w:val="24"/>
          <w:szCs w:val="24"/>
        </w:rPr>
        <w:t>Plos</w:t>
      </w:r>
      <w:proofErr w:type="spellEnd"/>
      <w:r>
        <w:rPr>
          <w:rFonts w:ascii="Times New Roman" w:eastAsia="Times New Roman" w:hAnsi="Times New Roman" w:cs="Times New Roman"/>
          <w:i/>
          <w:color w:val="000000"/>
          <w:sz w:val="24"/>
          <w:szCs w:val="24"/>
        </w:rPr>
        <w:t xml:space="preserve"> one</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17</w:t>
      </w:r>
      <w:r>
        <w:rPr>
          <w:rFonts w:ascii="Times New Roman" w:eastAsia="Times New Roman" w:hAnsi="Times New Roman" w:cs="Times New Roman"/>
          <w:color w:val="000000"/>
          <w:sz w:val="24"/>
          <w:szCs w:val="24"/>
        </w:rPr>
        <w:t xml:space="preserve">(4), p.e0266364. Available at: </w:t>
      </w:r>
      <w:hyperlink r:id="rId13">
        <w:r>
          <w:rPr>
            <w:rFonts w:ascii="Times New Roman" w:eastAsia="Times New Roman" w:hAnsi="Times New Roman" w:cs="Times New Roman"/>
            <w:color w:val="1155CC"/>
            <w:sz w:val="24"/>
            <w:szCs w:val="24"/>
            <w:u w:val="single"/>
          </w:rPr>
          <w:t>https://doi.org/10.1371/journal.pone.0266364</w:t>
        </w:r>
      </w:hyperlink>
      <w:r>
        <w:rPr>
          <w:rFonts w:ascii="Times New Roman" w:eastAsia="Times New Roman" w:hAnsi="Times New Roman" w:cs="Times New Roman"/>
          <w:color w:val="000000"/>
          <w:sz w:val="24"/>
          <w:szCs w:val="24"/>
        </w:rPr>
        <w:t xml:space="preserve"> (Accessed: 15 June 2023).</w:t>
      </w:r>
    </w:p>
    <w:p w14:paraId="77966E00" w14:textId="77777777" w:rsidR="00570E7D" w:rsidRDefault="00570E7D">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sidRPr="00752DC0">
        <w:rPr>
          <w:rFonts w:ascii="Times New Roman" w:eastAsia="Times New Roman" w:hAnsi="Times New Roman" w:cs="Times New Roman"/>
          <w:color w:val="222222"/>
          <w:sz w:val="24"/>
          <w:szCs w:val="24"/>
          <w:highlight w:val="white"/>
          <w:lang w:val="nl-NL"/>
        </w:rPr>
        <w:t xml:space="preserve">Blom, R., Kruyen, P.M., Van der Heijden, B.I. and Van Thiel, S., 2020. </w:t>
      </w:r>
      <w:r>
        <w:rPr>
          <w:rFonts w:ascii="Times New Roman" w:eastAsia="Times New Roman" w:hAnsi="Times New Roman" w:cs="Times New Roman"/>
          <w:color w:val="222222"/>
          <w:sz w:val="24"/>
          <w:szCs w:val="24"/>
          <w:highlight w:val="white"/>
        </w:rPr>
        <w:t xml:space="preserve">Does one HRM fit all? A meta-analysis of the effects of HRM practices in the public, </w:t>
      </w:r>
      <w:proofErr w:type="spellStart"/>
      <w:r>
        <w:rPr>
          <w:rFonts w:ascii="Times New Roman" w:eastAsia="Times New Roman" w:hAnsi="Times New Roman" w:cs="Times New Roman"/>
          <w:color w:val="222222"/>
          <w:sz w:val="24"/>
          <w:szCs w:val="24"/>
          <w:highlight w:val="white"/>
        </w:rPr>
        <w:t>semipublic</w:t>
      </w:r>
      <w:proofErr w:type="spellEnd"/>
      <w:r>
        <w:rPr>
          <w:rFonts w:ascii="Times New Roman" w:eastAsia="Times New Roman" w:hAnsi="Times New Roman" w:cs="Times New Roman"/>
          <w:color w:val="222222"/>
          <w:sz w:val="24"/>
          <w:szCs w:val="24"/>
          <w:highlight w:val="white"/>
        </w:rPr>
        <w:t xml:space="preserve">, and private sector. </w:t>
      </w:r>
      <w:r>
        <w:rPr>
          <w:rFonts w:ascii="Times New Roman" w:eastAsia="Times New Roman" w:hAnsi="Times New Roman" w:cs="Times New Roman"/>
          <w:i/>
          <w:color w:val="000000"/>
          <w:sz w:val="24"/>
          <w:szCs w:val="24"/>
        </w:rPr>
        <w:t>Review of Public Personnel Administration</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40</w:t>
      </w:r>
      <w:r>
        <w:rPr>
          <w:rFonts w:ascii="Times New Roman" w:eastAsia="Times New Roman" w:hAnsi="Times New Roman" w:cs="Times New Roman"/>
          <w:color w:val="000000"/>
          <w:sz w:val="24"/>
          <w:szCs w:val="24"/>
        </w:rPr>
        <w:t>(1), pp.3-35. Available at:</w:t>
      </w:r>
      <w:hyperlink r:id="rId14">
        <w:r>
          <w:rPr>
            <w:rFonts w:ascii="Times New Roman" w:eastAsia="Times New Roman" w:hAnsi="Times New Roman" w:cs="Times New Roman"/>
            <w:color w:val="000000"/>
            <w:sz w:val="24"/>
            <w:szCs w:val="24"/>
          </w:rPr>
          <w:t xml:space="preserve"> </w:t>
        </w:r>
      </w:hyperlink>
      <w:hyperlink r:id="rId15">
        <w:r>
          <w:rPr>
            <w:rFonts w:ascii="Times New Roman" w:eastAsia="Times New Roman" w:hAnsi="Times New Roman" w:cs="Times New Roman"/>
            <w:color w:val="1155CC"/>
            <w:sz w:val="24"/>
            <w:szCs w:val="24"/>
            <w:u w:val="single"/>
          </w:rPr>
          <w:t>https://doi.org/10.1177/0734371X18773492</w:t>
        </w:r>
      </w:hyperlink>
      <w:r>
        <w:rPr>
          <w:rFonts w:ascii="Times New Roman" w:eastAsia="Times New Roman" w:hAnsi="Times New Roman" w:cs="Times New Roman"/>
          <w:color w:val="000000"/>
          <w:sz w:val="24"/>
          <w:szCs w:val="24"/>
        </w:rPr>
        <w:t xml:space="preserve"> (Accessed on 15 June 2023)</w:t>
      </w:r>
    </w:p>
    <w:p w14:paraId="6106E7BD" w14:textId="77777777" w:rsidR="00570E7D" w:rsidRDefault="00570E7D">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sidRPr="00752DC0">
        <w:rPr>
          <w:rFonts w:ascii="Times New Roman" w:eastAsia="Times New Roman" w:hAnsi="Times New Roman" w:cs="Times New Roman"/>
          <w:color w:val="222222"/>
          <w:sz w:val="24"/>
          <w:szCs w:val="24"/>
          <w:highlight w:val="white"/>
          <w:lang w:val="nl-NL"/>
        </w:rPr>
        <w:t xml:space="preserve">Boselie, P., Van Harten, J. and Veld, M., 2021. </w:t>
      </w:r>
      <w:r>
        <w:rPr>
          <w:rFonts w:ascii="Times New Roman" w:eastAsia="Times New Roman" w:hAnsi="Times New Roman" w:cs="Times New Roman"/>
          <w:color w:val="222222"/>
          <w:sz w:val="24"/>
          <w:szCs w:val="24"/>
          <w:highlight w:val="white"/>
        </w:rPr>
        <w:t xml:space="preserve">A human resource management review on public management and public administration research: stop right there… before we go any further…. </w:t>
      </w:r>
      <w:r>
        <w:rPr>
          <w:rFonts w:ascii="Times New Roman" w:eastAsia="Times New Roman" w:hAnsi="Times New Roman" w:cs="Times New Roman"/>
          <w:i/>
          <w:color w:val="000000"/>
          <w:sz w:val="24"/>
          <w:szCs w:val="24"/>
        </w:rPr>
        <w:t>Public Management Review</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23</w:t>
      </w:r>
      <w:r>
        <w:rPr>
          <w:rFonts w:ascii="Times New Roman" w:eastAsia="Times New Roman" w:hAnsi="Times New Roman" w:cs="Times New Roman"/>
          <w:color w:val="000000"/>
          <w:sz w:val="24"/>
          <w:szCs w:val="24"/>
        </w:rPr>
        <w:t>(4), pp.483-500. Available at:</w:t>
      </w:r>
      <w:hyperlink r:id="rId16">
        <w:r>
          <w:rPr>
            <w:rFonts w:ascii="Times New Roman" w:eastAsia="Times New Roman" w:hAnsi="Times New Roman" w:cs="Times New Roman"/>
            <w:color w:val="000000"/>
            <w:sz w:val="24"/>
            <w:szCs w:val="24"/>
          </w:rPr>
          <w:t xml:space="preserve"> </w:t>
        </w:r>
      </w:hyperlink>
      <w:hyperlink r:id="rId17">
        <w:r>
          <w:rPr>
            <w:rFonts w:ascii="Times New Roman" w:eastAsia="Times New Roman" w:hAnsi="Times New Roman" w:cs="Times New Roman"/>
            <w:color w:val="1155CC"/>
            <w:sz w:val="24"/>
            <w:szCs w:val="24"/>
            <w:u w:val="single"/>
          </w:rPr>
          <w:t>https://doi.org/10.1080/14719037.2019.1695880</w:t>
        </w:r>
      </w:hyperlink>
      <w:r>
        <w:rPr>
          <w:rFonts w:ascii="Times New Roman" w:eastAsia="Times New Roman" w:hAnsi="Times New Roman" w:cs="Times New Roman"/>
          <w:color w:val="000000"/>
          <w:sz w:val="24"/>
          <w:szCs w:val="24"/>
        </w:rPr>
        <w:t xml:space="preserve"> (Accessed on 15 June 2023)</w:t>
      </w:r>
    </w:p>
    <w:p w14:paraId="60F533AC" w14:textId="77777777" w:rsidR="00570E7D" w:rsidRDefault="00570E7D">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222222"/>
          <w:sz w:val="24"/>
          <w:szCs w:val="24"/>
          <w:highlight w:val="white"/>
        </w:rPr>
        <w:t>Brunetto</w:t>
      </w:r>
      <w:proofErr w:type="spellEnd"/>
      <w:r>
        <w:rPr>
          <w:rFonts w:ascii="Times New Roman" w:eastAsia="Times New Roman" w:hAnsi="Times New Roman" w:cs="Times New Roman"/>
          <w:color w:val="222222"/>
          <w:sz w:val="24"/>
          <w:szCs w:val="24"/>
          <w:highlight w:val="white"/>
        </w:rPr>
        <w:t xml:space="preserve">, Y. and Beattie, R., 2020. The changing role of HRM in the public sector. </w:t>
      </w:r>
      <w:r>
        <w:rPr>
          <w:rFonts w:ascii="Times New Roman" w:eastAsia="Times New Roman" w:hAnsi="Times New Roman" w:cs="Times New Roman"/>
          <w:i/>
          <w:color w:val="000000"/>
          <w:sz w:val="24"/>
          <w:szCs w:val="24"/>
        </w:rPr>
        <w:t>Public Management Review</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22</w:t>
      </w:r>
      <w:r>
        <w:rPr>
          <w:rFonts w:ascii="Times New Roman" w:eastAsia="Times New Roman" w:hAnsi="Times New Roman" w:cs="Times New Roman"/>
          <w:color w:val="000000"/>
          <w:sz w:val="24"/>
          <w:szCs w:val="24"/>
        </w:rPr>
        <w:t>(1), pp.1-5. Available at:</w:t>
      </w:r>
      <w:hyperlink r:id="rId18">
        <w:r>
          <w:rPr>
            <w:rFonts w:ascii="Times New Roman" w:eastAsia="Times New Roman" w:hAnsi="Times New Roman" w:cs="Times New Roman"/>
            <w:color w:val="000000"/>
            <w:sz w:val="24"/>
            <w:szCs w:val="24"/>
          </w:rPr>
          <w:t xml:space="preserve"> </w:t>
        </w:r>
      </w:hyperlink>
      <w:hyperlink r:id="rId19">
        <w:r>
          <w:rPr>
            <w:rFonts w:ascii="Times New Roman" w:eastAsia="Times New Roman" w:hAnsi="Times New Roman" w:cs="Times New Roman"/>
            <w:color w:val="1155CC"/>
            <w:sz w:val="24"/>
            <w:szCs w:val="24"/>
            <w:u w:val="single"/>
          </w:rPr>
          <w:t>https://doi.org/10.1080/14719037.2019.1645876</w:t>
        </w:r>
      </w:hyperlink>
      <w:r>
        <w:rPr>
          <w:rFonts w:ascii="Times New Roman" w:eastAsia="Times New Roman" w:hAnsi="Times New Roman" w:cs="Times New Roman"/>
          <w:color w:val="000000"/>
          <w:sz w:val="24"/>
          <w:szCs w:val="24"/>
        </w:rPr>
        <w:t xml:space="preserve"> (Accessed on 15 June 2023)</w:t>
      </w:r>
    </w:p>
    <w:p w14:paraId="39CC2A8C" w14:textId="77777777" w:rsidR="00570E7D" w:rsidRDefault="00570E7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proofErr w:type="spellStart"/>
      <w:r>
        <w:rPr>
          <w:rFonts w:ascii="Times New Roman" w:eastAsia="Times New Roman" w:hAnsi="Times New Roman" w:cs="Times New Roman"/>
          <w:color w:val="000000"/>
          <w:sz w:val="24"/>
          <w:szCs w:val="24"/>
          <w:highlight w:val="white"/>
        </w:rPr>
        <w:lastRenderedPageBreak/>
        <w:t>Diamantidis</w:t>
      </w:r>
      <w:proofErr w:type="spellEnd"/>
      <w:r>
        <w:rPr>
          <w:rFonts w:ascii="Times New Roman" w:eastAsia="Times New Roman" w:hAnsi="Times New Roman" w:cs="Times New Roman"/>
          <w:color w:val="000000"/>
          <w:sz w:val="24"/>
          <w:szCs w:val="24"/>
          <w:highlight w:val="white"/>
        </w:rPr>
        <w:t xml:space="preserve">, A.D. and </w:t>
      </w:r>
      <w:proofErr w:type="spellStart"/>
      <w:r>
        <w:rPr>
          <w:rFonts w:ascii="Times New Roman" w:eastAsia="Times New Roman" w:hAnsi="Times New Roman" w:cs="Times New Roman"/>
          <w:color w:val="000000"/>
          <w:sz w:val="24"/>
          <w:szCs w:val="24"/>
          <w:highlight w:val="white"/>
        </w:rPr>
        <w:t>Chatzoglou</w:t>
      </w:r>
      <w:proofErr w:type="spellEnd"/>
      <w:r>
        <w:rPr>
          <w:rFonts w:ascii="Times New Roman" w:eastAsia="Times New Roman" w:hAnsi="Times New Roman" w:cs="Times New Roman"/>
          <w:color w:val="000000"/>
          <w:sz w:val="24"/>
          <w:szCs w:val="24"/>
          <w:highlight w:val="white"/>
        </w:rPr>
        <w:t xml:space="preserve">, P., 2019. Factors affecting employee performance: an empirical approach. </w:t>
      </w:r>
      <w:r>
        <w:rPr>
          <w:rFonts w:ascii="Times New Roman" w:eastAsia="Times New Roman" w:hAnsi="Times New Roman" w:cs="Times New Roman"/>
          <w:i/>
          <w:color w:val="000000"/>
          <w:sz w:val="24"/>
          <w:szCs w:val="24"/>
          <w:highlight w:val="white"/>
        </w:rPr>
        <w:t>International Journal of Productivity and Performance Management</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68</w:t>
      </w:r>
      <w:r>
        <w:rPr>
          <w:rFonts w:ascii="Times New Roman" w:eastAsia="Times New Roman" w:hAnsi="Times New Roman" w:cs="Times New Roman"/>
          <w:color w:val="000000"/>
          <w:sz w:val="24"/>
          <w:szCs w:val="24"/>
          <w:highlight w:val="white"/>
        </w:rPr>
        <w:t xml:space="preserve">(1), pp.171-193. Available at: </w:t>
      </w:r>
      <w:hyperlink r:id="rId20">
        <w:r>
          <w:rPr>
            <w:rFonts w:ascii="Times New Roman" w:eastAsia="Times New Roman" w:hAnsi="Times New Roman" w:cs="Times New Roman"/>
            <w:color w:val="1155CC"/>
            <w:sz w:val="24"/>
            <w:szCs w:val="24"/>
            <w:highlight w:val="white"/>
            <w:u w:val="single"/>
          </w:rPr>
          <w:t>https://doi.org/10.1108/IJPPM-01-2018-0012</w:t>
        </w:r>
      </w:hyperlink>
      <w:r>
        <w:rPr>
          <w:rFonts w:ascii="Times New Roman" w:eastAsia="Times New Roman" w:hAnsi="Times New Roman" w:cs="Times New Roman"/>
          <w:color w:val="000000"/>
          <w:sz w:val="24"/>
          <w:szCs w:val="24"/>
          <w:highlight w:val="white"/>
        </w:rPr>
        <w:t xml:space="preserve"> (Accessed: 15 June 2023).</w:t>
      </w:r>
    </w:p>
    <w:p w14:paraId="68890743" w14:textId="77777777" w:rsidR="00570E7D" w:rsidRDefault="00570E7D">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Fahim, M.G.A., 2018. Strategic human resource management and public employee retention. </w:t>
      </w:r>
      <w:r>
        <w:rPr>
          <w:rFonts w:ascii="Times New Roman" w:eastAsia="Times New Roman" w:hAnsi="Times New Roman" w:cs="Times New Roman"/>
          <w:i/>
          <w:color w:val="000000"/>
          <w:sz w:val="24"/>
          <w:szCs w:val="24"/>
        </w:rPr>
        <w:t>Review of Economics and Political Science</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3</w:t>
      </w:r>
      <w:r>
        <w:rPr>
          <w:rFonts w:ascii="Times New Roman" w:eastAsia="Times New Roman" w:hAnsi="Times New Roman" w:cs="Times New Roman"/>
          <w:color w:val="000000"/>
          <w:sz w:val="24"/>
          <w:szCs w:val="24"/>
        </w:rPr>
        <w:t>(2), pp.20-39. Available at:</w:t>
      </w:r>
      <w:hyperlink r:id="rId21">
        <w:r>
          <w:rPr>
            <w:rFonts w:ascii="Times New Roman" w:eastAsia="Times New Roman" w:hAnsi="Times New Roman" w:cs="Times New Roman"/>
            <w:color w:val="000000"/>
            <w:sz w:val="24"/>
            <w:szCs w:val="24"/>
          </w:rPr>
          <w:t xml:space="preserve"> </w:t>
        </w:r>
      </w:hyperlink>
      <w:hyperlink r:id="rId22">
        <w:r>
          <w:rPr>
            <w:rFonts w:ascii="Times New Roman" w:eastAsia="Times New Roman" w:hAnsi="Times New Roman" w:cs="Times New Roman"/>
            <w:color w:val="1155CC"/>
            <w:sz w:val="24"/>
            <w:szCs w:val="24"/>
            <w:u w:val="single"/>
          </w:rPr>
          <w:t>https://doi.org/10.1108/REPS-07-2018-002</w:t>
        </w:r>
      </w:hyperlink>
      <w:r>
        <w:rPr>
          <w:rFonts w:ascii="Times New Roman" w:eastAsia="Times New Roman" w:hAnsi="Times New Roman" w:cs="Times New Roman"/>
          <w:color w:val="000000"/>
          <w:sz w:val="24"/>
          <w:szCs w:val="24"/>
        </w:rPr>
        <w:t xml:space="preserve"> (Accessed on 15 June 2023)</w:t>
      </w:r>
    </w:p>
    <w:p w14:paraId="6BE87D57" w14:textId="77777777" w:rsidR="00570E7D" w:rsidRDefault="00570E7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Hamadamin</w:t>
      </w:r>
      <w:proofErr w:type="spellEnd"/>
      <w:r>
        <w:rPr>
          <w:rFonts w:ascii="Times New Roman" w:eastAsia="Times New Roman" w:hAnsi="Times New Roman" w:cs="Times New Roman"/>
          <w:color w:val="000000"/>
          <w:sz w:val="24"/>
          <w:szCs w:val="24"/>
        </w:rPr>
        <w:t xml:space="preserve">, H.H. and </w:t>
      </w:r>
      <w:proofErr w:type="spellStart"/>
      <w:r>
        <w:rPr>
          <w:rFonts w:ascii="Times New Roman" w:eastAsia="Times New Roman" w:hAnsi="Times New Roman" w:cs="Times New Roman"/>
          <w:color w:val="000000"/>
          <w:sz w:val="24"/>
          <w:szCs w:val="24"/>
        </w:rPr>
        <w:t>Atan</w:t>
      </w:r>
      <w:proofErr w:type="spellEnd"/>
      <w:r>
        <w:rPr>
          <w:rFonts w:ascii="Times New Roman" w:eastAsia="Times New Roman" w:hAnsi="Times New Roman" w:cs="Times New Roman"/>
          <w:color w:val="000000"/>
          <w:sz w:val="24"/>
          <w:szCs w:val="24"/>
        </w:rPr>
        <w:t xml:space="preserve">, T., 2019. The impact of strategic human resource management practices on competitive advantage sustainability: The mediation of human capital development and employee commitment. </w:t>
      </w:r>
      <w:r>
        <w:rPr>
          <w:rFonts w:ascii="Times New Roman" w:eastAsia="Times New Roman" w:hAnsi="Times New Roman" w:cs="Times New Roman"/>
          <w:i/>
          <w:color w:val="000000"/>
          <w:sz w:val="24"/>
          <w:szCs w:val="24"/>
        </w:rPr>
        <w:t>Sustainability</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11</w:t>
      </w:r>
      <w:r>
        <w:rPr>
          <w:rFonts w:ascii="Times New Roman" w:eastAsia="Times New Roman" w:hAnsi="Times New Roman" w:cs="Times New Roman"/>
          <w:color w:val="000000"/>
          <w:sz w:val="24"/>
          <w:szCs w:val="24"/>
        </w:rPr>
        <w:t xml:space="preserve">(20), p.5782. Available at: </w:t>
      </w:r>
      <w:hyperlink r:id="rId23">
        <w:r>
          <w:rPr>
            <w:rFonts w:ascii="Times New Roman" w:eastAsia="Times New Roman" w:hAnsi="Times New Roman" w:cs="Times New Roman"/>
            <w:color w:val="1155CC"/>
            <w:sz w:val="24"/>
            <w:szCs w:val="24"/>
            <w:u w:val="single"/>
          </w:rPr>
          <w:t>https://doi.org/10.3390/su11205782</w:t>
        </w:r>
      </w:hyperlink>
      <w:r>
        <w:rPr>
          <w:rFonts w:ascii="Times New Roman" w:eastAsia="Times New Roman" w:hAnsi="Times New Roman" w:cs="Times New Roman"/>
          <w:color w:val="000000"/>
          <w:sz w:val="24"/>
          <w:szCs w:val="24"/>
        </w:rPr>
        <w:t xml:space="preserve"> (Accessed: 15 June 2023).</w:t>
      </w:r>
    </w:p>
    <w:p w14:paraId="511D50F1" w14:textId="77777777" w:rsidR="00570E7D" w:rsidRDefault="00570E7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Iqbal, A., 2019. The strategic human resource management approaches and organisational performance: The mediating role of creative climate. </w:t>
      </w:r>
      <w:r>
        <w:rPr>
          <w:rFonts w:ascii="Times New Roman" w:eastAsia="Times New Roman" w:hAnsi="Times New Roman" w:cs="Times New Roman"/>
          <w:i/>
          <w:color w:val="000000"/>
          <w:sz w:val="24"/>
          <w:szCs w:val="24"/>
          <w:highlight w:val="white"/>
        </w:rPr>
        <w:t>Journal of Advances in Management Research</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16</w:t>
      </w:r>
      <w:r>
        <w:rPr>
          <w:rFonts w:ascii="Times New Roman" w:eastAsia="Times New Roman" w:hAnsi="Times New Roman" w:cs="Times New Roman"/>
          <w:color w:val="000000"/>
          <w:sz w:val="24"/>
          <w:szCs w:val="24"/>
          <w:highlight w:val="white"/>
        </w:rPr>
        <w:t xml:space="preserve">(2), pp.181-193. Available at: </w:t>
      </w:r>
      <w:hyperlink r:id="rId24">
        <w:r>
          <w:rPr>
            <w:rFonts w:ascii="Times New Roman" w:eastAsia="Times New Roman" w:hAnsi="Times New Roman" w:cs="Times New Roman"/>
            <w:color w:val="1155CC"/>
            <w:sz w:val="24"/>
            <w:szCs w:val="24"/>
            <w:highlight w:val="white"/>
            <w:u w:val="single"/>
          </w:rPr>
          <w:t>https://doi.org/10.1108/JAMR-11-2017-0104</w:t>
        </w:r>
      </w:hyperlink>
      <w:r>
        <w:rPr>
          <w:rFonts w:ascii="Times New Roman" w:eastAsia="Times New Roman" w:hAnsi="Times New Roman" w:cs="Times New Roman"/>
          <w:color w:val="000000"/>
          <w:sz w:val="24"/>
          <w:szCs w:val="24"/>
          <w:highlight w:val="white"/>
        </w:rPr>
        <w:t xml:space="preserve"> (Accessed: 2019).</w:t>
      </w:r>
    </w:p>
    <w:p w14:paraId="6CB6FB66" w14:textId="77777777" w:rsidR="00570E7D" w:rsidRDefault="00570E7D">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222222"/>
          <w:sz w:val="24"/>
          <w:szCs w:val="24"/>
          <w:highlight w:val="white"/>
        </w:rPr>
        <w:t>Kravariti</w:t>
      </w:r>
      <w:proofErr w:type="spellEnd"/>
      <w:r>
        <w:rPr>
          <w:rFonts w:ascii="Times New Roman" w:eastAsia="Times New Roman" w:hAnsi="Times New Roman" w:cs="Times New Roman"/>
          <w:color w:val="222222"/>
          <w:sz w:val="24"/>
          <w:szCs w:val="24"/>
          <w:highlight w:val="white"/>
        </w:rPr>
        <w:t xml:space="preserve">, F. and Johnston, K., 2020. Talent management: a critical literature review and research agenda for public sector human resource management. </w:t>
      </w:r>
      <w:r>
        <w:rPr>
          <w:rFonts w:ascii="Times New Roman" w:eastAsia="Times New Roman" w:hAnsi="Times New Roman" w:cs="Times New Roman"/>
          <w:i/>
          <w:color w:val="000000"/>
          <w:sz w:val="24"/>
          <w:szCs w:val="24"/>
        </w:rPr>
        <w:t>Public Management Review</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22</w:t>
      </w:r>
      <w:r>
        <w:rPr>
          <w:rFonts w:ascii="Times New Roman" w:eastAsia="Times New Roman" w:hAnsi="Times New Roman" w:cs="Times New Roman"/>
          <w:color w:val="000000"/>
          <w:sz w:val="24"/>
          <w:szCs w:val="24"/>
        </w:rPr>
        <w:t>(1), pp.75-95. Available at:</w:t>
      </w:r>
      <w:hyperlink r:id="rId25">
        <w:r>
          <w:rPr>
            <w:rFonts w:ascii="Times New Roman" w:eastAsia="Times New Roman" w:hAnsi="Times New Roman" w:cs="Times New Roman"/>
            <w:color w:val="000000"/>
            <w:sz w:val="24"/>
            <w:szCs w:val="24"/>
          </w:rPr>
          <w:t xml:space="preserve"> </w:t>
        </w:r>
      </w:hyperlink>
      <w:hyperlink r:id="rId26">
        <w:r>
          <w:rPr>
            <w:rFonts w:ascii="Times New Roman" w:eastAsia="Times New Roman" w:hAnsi="Times New Roman" w:cs="Times New Roman"/>
            <w:color w:val="1155CC"/>
            <w:sz w:val="24"/>
            <w:szCs w:val="24"/>
            <w:u w:val="single"/>
          </w:rPr>
          <w:t>https://doi.org/10.1080/14719037.2019.1638439</w:t>
        </w:r>
      </w:hyperlink>
      <w:r>
        <w:rPr>
          <w:rFonts w:ascii="Times New Roman" w:eastAsia="Times New Roman" w:hAnsi="Times New Roman" w:cs="Times New Roman"/>
          <w:color w:val="000000"/>
          <w:sz w:val="24"/>
          <w:szCs w:val="24"/>
        </w:rPr>
        <w:t xml:space="preserve"> (Accessed on 15 June 2023)</w:t>
      </w:r>
    </w:p>
    <w:p w14:paraId="42D76DB1" w14:textId="77777777" w:rsidR="00570E7D" w:rsidRDefault="00570E7D">
      <w:pPr>
        <w:pBdr>
          <w:top w:val="nil"/>
          <w:left w:val="nil"/>
          <w:bottom w:val="nil"/>
          <w:right w:val="nil"/>
          <w:between w:val="nil"/>
        </w:pBdr>
        <w:spacing w:before="240"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Leisink</w:t>
      </w:r>
      <w:proofErr w:type="spellEnd"/>
      <w:r>
        <w:rPr>
          <w:rFonts w:ascii="Times New Roman" w:eastAsia="Times New Roman" w:hAnsi="Times New Roman" w:cs="Times New Roman"/>
          <w:color w:val="222222"/>
          <w:sz w:val="24"/>
          <w:szCs w:val="24"/>
          <w:highlight w:val="white"/>
        </w:rPr>
        <w:t xml:space="preserve">, P. and </w:t>
      </w:r>
      <w:proofErr w:type="spellStart"/>
      <w:r>
        <w:rPr>
          <w:rFonts w:ascii="Times New Roman" w:eastAsia="Times New Roman" w:hAnsi="Times New Roman" w:cs="Times New Roman"/>
          <w:color w:val="222222"/>
          <w:sz w:val="24"/>
          <w:szCs w:val="24"/>
          <w:highlight w:val="white"/>
        </w:rPr>
        <w:t>Knies</w:t>
      </w:r>
      <w:proofErr w:type="spellEnd"/>
      <w:r>
        <w:rPr>
          <w:rFonts w:ascii="Times New Roman" w:eastAsia="Times New Roman" w:hAnsi="Times New Roman" w:cs="Times New Roman"/>
          <w:color w:val="222222"/>
          <w:sz w:val="24"/>
          <w:szCs w:val="24"/>
          <w:highlight w:val="white"/>
        </w:rPr>
        <w:t xml:space="preserve">, E., 2018. Public personnel reforms and public sector HRM in Europe. </w:t>
      </w:r>
      <w:r>
        <w:rPr>
          <w:rFonts w:ascii="Times New Roman" w:eastAsia="Times New Roman" w:hAnsi="Times New Roman" w:cs="Times New Roman"/>
          <w:i/>
          <w:color w:val="000000"/>
          <w:sz w:val="24"/>
          <w:szCs w:val="24"/>
        </w:rPr>
        <w:t>The Palgrave Handbook of public administration and Management in Europe</w:t>
      </w:r>
      <w:r>
        <w:rPr>
          <w:rFonts w:ascii="Times New Roman" w:eastAsia="Times New Roman" w:hAnsi="Times New Roman" w:cs="Times New Roman"/>
          <w:color w:val="000000"/>
          <w:sz w:val="24"/>
          <w:szCs w:val="24"/>
        </w:rPr>
        <w:t>, pp.243-259. Available at:</w:t>
      </w:r>
      <w:hyperlink r:id="rId27">
        <w:r>
          <w:rPr>
            <w:rFonts w:ascii="Times New Roman" w:eastAsia="Times New Roman" w:hAnsi="Times New Roman" w:cs="Times New Roman"/>
            <w:color w:val="000000"/>
            <w:sz w:val="24"/>
            <w:szCs w:val="24"/>
          </w:rPr>
          <w:t xml:space="preserve"> </w:t>
        </w:r>
      </w:hyperlink>
      <w:hyperlink r:id="rId28">
        <w:r>
          <w:rPr>
            <w:rFonts w:ascii="Times New Roman" w:eastAsia="Times New Roman" w:hAnsi="Times New Roman" w:cs="Times New Roman"/>
            <w:color w:val="1155CC"/>
            <w:sz w:val="24"/>
            <w:szCs w:val="24"/>
            <w:u w:val="single"/>
            <w:shd w:val="clear" w:color="auto" w:fill="FCFCFC"/>
          </w:rPr>
          <w:t>https://doi.org/10.1057/978-1-137-55269-3_12</w:t>
        </w:r>
      </w:hyperlink>
      <w:r>
        <w:rPr>
          <w:rFonts w:ascii="Times New Roman" w:eastAsia="Times New Roman" w:hAnsi="Times New Roman" w:cs="Times New Roman"/>
          <w:color w:val="333333"/>
          <w:sz w:val="24"/>
          <w:szCs w:val="24"/>
          <w:shd w:val="clear" w:color="auto" w:fill="FCFCFC"/>
        </w:rPr>
        <w:t xml:space="preserve"> </w:t>
      </w:r>
      <w:r>
        <w:rPr>
          <w:rFonts w:ascii="Times New Roman" w:eastAsia="Times New Roman" w:hAnsi="Times New Roman" w:cs="Times New Roman"/>
          <w:color w:val="222222"/>
          <w:sz w:val="24"/>
          <w:szCs w:val="24"/>
          <w:highlight w:val="white"/>
        </w:rPr>
        <w:t>(Accessed on 15 June 2023)</w:t>
      </w:r>
    </w:p>
    <w:p w14:paraId="5D980008" w14:textId="77777777" w:rsidR="00570E7D" w:rsidRDefault="00570E7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Mira, M., Choong, Y. and </w:t>
      </w:r>
      <w:proofErr w:type="spellStart"/>
      <w:r>
        <w:rPr>
          <w:rFonts w:ascii="Times New Roman" w:eastAsia="Times New Roman" w:hAnsi="Times New Roman" w:cs="Times New Roman"/>
          <w:color w:val="000000"/>
          <w:sz w:val="24"/>
          <w:szCs w:val="24"/>
        </w:rPr>
        <w:t>Thim</w:t>
      </w:r>
      <w:proofErr w:type="spellEnd"/>
      <w:r>
        <w:rPr>
          <w:rFonts w:ascii="Times New Roman" w:eastAsia="Times New Roman" w:hAnsi="Times New Roman" w:cs="Times New Roman"/>
          <w:color w:val="000000"/>
          <w:sz w:val="24"/>
          <w:szCs w:val="24"/>
        </w:rPr>
        <w:t xml:space="preserve">, C., 2019. The effect of HRM practices and employees’ job satisfaction on employee performance. </w:t>
      </w:r>
      <w:r>
        <w:rPr>
          <w:rFonts w:ascii="Times New Roman" w:eastAsia="Times New Roman" w:hAnsi="Times New Roman" w:cs="Times New Roman"/>
          <w:i/>
          <w:color w:val="000000"/>
          <w:sz w:val="24"/>
          <w:szCs w:val="24"/>
        </w:rPr>
        <w:t>Management Science Letters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9</w:t>
      </w:r>
      <w:r>
        <w:rPr>
          <w:rFonts w:ascii="Times New Roman" w:eastAsia="Times New Roman" w:hAnsi="Times New Roman" w:cs="Times New Roman"/>
          <w:color w:val="000000"/>
          <w:sz w:val="24"/>
          <w:szCs w:val="24"/>
        </w:rPr>
        <w:t xml:space="preserve">(6), pp.771-786. Available at: </w:t>
      </w:r>
      <w:hyperlink r:id="rId29">
        <w:r>
          <w:rPr>
            <w:rFonts w:ascii="Times New Roman" w:eastAsia="Times New Roman" w:hAnsi="Times New Roman" w:cs="Times New Roman"/>
            <w:color w:val="1155CC"/>
            <w:sz w:val="24"/>
            <w:szCs w:val="24"/>
            <w:u w:val="single"/>
          </w:rPr>
          <w:t>http://dx.doi.org/10.5267/j.msl.2019.3.011</w:t>
        </w:r>
      </w:hyperlink>
      <w:r>
        <w:rPr>
          <w:rFonts w:ascii="Times New Roman" w:eastAsia="Times New Roman" w:hAnsi="Times New Roman" w:cs="Times New Roman"/>
          <w:color w:val="000000"/>
          <w:sz w:val="24"/>
          <w:szCs w:val="24"/>
        </w:rPr>
        <w:t xml:space="preserve"> (Accessed: 15 June 2023).</w:t>
      </w:r>
    </w:p>
    <w:p w14:paraId="2B461FDB" w14:textId="77777777" w:rsidR="00570E7D" w:rsidRDefault="00570E7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proofErr w:type="spellStart"/>
      <w:r>
        <w:rPr>
          <w:rFonts w:ascii="Times New Roman" w:eastAsia="Times New Roman" w:hAnsi="Times New Roman" w:cs="Times New Roman"/>
          <w:color w:val="000000"/>
          <w:sz w:val="24"/>
          <w:szCs w:val="24"/>
          <w:highlight w:val="white"/>
        </w:rPr>
        <w:t>Mutonyi</w:t>
      </w:r>
      <w:proofErr w:type="spellEnd"/>
      <w:r>
        <w:rPr>
          <w:rFonts w:ascii="Times New Roman" w:eastAsia="Times New Roman" w:hAnsi="Times New Roman" w:cs="Times New Roman"/>
          <w:color w:val="000000"/>
          <w:sz w:val="24"/>
          <w:szCs w:val="24"/>
          <w:highlight w:val="white"/>
        </w:rPr>
        <w:t xml:space="preserve">, B.R., </w:t>
      </w:r>
      <w:proofErr w:type="spellStart"/>
      <w:r>
        <w:rPr>
          <w:rFonts w:ascii="Times New Roman" w:eastAsia="Times New Roman" w:hAnsi="Times New Roman" w:cs="Times New Roman"/>
          <w:color w:val="000000"/>
          <w:sz w:val="24"/>
          <w:szCs w:val="24"/>
          <w:highlight w:val="white"/>
        </w:rPr>
        <w:t>Slåtten</w:t>
      </w:r>
      <w:proofErr w:type="spellEnd"/>
      <w:r>
        <w:rPr>
          <w:rFonts w:ascii="Times New Roman" w:eastAsia="Times New Roman" w:hAnsi="Times New Roman" w:cs="Times New Roman"/>
          <w:color w:val="000000"/>
          <w:sz w:val="24"/>
          <w:szCs w:val="24"/>
          <w:highlight w:val="white"/>
        </w:rPr>
        <w:t xml:space="preserve">, T. and Lien, G., 2020. Organisational climate and creative performance in the public sector. </w:t>
      </w:r>
      <w:r>
        <w:rPr>
          <w:rFonts w:ascii="Times New Roman" w:eastAsia="Times New Roman" w:hAnsi="Times New Roman" w:cs="Times New Roman"/>
          <w:i/>
          <w:color w:val="000000"/>
          <w:sz w:val="24"/>
          <w:szCs w:val="24"/>
          <w:highlight w:val="white"/>
        </w:rPr>
        <w:t>European Business Review</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32</w:t>
      </w:r>
      <w:r>
        <w:rPr>
          <w:rFonts w:ascii="Times New Roman" w:eastAsia="Times New Roman" w:hAnsi="Times New Roman" w:cs="Times New Roman"/>
          <w:color w:val="000000"/>
          <w:sz w:val="24"/>
          <w:szCs w:val="24"/>
          <w:highlight w:val="white"/>
        </w:rPr>
        <w:t xml:space="preserve">(4), pp.615-631. Available at: </w:t>
      </w:r>
      <w:hyperlink r:id="rId30">
        <w:r>
          <w:rPr>
            <w:rFonts w:ascii="Times New Roman" w:eastAsia="Times New Roman" w:hAnsi="Times New Roman" w:cs="Times New Roman"/>
            <w:color w:val="1155CC"/>
            <w:sz w:val="24"/>
            <w:szCs w:val="24"/>
            <w:highlight w:val="white"/>
            <w:u w:val="single"/>
          </w:rPr>
          <w:t>https://doi.org/10.1108/EBR-02-2019-0021</w:t>
        </w:r>
      </w:hyperlink>
      <w:r>
        <w:rPr>
          <w:rFonts w:ascii="Times New Roman" w:eastAsia="Times New Roman" w:hAnsi="Times New Roman" w:cs="Times New Roman"/>
          <w:color w:val="000000"/>
          <w:sz w:val="24"/>
          <w:szCs w:val="24"/>
          <w:highlight w:val="white"/>
        </w:rPr>
        <w:t xml:space="preserve"> (Accessed: 15 June 2023).</w:t>
      </w:r>
    </w:p>
    <w:p w14:paraId="3C40CC15" w14:textId="77777777" w:rsidR="00570E7D" w:rsidRDefault="00570E7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752DC0">
        <w:rPr>
          <w:rFonts w:ascii="Times New Roman" w:eastAsia="Times New Roman" w:hAnsi="Times New Roman" w:cs="Times New Roman"/>
          <w:color w:val="000000"/>
          <w:sz w:val="24"/>
          <w:szCs w:val="24"/>
          <w:lang w:val="es-ES"/>
        </w:rPr>
        <w:lastRenderedPageBreak/>
        <w:t xml:space="preserve">Ojo, A.O., Tan, C.N.L. and Alias, M., 2022. </w:t>
      </w:r>
      <w:r>
        <w:rPr>
          <w:rFonts w:ascii="Times New Roman" w:eastAsia="Times New Roman" w:hAnsi="Times New Roman" w:cs="Times New Roman"/>
          <w:color w:val="000000"/>
          <w:sz w:val="24"/>
          <w:szCs w:val="24"/>
        </w:rPr>
        <w:t xml:space="preserve">Linking green HRM practices to environmental performance through pro-environment behaviour in the information technology sector. </w:t>
      </w:r>
      <w:r>
        <w:rPr>
          <w:rFonts w:ascii="Times New Roman" w:eastAsia="Times New Roman" w:hAnsi="Times New Roman" w:cs="Times New Roman"/>
          <w:i/>
          <w:color w:val="000000"/>
          <w:sz w:val="24"/>
          <w:szCs w:val="24"/>
        </w:rPr>
        <w:t>Social Responsibility Journal</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18</w:t>
      </w:r>
      <w:r>
        <w:rPr>
          <w:rFonts w:ascii="Times New Roman" w:eastAsia="Times New Roman" w:hAnsi="Times New Roman" w:cs="Times New Roman"/>
          <w:color w:val="000000"/>
          <w:sz w:val="24"/>
          <w:szCs w:val="24"/>
        </w:rPr>
        <w:t xml:space="preserve">(1), pp.1-18. Available at: </w:t>
      </w:r>
      <w:hyperlink r:id="rId31">
        <w:r>
          <w:rPr>
            <w:rFonts w:ascii="Times New Roman" w:eastAsia="Times New Roman" w:hAnsi="Times New Roman" w:cs="Times New Roman"/>
            <w:color w:val="1155CC"/>
            <w:sz w:val="24"/>
            <w:szCs w:val="24"/>
            <w:u w:val="single"/>
          </w:rPr>
          <w:t>https://doi.org/10.1108/SRJ-12-2019-0403</w:t>
        </w:r>
      </w:hyperlink>
      <w:r>
        <w:rPr>
          <w:rFonts w:ascii="Times New Roman" w:eastAsia="Times New Roman" w:hAnsi="Times New Roman" w:cs="Times New Roman"/>
          <w:color w:val="000000"/>
          <w:sz w:val="24"/>
          <w:szCs w:val="24"/>
        </w:rPr>
        <w:t xml:space="preserve"> (Accessed: 15 June 2023).</w:t>
      </w:r>
    </w:p>
    <w:p w14:paraId="1CE20BF6" w14:textId="77777777" w:rsidR="00570E7D" w:rsidRDefault="00570E7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Otoo</w:t>
      </w:r>
      <w:proofErr w:type="spellEnd"/>
      <w:r>
        <w:rPr>
          <w:rFonts w:ascii="Times New Roman" w:eastAsia="Times New Roman" w:hAnsi="Times New Roman" w:cs="Times New Roman"/>
          <w:color w:val="000000"/>
          <w:sz w:val="24"/>
          <w:szCs w:val="24"/>
        </w:rPr>
        <w:t xml:space="preserve">, F.N.K., 2019. Human resource management (HRM) practices and organisational performance: The mediating role of employee competencies. </w:t>
      </w:r>
      <w:r>
        <w:rPr>
          <w:rFonts w:ascii="Times New Roman" w:eastAsia="Times New Roman" w:hAnsi="Times New Roman" w:cs="Times New Roman"/>
          <w:i/>
          <w:color w:val="000000"/>
          <w:sz w:val="24"/>
          <w:szCs w:val="24"/>
        </w:rPr>
        <w:t>Employee Relations: The International Journal</w:t>
      </w:r>
      <w:r>
        <w:rPr>
          <w:rFonts w:ascii="Times New Roman" w:eastAsia="Times New Roman" w:hAnsi="Times New Roman" w:cs="Times New Roman"/>
          <w:color w:val="000000"/>
          <w:sz w:val="24"/>
          <w:szCs w:val="24"/>
        </w:rPr>
        <w:t xml:space="preserve">. Available at: </w:t>
      </w:r>
      <w:hyperlink r:id="rId32">
        <w:r>
          <w:rPr>
            <w:rFonts w:ascii="Times New Roman" w:eastAsia="Times New Roman" w:hAnsi="Times New Roman" w:cs="Times New Roman"/>
            <w:color w:val="1155CC"/>
            <w:sz w:val="24"/>
            <w:szCs w:val="24"/>
            <w:u w:val="single"/>
          </w:rPr>
          <w:t>https://doi.org/10.1108/ER-02-2018-0053</w:t>
        </w:r>
      </w:hyperlink>
      <w:r>
        <w:rPr>
          <w:rFonts w:ascii="Times New Roman" w:eastAsia="Times New Roman" w:hAnsi="Times New Roman" w:cs="Times New Roman"/>
          <w:color w:val="000000"/>
          <w:sz w:val="24"/>
          <w:szCs w:val="24"/>
        </w:rPr>
        <w:t xml:space="preserve"> (Accessed: 15 June 2023).</w:t>
      </w:r>
    </w:p>
    <w:p w14:paraId="26F1970A" w14:textId="77777777" w:rsidR="00570E7D" w:rsidRDefault="00570E7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proofErr w:type="spellStart"/>
      <w:r>
        <w:rPr>
          <w:rFonts w:ascii="Times New Roman" w:eastAsia="Times New Roman" w:hAnsi="Times New Roman" w:cs="Times New Roman"/>
          <w:color w:val="000000"/>
          <w:sz w:val="24"/>
          <w:szCs w:val="24"/>
          <w:highlight w:val="white"/>
        </w:rPr>
        <w:t>Pecino</w:t>
      </w:r>
      <w:proofErr w:type="spellEnd"/>
      <w:r>
        <w:rPr>
          <w:rFonts w:ascii="Times New Roman" w:eastAsia="Times New Roman" w:hAnsi="Times New Roman" w:cs="Times New Roman"/>
          <w:color w:val="000000"/>
          <w:sz w:val="24"/>
          <w:szCs w:val="24"/>
          <w:highlight w:val="white"/>
        </w:rPr>
        <w:t xml:space="preserve">, V., </w:t>
      </w:r>
      <w:proofErr w:type="spellStart"/>
      <w:r>
        <w:rPr>
          <w:rFonts w:ascii="Times New Roman" w:eastAsia="Times New Roman" w:hAnsi="Times New Roman" w:cs="Times New Roman"/>
          <w:color w:val="000000"/>
          <w:sz w:val="24"/>
          <w:szCs w:val="24"/>
          <w:highlight w:val="white"/>
        </w:rPr>
        <w:t>Mañas</w:t>
      </w:r>
      <w:proofErr w:type="spellEnd"/>
      <w:r>
        <w:rPr>
          <w:rFonts w:ascii="Times New Roman" w:eastAsia="Times New Roman" w:hAnsi="Times New Roman" w:cs="Times New Roman"/>
          <w:color w:val="000000"/>
          <w:sz w:val="24"/>
          <w:szCs w:val="24"/>
          <w:highlight w:val="white"/>
        </w:rPr>
        <w:t>, M.A., Díaz-</w:t>
      </w:r>
      <w:proofErr w:type="spellStart"/>
      <w:r>
        <w:rPr>
          <w:rFonts w:ascii="Times New Roman" w:eastAsia="Times New Roman" w:hAnsi="Times New Roman" w:cs="Times New Roman"/>
          <w:color w:val="000000"/>
          <w:sz w:val="24"/>
          <w:szCs w:val="24"/>
          <w:highlight w:val="white"/>
        </w:rPr>
        <w:t>Fúnez</w:t>
      </w:r>
      <w:proofErr w:type="spellEnd"/>
      <w:r>
        <w:rPr>
          <w:rFonts w:ascii="Times New Roman" w:eastAsia="Times New Roman" w:hAnsi="Times New Roman" w:cs="Times New Roman"/>
          <w:color w:val="000000"/>
          <w:sz w:val="24"/>
          <w:szCs w:val="24"/>
          <w:highlight w:val="white"/>
        </w:rPr>
        <w:t>, P.A., Aguilar-Parra, J.M., Padilla-</w:t>
      </w:r>
      <w:proofErr w:type="spellStart"/>
      <w:r>
        <w:rPr>
          <w:rFonts w:ascii="Times New Roman" w:eastAsia="Times New Roman" w:hAnsi="Times New Roman" w:cs="Times New Roman"/>
          <w:color w:val="000000"/>
          <w:sz w:val="24"/>
          <w:szCs w:val="24"/>
          <w:highlight w:val="white"/>
        </w:rPr>
        <w:t>Góngora</w:t>
      </w:r>
      <w:proofErr w:type="spellEnd"/>
      <w:r>
        <w:rPr>
          <w:rFonts w:ascii="Times New Roman" w:eastAsia="Times New Roman" w:hAnsi="Times New Roman" w:cs="Times New Roman"/>
          <w:color w:val="000000"/>
          <w:sz w:val="24"/>
          <w:szCs w:val="24"/>
          <w:highlight w:val="white"/>
        </w:rPr>
        <w:t>, D. and López-</w:t>
      </w:r>
      <w:proofErr w:type="spellStart"/>
      <w:r>
        <w:rPr>
          <w:rFonts w:ascii="Times New Roman" w:eastAsia="Times New Roman" w:hAnsi="Times New Roman" w:cs="Times New Roman"/>
          <w:color w:val="000000"/>
          <w:sz w:val="24"/>
          <w:szCs w:val="24"/>
          <w:highlight w:val="white"/>
        </w:rPr>
        <w:t>Liria</w:t>
      </w:r>
      <w:proofErr w:type="spellEnd"/>
      <w:r>
        <w:rPr>
          <w:rFonts w:ascii="Times New Roman" w:eastAsia="Times New Roman" w:hAnsi="Times New Roman" w:cs="Times New Roman"/>
          <w:color w:val="000000"/>
          <w:sz w:val="24"/>
          <w:szCs w:val="24"/>
          <w:highlight w:val="white"/>
        </w:rPr>
        <w:t xml:space="preserve">, R., 2019. Organisational climate, role stress, and public employees’ job satisfaction. </w:t>
      </w:r>
      <w:r>
        <w:rPr>
          <w:rFonts w:ascii="Times New Roman" w:eastAsia="Times New Roman" w:hAnsi="Times New Roman" w:cs="Times New Roman"/>
          <w:i/>
          <w:color w:val="000000"/>
          <w:sz w:val="24"/>
          <w:szCs w:val="24"/>
          <w:highlight w:val="white"/>
        </w:rPr>
        <w:t>International journal of environmental research and public health</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16</w:t>
      </w:r>
      <w:r>
        <w:rPr>
          <w:rFonts w:ascii="Times New Roman" w:eastAsia="Times New Roman" w:hAnsi="Times New Roman" w:cs="Times New Roman"/>
          <w:color w:val="000000"/>
          <w:sz w:val="24"/>
          <w:szCs w:val="24"/>
          <w:highlight w:val="white"/>
        </w:rPr>
        <w:t xml:space="preserve">(10), p.1792. Available at: </w:t>
      </w:r>
      <w:hyperlink r:id="rId33">
        <w:r>
          <w:rPr>
            <w:rFonts w:ascii="Times New Roman" w:eastAsia="Times New Roman" w:hAnsi="Times New Roman" w:cs="Times New Roman"/>
            <w:color w:val="1155CC"/>
            <w:sz w:val="24"/>
            <w:szCs w:val="24"/>
            <w:highlight w:val="white"/>
            <w:u w:val="single"/>
          </w:rPr>
          <w:t>https://doi.org/10.3390/ijerph16101792</w:t>
        </w:r>
      </w:hyperlink>
      <w:r>
        <w:rPr>
          <w:rFonts w:ascii="Times New Roman" w:eastAsia="Times New Roman" w:hAnsi="Times New Roman" w:cs="Times New Roman"/>
          <w:color w:val="000000"/>
          <w:sz w:val="24"/>
          <w:szCs w:val="24"/>
          <w:highlight w:val="white"/>
        </w:rPr>
        <w:t xml:space="preserve"> (Accessed: 15 June 2023)</w:t>
      </w:r>
    </w:p>
    <w:p w14:paraId="1D3C16BA" w14:textId="77777777" w:rsidR="00570E7D" w:rsidRDefault="00570E7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Pham, N.T., Thanh, T.V., </w:t>
      </w:r>
      <w:proofErr w:type="spellStart"/>
      <w:r>
        <w:rPr>
          <w:rFonts w:ascii="Times New Roman" w:eastAsia="Times New Roman" w:hAnsi="Times New Roman" w:cs="Times New Roman"/>
          <w:color w:val="000000"/>
          <w:sz w:val="24"/>
          <w:szCs w:val="24"/>
        </w:rPr>
        <w:t>Tučková</w:t>
      </w:r>
      <w:proofErr w:type="spellEnd"/>
      <w:r>
        <w:rPr>
          <w:rFonts w:ascii="Times New Roman" w:eastAsia="Times New Roman" w:hAnsi="Times New Roman" w:cs="Times New Roman"/>
          <w:color w:val="000000"/>
          <w:sz w:val="24"/>
          <w:szCs w:val="24"/>
        </w:rPr>
        <w:t xml:space="preserve">, Z. and Thuy, V.T.N., 2020. The role of green human resource management in driving hotel’s environmental performance: Interaction and mediation analysis. </w:t>
      </w:r>
      <w:r>
        <w:rPr>
          <w:rFonts w:ascii="Times New Roman" w:eastAsia="Times New Roman" w:hAnsi="Times New Roman" w:cs="Times New Roman"/>
          <w:i/>
          <w:color w:val="000000"/>
          <w:sz w:val="24"/>
          <w:szCs w:val="24"/>
        </w:rPr>
        <w:t>International Journal of Hospitality Management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88</w:t>
      </w:r>
      <w:r>
        <w:rPr>
          <w:rFonts w:ascii="Times New Roman" w:eastAsia="Times New Roman" w:hAnsi="Times New Roman" w:cs="Times New Roman"/>
          <w:color w:val="000000"/>
          <w:sz w:val="24"/>
          <w:szCs w:val="24"/>
        </w:rPr>
        <w:t xml:space="preserve">, p.102392. Available at: </w:t>
      </w:r>
      <w:hyperlink r:id="rId34">
        <w:r>
          <w:rPr>
            <w:rFonts w:ascii="Times New Roman" w:eastAsia="Times New Roman" w:hAnsi="Times New Roman" w:cs="Times New Roman"/>
            <w:color w:val="1155CC"/>
            <w:sz w:val="24"/>
            <w:szCs w:val="24"/>
            <w:u w:val="single"/>
          </w:rPr>
          <w:t>https://doi.org/10.1016/j.ijhm.2019.102392</w:t>
        </w:r>
      </w:hyperlink>
      <w:r>
        <w:rPr>
          <w:rFonts w:ascii="Times New Roman" w:eastAsia="Times New Roman" w:hAnsi="Times New Roman" w:cs="Times New Roman"/>
          <w:color w:val="000000"/>
          <w:sz w:val="24"/>
          <w:szCs w:val="24"/>
        </w:rPr>
        <w:t xml:space="preserve"> (Accessed: 15 June 2023).</w:t>
      </w:r>
    </w:p>
    <w:p w14:paraId="2540AAF9" w14:textId="77777777" w:rsidR="00570E7D" w:rsidRDefault="00570E7D">
      <w:pPr>
        <w:pBdr>
          <w:top w:val="nil"/>
          <w:left w:val="nil"/>
          <w:bottom w:val="nil"/>
          <w:right w:val="nil"/>
          <w:between w:val="nil"/>
        </w:pBdr>
        <w:spacing w:before="240"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Prabawati</w:t>
      </w:r>
      <w:proofErr w:type="spellEnd"/>
      <w:r>
        <w:rPr>
          <w:rFonts w:ascii="Times New Roman" w:eastAsia="Times New Roman" w:hAnsi="Times New Roman" w:cs="Times New Roman"/>
          <w:color w:val="222222"/>
          <w:sz w:val="24"/>
          <w:szCs w:val="24"/>
          <w:highlight w:val="white"/>
        </w:rPr>
        <w:t xml:space="preserve">, I. and </w:t>
      </w:r>
      <w:proofErr w:type="spellStart"/>
      <w:r>
        <w:rPr>
          <w:rFonts w:ascii="Times New Roman" w:eastAsia="Times New Roman" w:hAnsi="Times New Roman" w:cs="Times New Roman"/>
          <w:color w:val="222222"/>
          <w:sz w:val="24"/>
          <w:szCs w:val="24"/>
          <w:highlight w:val="white"/>
        </w:rPr>
        <w:t>AOktariyanda</w:t>
      </w:r>
      <w:proofErr w:type="spellEnd"/>
      <w:r>
        <w:rPr>
          <w:rFonts w:ascii="Times New Roman" w:eastAsia="Times New Roman" w:hAnsi="Times New Roman" w:cs="Times New Roman"/>
          <w:color w:val="222222"/>
          <w:sz w:val="24"/>
          <w:szCs w:val="24"/>
          <w:highlight w:val="white"/>
        </w:rPr>
        <w:t xml:space="preserve">, T., 2018. Competency-based training model for human resource management and development in the public sector. In </w:t>
      </w:r>
      <w:r>
        <w:rPr>
          <w:rFonts w:ascii="Times New Roman" w:eastAsia="Times New Roman" w:hAnsi="Times New Roman" w:cs="Times New Roman"/>
          <w:i/>
          <w:color w:val="000000"/>
          <w:sz w:val="24"/>
          <w:szCs w:val="24"/>
        </w:rPr>
        <w:t>Journal of Physics: conference series</w:t>
      </w:r>
      <w:r>
        <w:rPr>
          <w:rFonts w:ascii="Times New Roman" w:eastAsia="Times New Roman" w:hAnsi="Times New Roman" w:cs="Times New Roman"/>
          <w:color w:val="000000"/>
          <w:sz w:val="24"/>
          <w:szCs w:val="24"/>
        </w:rPr>
        <w:t xml:space="preserve"> (Vol. 953, No. 1, p. 012157). IOP Publishing. Available at:</w:t>
      </w:r>
      <w:hyperlink r:id="rId35">
        <w:r>
          <w:rPr>
            <w:rFonts w:ascii="Times New Roman" w:eastAsia="Times New Roman" w:hAnsi="Times New Roman" w:cs="Times New Roman"/>
            <w:color w:val="000000"/>
            <w:sz w:val="24"/>
            <w:szCs w:val="24"/>
          </w:rPr>
          <w:t xml:space="preserve"> </w:t>
        </w:r>
      </w:hyperlink>
      <w:hyperlink r:id="rId36">
        <w:r>
          <w:rPr>
            <w:rFonts w:ascii="Times New Roman" w:eastAsia="Times New Roman" w:hAnsi="Times New Roman" w:cs="Times New Roman"/>
            <w:color w:val="1155CC"/>
            <w:sz w:val="24"/>
            <w:szCs w:val="24"/>
            <w:u w:val="single"/>
          </w:rPr>
          <w:t>https://doi.org/10.1088/1742-6596/953/1/012157</w:t>
        </w:r>
      </w:hyperlink>
      <w:r>
        <w:rPr>
          <w:rFonts w:ascii="Times New Roman" w:eastAsia="Times New Roman" w:hAnsi="Times New Roman" w:cs="Times New Roman"/>
          <w:color w:val="333333"/>
          <w:sz w:val="24"/>
          <w:szCs w:val="24"/>
        </w:rPr>
        <w:t xml:space="preserve"> </w:t>
      </w:r>
      <w:r>
        <w:rPr>
          <w:rFonts w:ascii="Times New Roman" w:eastAsia="Times New Roman" w:hAnsi="Times New Roman" w:cs="Times New Roman"/>
          <w:color w:val="222222"/>
          <w:sz w:val="24"/>
          <w:szCs w:val="24"/>
          <w:highlight w:val="white"/>
        </w:rPr>
        <w:t>(Accessed on 15 June 2023)</w:t>
      </w:r>
    </w:p>
    <w:p w14:paraId="3CEBDE49" w14:textId="77777777" w:rsidR="00570E7D" w:rsidRDefault="00570E7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Sousa, M.J., </w:t>
      </w:r>
      <w:proofErr w:type="spellStart"/>
      <w:r>
        <w:rPr>
          <w:rFonts w:ascii="Times New Roman" w:eastAsia="Times New Roman" w:hAnsi="Times New Roman" w:cs="Times New Roman"/>
          <w:color w:val="000000"/>
          <w:sz w:val="24"/>
          <w:szCs w:val="24"/>
        </w:rPr>
        <w:t>Pesqueira</w:t>
      </w:r>
      <w:proofErr w:type="spellEnd"/>
      <w:r>
        <w:rPr>
          <w:rFonts w:ascii="Times New Roman" w:eastAsia="Times New Roman" w:hAnsi="Times New Roman" w:cs="Times New Roman"/>
          <w:color w:val="000000"/>
          <w:sz w:val="24"/>
          <w:szCs w:val="24"/>
        </w:rPr>
        <w:t xml:space="preserve">, A.M., </w:t>
      </w:r>
      <w:proofErr w:type="spellStart"/>
      <w:r>
        <w:rPr>
          <w:rFonts w:ascii="Times New Roman" w:eastAsia="Times New Roman" w:hAnsi="Times New Roman" w:cs="Times New Roman"/>
          <w:color w:val="000000"/>
          <w:sz w:val="24"/>
          <w:szCs w:val="24"/>
        </w:rPr>
        <w:t>Lemos</w:t>
      </w:r>
      <w:proofErr w:type="spellEnd"/>
      <w:r>
        <w:rPr>
          <w:rFonts w:ascii="Times New Roman" w:eastAsia="Times New Roman" w:hAnsi="Times New Roman" w:cs="Times New Roman"/>
          <w:color w:val="000000"/>
          <w:sz w:val="24"/>
          <w:szCs w:val="24"/>
        </w:rPr>
        <w:t xml:space="preserve">, C., Sousa, M. and Rocha, Á., 2019. Decision-making based on big data analytics for people management in healthcare organisations. </w:t>
      </w:r>
      <w:r>
        <w:rPr>
          <w:rFonts w:ascii="Times New Roman" w:eastAsia="Times New Roman" w:hAnsi="Times New Roman" w:cs="Times New Roman"/>
          <w:i/>
          <w:color w:val="000000"/>
          <w:sz w:val="24"/>
          <w:szCs w:val="24"/>
        </w:rPr>
        <w:t>Journal of medical systems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43</w:t>
      </w:r>
      <w:r>
        <w:rPr>
          <w:rFonts w:ascii="Times New Roman" w:eastAsia="Times New Roman" w:hAnsi="Times New Roman" w:cs="Times New Roman"/>
          <w:color w:val="000000"/>
          <w:sz w:val="24"/>
          <w:szCs w:val="24"/>
        </w:rPr>
        <w:t xml:space="preserve">, pp.1-10. Available at: </w:t>
      </w:r>
      <w:hyperlink r:id="rId37">
        <w:r>
          <w:rPr>
            <w:rFonts w:ascii="Times New Roman" w:eastAsia="Times New Roman" w:hAnsi="Times New Roman" w:cs="Times New Roman"/>
            <w:color w:val="1155CC"/>
            <w:sz w:val="24"/>
            <w:szCs w:val="24"/>
            <w:u w:val="single"/>
          </w:rPr>
          <w:t>https://doi.org/10.1007/s10916-019-1419-x</w:t>
        </w:r>
      </w:hyperlink>
      <w:r>
        <w:rPr>
          <w:rFonts w:ascii="Times New Roman" w:eastAsia="Times New Roman" w:hAnsi="Times New Roman" w:cs="Times New Roman"/>
          <w:color w:val="000000"/>
          <w:sz w:val="24"/>
          <w:szCs w:val="24"/>
        </w:rPr>
        <w:t xml:space="preserve"> (Accessed: 15 June 2023).</w:t>
      </w:r>
    </w:p>
    <w:p w14:paraId="3FBB6977" w14:textId="77777777" w:rsidR="00570E7D" w:rsidRDefault="00570E7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proofErr w:type="spellStart"/>
      <w:r>
        <w:rPr>
          <w:rFonts w:ascii="Times New Roman" w:eastAsia="Times New Roman" w:hAnsi="Times New Roman" w:cs="Times New Roman"/>
          <w:color w:val="000000"/>
          <w:sz w:val="24"/>
          <w:szCs w:val="24"/>
          <w:highlight w:val="white"/>
        </w:rPr>
        <w:t>Waheed</w:t>
      </w:r>
      <w:proofErr w:type="spellEnd"/>
      <w:r>
        <w:rPr>
          <w:rFonts w:ascii="Times New Roman" w:eastAsia="Times New Roman" w:hAnsi="Times New Roman" w:cs="Times New Roman"/>
          <w:color w:val="000000"/>
          <w:sz w:val="24"/>
          <w:szCs w:val="24"/>
          <w:highlight w:val="white"/>
        </w:rPr>
        <w:t xml:space="preserve">, A., Miao, X., </w:t>
      </w:r>
      <w:proofErr w:type="spellStart"/>
      <w:r>
        <w:rPr>
          <w:rFonts w:ascii="Times New Roman" w:eastAsia="Times New Roman" w:hAnsi="Times New Roman" w:cs="Times New Roman"/>
          <w:color w:val="000000"/>
          <w:sz w:val="24"/>
          <w:szCs w:val="24"/>
          <w:highlight w:val="white"/>
        </w:rPr>
        <w:t>Waheed</w:t>
      </w:r>
      <w:proofErr w:type="spellEnd"/>
      <w:r>
        <w:rPr>
          <w:rFonts w:ascii="Times New Roman" w:eastAsia="Times New Roman" w:hAnsi="Times New Roman" w:cs="Times New Roman"/>
          <w:color w:val="000000"/>
          <w:sz w:val="24"/>
          <w:szCs w:val="24"/>
          <w:highlight w:val="white"/>
        </w:rPr>
        <w:t xml:space="preserve">, S., Ahmad, N. and Majeed, A., 2019. How new HRM practices, organisational innovation, and innovative climate affect the innovation performance in the IT industry: A moderated-mediation analysis. </w:t>
      </w:r>
      <w:r>
        <w:rPr>
          <w:rFonts w:ascii="Times New Roman" w:eastAsia="Times New Roman" w:hAnsi="Times New Roman" w:cs="Times New Roman"/>
          <w:i/>
          <w:color w:val="000000"/>
          <w:sz w:val="24"/>
          <w:szCs w:val="24"/>
          <w:highlight w:val="white"/>
        </w:rPr>
        <w:t>Sustainability</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11</w:t>
      </w:r>
      <w:r>
        <w:rPr>
          <w:rFonts w:ascii="Times New Roman" w:eastAsia="Times New Roman" w:hAnsi="Times New Roman" w:cs="Times New Roman"/>
          <w:color w:val="000000"/>
          <w:sz w:val="24"/>
          <w:szCs w:val="24"/>
          <w:highlight w:val="white"/>
        </w:rPr>
        <w:t xml:space="preserve">(3), p.621. Available at: </w:t>
      </w:r>
      <w:hyperlink r:id="rId38">
        <w:r>
          <w:rPr>
            <w:rFonts w:ascii="Times New Roman" w:eastAsia="Times New Roman" w:hAnsi="Times New Roman" w:cs="Times New Roman"/>
            <w:color w:val="1155CC"/>
            <w:sz w:val="24"/>
            <w:szCs w:val="24"/>
            <w:highlight w:val="white"/>
            <w:u w:val="single"/>
          </w:rPr>
          <w:t>https://doi.org/10.3390/su11030621</w:t>
        </w:r>
      </w:hyperlink>
      <w:r>
        <w:rPr>
          <w:rFonts w:ascii="Times New Roman" w:eastAsia="Times New Roman" w:hAnsi="Times New Roman" w:cs="Times New Roman"/>
          <w:color w:val="000000"/>
          <w:sz w:val="24"/>
          <w:szCs w:val="24"/>
          <w:highlight w:val="white"/>
        </w:rPr>
        <w:t xml:space="preserve"> (Accessed: 15 June 2023).</w:t>
      </w:r>
    </w:p>
    <w:p w14:paraId="13C9D6FF" w14:textId="77777777" w:rsidR="00570E7D" w:rsidRDefault="00570E7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Yong, J.Y., </w:t>
      </w:r>
      <w:proofErr w:type="spellStart"/>
      <w:r>
        <w:rPr>
          <w:rFonts w:ascii="Times New Roman" w:eastAsia="Times New Roman" w:hAnsi="Times New Roman" w:cs="Times New Roman"/>
          <w:color w:val="000000"/>
          <w:sz w:val="24"/>
          <w:szCs w:val="24"/>
        </w:rPr>
        <w:t>Yusliza</w:t>
      </w:r>
      <w:proofErr w:type="spellEnd"/>
      <w:r>
        <w:rPr>
          <w:rFonts w:ascii="Times New Roman" w:eastAsia="Times New Roman" w:hAnsi="Times New Roman" w:cs="Times New Roman"/>
          <w:color w:val="000000"/>
          <w:sz w:val="24"/>
          <w:szCs w:val="24"/>
        </w:rPr>
        <w:t xml:space="preserve">, M.Y., </w:t>
      </w:r>
      <w:proofErr w:type="spellStart"/>
      <w:r>
        <w:rPr>
          <w:rFonts w:ascii="Times New Roman" w:eastAsia="Times New Roman" w:hAnsi="Times New Roman" w:cs="Times New Roman"/>
          <w:color w:val="000000"/>
          <w:sz w:val="24"/>
          <w:szCs w:val="24"/>
        </w:rPr>
        <w:t>Ramayah</w:t>
      </w:r>
      <w:proofErr w:type="spellEnd"/>
      <w:r>
        <w:rPr>
          <w:rFonts w:ascii="Times New Roman" w:eastAsia="Times New Roman" w:hAnsi="Times New Roman" w:cs="Times New Roman"/>
          <w:color w:val="000000"/>
          <w:sz w:val="24"/>
          <w:szCs w:val="24"/>
        </w:rPr>
        <w:t xml:space="preserve">, T., Chiappetta </w:t>
      </w:r>
      <w:proofErr w:type="spellStart"/>
      <w:r>
        <w:rPr>
          <w:rFonts w:ascii="Times New Roman" w:eastAsia="Times New Roman" w:hAnsi="Times New Roman" w:cs="Times New Roman"/>
          <w:color w:val="000000"/>
          <w:sz w:val="24"/>
          <w:szCs w:val="24"/>
        </w:rPr>
        <w:t>Jabbour</w:t>
      </w:r>
      <w:proofErr w:type="spellEnd"/>
      <w:r>
        <w:rPr>
          <w:rFonts w:ascii="Times New Roman" w:eastAsia="Times New Roman" w:hAnsi="Times New Roman" w:cs="Times New Roman"/>
          <w:color w:val="000000"/>
          <w:sz w:val="24"/>
          <w:szCs w:val="24"/>
        </w:rPr>
        <w:t xml:space="preserve">, C.J., </w:t>
      </w:r>
      <w:proofErr w:type="spellStart"/>
      <w:r>
        <w:rPr>
          <w:rFonts w:ascii="Times New Roman" w:eastAsia="Times New Roman" w:hAnsi="Times New Roman" w:cs="Times New Roman"/>
          <w:color w:val="000000"/>
          <w:sz w:val="24"/>
          <w:szCs w:val="24"/>
        </w:rPr>
        <w:t>Sehnem</w:t>
      </w:r>
      <w:proofErr w:type="spellEnd"/>
      <w:r>
        <w:rPr>
          <w:rFonts w:ascii="Times New Roman" w:eastAsia="Times New Roman" w:hAnsi="Times New Roman" w:cs="Times New Roman"/>
          <w:color w:val="000000"/>
          <w:sz w:val="24"/>
          <w:szCs w:val="24"/>
        </w:rPr>
        <w:t xml:space="preserve">, S. and Mani, V., 2020. Pathways towards sustainability in manufacturing organisations: Empirical evidence on </w:t>
      </w:r>
      <w:r>
        <w:rPr>
          <w:rFonts w:ascii="Times New Roman" w:eastAsia="Times New Roman" w:hAnsi="Times New Roman" w:cs="Times New Roman"/>
          <w:color w:val="000000"/>
          <w:sz w:val="24"/>
          <w:szCs w:val="24"/>
        </w:rPr>
        <w:lastRenderedPageBreak/>
        <w:t xml:space="preserve">the role of green human resource management. </w:t>
      </w:r>
      <w:r>
        <w:rPr>
          <w:rFonts w:ascii="Times New Roman" w:eastAsia="Times New Roman" w:hAnsi="Times New Roman" w:cs="Times New Roman"/>
          <w:i/>
          <w:color w:val="000000"/>
          <w:sz w:val="24"/>
          <w:szCs w:val="24"/>
        </w:rPr>
        <w:t>Business Strategy and the Environment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29</w:t>
      </w:r>
      <w:r>
        <w:rPr>
          <w:rFonts w:ascii="Times New Roman" w:eastAsia="Times New Roman" w:hAnsi="Times New Roman" w:cs="Times New Roman"/>
          <w:color w:val="000000"/>
          <w:sz w:val="24"/>
          <w:szCs w:val="24"/>
        </w:rPr>
        <w:t xml:space="preserve">(1), pp.212-228. Available at: </w:t>
      </w:r>
      <w:hyperlink r:id="rId39">
        <w:r>
          <w:rPr>
            <w:rFonts w:ascii="Times New Roman" w:eastAsia="Times New Roman" w:hAnsi="Times New Roman" w:cs="Times New Roman"/>
            <w:color w:val="1155CC"/>
            <w:sz w:val="24"/>
            <w:szCs w:val="24"/>
            <w:u w:val="single"/>
          </w:rPr>
          <w:t>https://doi.org/10.1002/bse.2359</w:t>
        </w:r>
      </w:hyperlink>
      <w:r>
        <w:rPr>
          <w:rFonts w:ascii="Times New Roman" w:eastAsia="Times New Roman" w:hAnsi="Times New Roman" w:cs="Times New Roman"/>
          <w:color w:val="000000"/>
          <w:sz w:val="24"/>
          <w:szCs w:val="24"/>
        </w:rPr>
        <w:t xml:space="preserve"> (Accessed: 15 June 2023).</w:t>
      </w:r>
    </w:p>
    <w:sectPr w:rsidR="00570E7D" w:rsidSect="000B2FC5">
      <w:footerReference w:type="default" r:id="rId4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4B339B" w14:textId="77777777" w:rsidR="00FF682C" w:rsidRDefault="00FF682C" w:rsidP="000B2FC5">
      <w:pPr>
        <w:spacing w:line="240" w:lineRule="auto"/>
      </w:pPr>
      <w:r>
        <w:separator/>
      </w:r>
    </w:p>
  </w:endnote>
  <w:endnote w:type="continuationSeparator" w:id="0">
    <w:p w14:paraId="4CAD6275" w14:textId="77777777" w:rsidR="00FF682C" w:rsidRDefault="00FF682C" w:rsidP="000B2F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498E0" w14:textId="77777777" w:rsidR="000B2FC5" w:rsidRDefault="002220A1">
    <w:pPr>
      <w:pBdr>
        <w:top w:val="nil"/>
        <w:left w:val="nil"/>
        <w:bottom w:val="nil"/>
        <w:right w:val="nil"/>
        <w:between w:val="nil"/>
      </w:pBdr>
      <w:tabs>
        <w:tab w:val="center" w:pos="4680"/>
        <w:tab w:val="right" w:pos="9360"/>
      </w:tabs>
      <w:spacing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Page </w:t>
    </w:r>
    <w:r w:rsidR="000B2FC5">
      <w:rPr>
        <w:rFonts w:ascii="Times New Roman" w:eastAsia="Times New Roman" w:hAnsi="Times New Roman" w:cs="Times New Roman"/>
        <w:b/>
        <w:color w:val="000000"/>
        <w:sz w:val="24"/>
        <w:szCs w:val="24"/>
      </w:rPr>
      <w:fldChar w:fldCharType="begin"/>
    </w:r>
    <w:r>
      <w:rPr>
        <w:rFonts w:ascii="Times New Roman" w:eastAsia="Times New Roman" w:hAnsi="Times New Roman" w:cs="Times New Roman"/>
        <w:b/>
        <w:color w:val="000000"/>
        <w:sz w:val="24"/>
        <w:szCs w:val="24"/>
      </w:rPr>
      <w:instrText>PAGE</w:instrText>
    </w:r>
    <w:r w:rsidR="000B2FC5">
      <w:rPr>
        <w:rFonts w:ascii="Times New Roman" w:eastAsia="Times New Roman" w:hAnsi="Times New Roman" w:cs="Times New Roman"/>
        <w:b/>
        <w:color w:val="000000"/>
        <w:sz w:val="24"/>
        <w:szCs w:val="24"/>
      </w:rPr>
      <w:fldChar w:fldCharType="separate"/>
    </w:r>
    <w:r w:rsidR="00347EFA">
      <w:rPr>
        <w:rFonts w:ascii="Times New Roman" w:eastAsia="Times New Roman" w:hAnsi="Times New Roman" w:cs="Times New Roman"/>
        <w:b/>
        <w:noProof/>
        <w:color w:val="000000"/>
        <w:sz w:val="24"/>
        <w:szCs w:val="24"/>
      </w:rPr>
      <w:t>4</w:t>
    </w:r>
    <w:r w:rsidR="000B2FC5">
      <w:rPr>
        <w:rFonts w:ascii="Times New Roman" w:eastAsia="Times New Roman" w:hAnsi="Times New Roman" w:cs="Times New Roman"/>
        <w:b/>
        <w:color w:val="000000"/>
        <w:sz w:val="24"/>
        <w:szCs w:val="24"/>
      </w:rPr>
      <w:fldChar w:fldCharType="end"/>
    </w:r>
    <w:r>
      <w:rPr>
        <w:rFonts w:ascii="Times New Roman" w:eastAsia="Times New Roman" w:hAnsi="Times New Roman" w:cs="Times New Roman"/>
        <w:color w:val="000000"/>
        <w:sz w:val="24"/>
        <w:szCs w:val="24"/>
      </w:rPr>
      <w:t xml:space="preserve"> of </w:t>
    </w:r>
    <w:r w:rsidR="000B2FC5">
      <w:rPr>
        <w:rFonts w:ascii="Times New Roman" w:eastAsia="Times New Roman" w:hAnsi="Times New Roman" w:cs="Times New Roman"/>
        <w:b/>
        <w:color w:val="000000"/>
        <w:sz w:val="24"/>
        <w:szCs w:val="24"/>
      </w:rPr>
      <w:fldChar w:fldCharType="begin"/>
    </w:r>
    <w:r>
      <w:rPr>
        <w:rFonts w:ascii="Times New Roman" w:eastAsia="Times New Roman" w:hAnsi="Times New Roman" w:cs="Times New Roman"/>
        <w:b/>
        <w:color w:val="000000"/>
        <w:sz w:val="24"/>
        <w:szCs w:val="24"/>
      </w:rPr>
      <w:instrText>NUMPAGES</w:instrText>
    </w:r>
    <w:r w:rsidR="000B2FC5">
      <w:rPr>
        <w:rFonts w:ascii="Times New Roman" w:eastAsia="Times New Roman" w:hAnsi="Times New Roman" w:cs="Times New Roman"/>
        <w:b/>
        <w:color w:val="000000"/>
        <w:sz w:val="24"/>
        <w:szCs w:val="24"/>
      </w:rPr>
      <w:fldChar w:fldCharType="separate"/>
    </w:r>
    <w:r w:rsidR="00347EFA">
      <w:rPr>
        <w:rFonts w:ascii="Times New Roman" w:eastAsia="Times New Roman" w:hAnsi="Times New Roman" w:cs="Times New Roman"/>
        <w:b/>
        <w:noProof/>
        <w:color w:val="000000"/>
        <w:sz w:val="24"/>
        <w:szCs w:val="24"/>
      </w:rPr>
      <w:t>16</w:t>
    </w:r>
    <w:r w:rsidR="000B2FC5">
      <w:rPr>
        <w:rFonts w:ascii="Times New Roman" w:eastAsia="Times New Roman" w:hAnsi="Times New Roman" w:cs="Times New Roman"/>
        <w:b/>
        <w:color w:val="000000"/>
        <w:sz w:val="24"/>
        <w:szCs w:val="24"/>
      </w:rPr>
      <w:fldChar w:fldCharType="end"/>
    </w:r>
  </w:p>
  <w:p w14:paraId="7559B2B9" w14:textId="77777777" w:rsidR="000B2FC5" w:rsidRDefault="000B2FC5">
    <w:pPr>
      <w:pBdr>
        <w:top w:val="nil"/>
        <w:left w:val="nil"/>
        <w:bottom w:val="nil"/>
        <w:right w:val="nil"/>
        <w:between w:val="nil"/>
      </w:pBd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0903E9" w14:textId="77777777" w:rsidR="00FF682C" w:rsidRDefault="00FF682C" w:rsidP="000B2FC5">
      <w:pPr>
        <w:spacing w:line="240" w:lineRule="auto"/>
      </w:pPr>
      <w:r>
        <w:separator/>
      </w:r>
    </w:p>
  </w:footnote>
  <w:footnote w:type="continuationSeparator" w:id="0">
    <w:p w14:paraId="3DC7D6A0" w14:textId="77777777" w:rsidR="00FF682C" w:rsidRDefault="00FF682C" w:rsidP="000B2FC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B2FC5"/>
    <w:rsid w:val="000B2FC5"/>
    <w:rsid w:val="00100DC5"/>
    <w:rsid w:val="002220A1"/>
    <w:rsid w:val="002C40BD"/>
    <w:rsid w:val="00347EFA"/>
    <w:rsid w:val="003E4529"/>
    <w:rsid w:val="00570E7D"/>
    <w:rsid w:val="00752DC0"/>
    <w:rsid w:val="00872904"/>
    <w:rsid w:val="00895B51"/>
    <w:rsid w:val="0092222E"/>
    <w:rsid w:val="009426F9"/>
    <w:rsid w:val="00D35D78"/>
    <w:rsid w:val="00D4180A"/>
    <w:rsid w:val="00FF682C"/>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23EDF"/>
  <w15:docId w15:val="{0B45E54D-2210-42DB-B20F-CA2BE0329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66CA"/>
  </w:style>
  <w:style w:type="paragraph" w:styleId="Heading1">
    <w:name w:val="heading 1"/>
    <w:basedOn w:val="normal0"/>
    <w:next w:val="normal0"/>
    <w:rsid w:val="00290418"/>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0"/>
    <w:next w:val="normal0"/>
    <w:rsid w:val="005D103F"/>
    <w:pPr>
      <w:keepNext/>
      <w:keepLines/>
      <w:spacing w:before="360" w:after="120"/>
      <w:outlineLvl w:val="1"/>
    </w:pPr>
    <w:rPr>
      <w:sz w:val="32"/>
      <w:szCs w:val="32"/>
    </w:rPr>
  </w:style>
  <w:style w:type="paragraph" w:styleId="Heading3">
    <w:name w:val="heading 3"/>
    <w:basedOn w:val="normal0"/>
    <w:next w:val="normal0"/>
    <w:rsid w:val="005D103F"/>
    <w:pPr>
      <w:keepNext/>
      <w:keepLines/>
      <w:spacing w:before="320" w:after="80"/>
      <w:outlineLvl w:val="2"/>
    </w:pPr>
    <w:rPr>
      <w:color w:val="434343"/>
      <w:sz w:val="28"/>
      <w:szCs w:val="28"/>
    </w:rPr>
  </w:style>
  <w:style w:type="paragraph" w:styleId="Heading4">
    <w:name w:val="heading 4"/>
    <w:basedOn w:val="normal0"/>
    <w:next w:val="normal0"/>
    <w:rsid w:val="005D103F"/>
    <w:pPr>
      <w:keepNext/>
      <w:keepLines/>
      <w:spacing w:before="280" w:after="80"/>
      <w:outlineLvl w:val="3"/>
    </w:pPr>
    <w:rPr>
      <w:color w:val="666666"/>
      <w:sz w:val="24"/>
      <w:szCs w:val="24"/>
    </w:rPr>
  </w:style>
  <w:style w:type="paragraph" w:styleId="Heading5">
    <w:name w:val="heading 5"/>
    <w:basedOn w:val="normal0"/>
    <w:next w:val="normal0"/>
    <w:rsid w:val="005D103F"/>
    <w:pPr>
      <w:keepNext/>
      <w:keepLines/>
      <w:spacing w:before="240" w:after="80"/>
      <w:outlineLvl w:val="4"/>
    </w:pPr>
    <w:rPr>
      <w:color w:val="666666"/>
    </w:rPr>
  </w:style>
  <w:style w:type="paragraph" w:styleId="Heading6">
    <w:name w:val="heading 6"/>
    <w:basedOn w:val="normal0"/>
    <w:next w:val="normal0"/>
    <w:rsid w:val="005D103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B2FC5"/>
  </w:style>
  <w:style w:type="paragraph" w:styleId="Title">
    <w:name w:val="Title"/>
    <w:basedOn w:val="normal0"/>
    <w:next w:val="normal0"/>
    <w:rsid w:val="005D103F"/>
    <w:pPr>
      <w:keepNext/>
      <w:keepLines/>
      <w:spacing w:after="60"/>
    </w:pPr>
    <w:rPr>
      <w:sz w:val="52"/>
      <w:szCs w:val="52"/>
    </w:rPr>
  </w:style>
  <w:style w:type="paragraph" w:customStyle="1" w:styleId="Normal2">
    <w:name w:val="Normal2"/>
    <w:rsid w:val="000966CA"/>
  </w:style>
  <w:style w:type="paragraph" w:customStyle="1" w:styleId="normal0">
    <w:name w:val="normal_0"/>
    <w:rsid w:val="005D103F"/>
  </w:style>
  <w:style w:type="paragraph" w:styleId="Subtitle">
    <w:name w:val="Subtitle"/>
    <w:basedOn w:val="Normal"/>
    <w:next w:val="Normal"/>
    <w:rsid w:val="000B2FC5"/>
    <w:pPr>
      <w:keepNext/>
      <w:keepLines/>
      <w:pBdr>
        <w:top w:val="nil"/>
        <w:left w:val="nil"/>
        <w:bottom w:val="nil"/>
        <w:right w:val="nil"/>
        <w:between w:val="nil"/>
      </w:pBdr>
      <w:spacing w:after="320"/>
    </w:pPr>
    <w:rPr>
      <w:color w:val="666666"/>
      <w:sz w:val="30"/>
      <w:szCs w:val="30"/>
    </w:rPr>
  </w:style>
  <w:style w:type="paragraph" w:styleId="BalloonText">
    <w:name w:val="Balloon Text"/>
    <w:basedOn w:val="Normal"/>
    <w:link w:val="BalloonTextChar"/>
    <w:uiPriority w:val="99"/>
    <w:semiHidden/>
    <w:unhideWhenUsed/>
    <w:rsid w:val="00506AD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6AD4"/>
    <w:rPr>
      <w:rFonts w:ascii="Tahoma" w:hAnsi="Tahoma" w:cs="Tahoma"/>
      <w:sz w:val="16"/>
      <w:szCs w:val="16"/>
    </w:rPr>
  </w:style>
  <w:style w:type="paragraph" w:styleId="TOCHeading">
    <w:name w:val="TOC Heading"/>
    <w:basedOn w:val="Heading1"/>
    <w:next w:val="Normal"/>
    <w:uiPriority w:val="39"/>
    <w:semiHidden/>
    <w:unhideWhenUsed/>
    <w:qFormat/>
    <w:rsid w:val="00290418"/>
    <w:pPr>
      <w:spacing w:before="480" w:after="0"/>
      <w:outlineLvl w:val="9"/>
    </w:pPr>
    <w:rPr>
      <w:rFonts w:asciiTheme="majorHAnsi" w:eastAsiaTheme="majorEastAsia" w:hAnsiTheme="majorHAnsi" w:cstheme="majorBidi"/>
      <w:b w:val="0"/>
      <w:bCs/>
      <w:color w:val="365F91" w:themeColor="accent1" w:themeShade="BF"/>
      <w:szCs w:val="28"/>
    </w:rPr>
  </w:style>
  <w:style w:type="paragraph" w:styleId="TOC1">
    <w:name w:val="toc 1"/>
    <w:basedOn w:val="Normal"/>
    <w:next w:val="Normal"/>
    <w:autoRedefine/>
    <w:uiPriority w:val="39"/>
    <w:unhideWhenUsed/>
    <w:rsid w:val="00705CAE"/>
    <w:pPr>
      <w:spacing w:after="100"/>
    </w:pPr>
  </w:style>
  <w:style w:type="character" w:styleId="Hyperlink">
    <w:name w:val="Hyperlink"/>
    <w:basedOn w:val="DefaultParagraphFont"/>
    <w:uiPriority w:val="99"/>
    <w:unhideWhenUsed/>
    <w:rsid w:val="00705CAE"/>
    <w:rPr>
      <w:color w:val="0000FF" w:themeColor="hyperlink"/>
      <w:u w:val="single"/>
    </w:rPr>
  </w:style>
  <w:style w:type="paragraph" w:styleId="Header">
    <w:name w:val="header"/>
    <w:basedOn w:val="Normal"/>
    <w:link w:val="HeaderChar"/>
    <w:uiPriority w:val="99"/>
    <w:semiHidden/>
    <w:unhideWhenUsed/>
    <w:rsid w:val="00B54EA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B54EA9"/>
  </w:style>
  <w:style w:type="paragraph" w:styleId="Footer">
    <w:name w:val="footer"/>
    <w:basedOn w:val="Normal"/>
    <w:link w:val="FooterChar"/>
    <w:uiPriority w:val="99"/>
    <w:unhideWhenUsed/>
    <w:rsid w:val="00B54EA9"/>
    <w:pPr>
      <w:tabs>
        <w:tab w:val="center" w:pos="4680"/>
        <w:tab w:val="right" w:pos="9360"/>
      </w:tabs>
      <w:spacing w:line="240" w:lineRule="auto"/>
    </w:pPr>
  </w:style>
  <w:style w:type="character" w:customStyle="1" w:styleId="FooterChar">
    <w:name w:val="Footer Char"/>
    <w:basedOn w:val="DefaultParagraphFont"/>
    <w:link w:val="Footer"/>
    <w:uiPriority w:val="99"/>
    <w:rsid w:val="00B54E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doi.org/10.1371/journal.pone.0266364" TargetMode="External"/><Relationship Id="rId18" Type="http://schemas.openxmlformats.org/officeDocument/2006/relationships/hyperlink" Target="https://doi.org/10.1080/14719037.2019.1645876" TargetMode="External"/><Relationship Id="rId26" Type="http://schemas.openxmlformats.org/officeDocument/2006/relationships/hyperlink" Target="https://doi.org/10.1080/14719037.2019.1638439" TargetMode="External"/><Relationship Id="rId39" Type="http://schemas.openxmlformats.org/officeDocument/2006/relationships/hyperlink" Target="https://doi.org/10.1002/bse.2359" TargetMode="External"/><Relationship Id="rId21" Type="http://schemas.openxmlformats.org/officeDocument/2006/relationships/hyperlink" Target="https://doi.org/10.1108/REPS-07-2018-002" TargetMode="External"/><Relationship Id="rId34" Type="http://schemas.openxmlformats.org/officeDocument/2006/relationships/hyperlink" Target="https://doi.org/10.1016/j.ijhm.2019.102392" TargetMode="External"/><Relationship Id="rId42"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1080/14719037.2019.1695880" TargetMode="External"/><Relationship Id="rId20" Type="http://schemas.openxmlformats.org/officeDocument/2006/relationships/hyperlink" Target="https://doi.org/10.1108/IJPPM-01-2018-0012" TargetMode="External"/><Relationship Id="rId29" Type="http://schemas.openxmlformats.org/officeDocument/2006/relationships/hyperlink" Target="http://dx.doi.org/10.5267/j.msl.2019.3.011"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16/j.iedeen.2020.04.002" TargetMode="External"/><Relationship Id="rId24" Type="http://schemas.openxmlformats.org/officeDocument/2006/relationships/hyperlink" Target="https://doi.org/10.1108/JAMR-11-2017-0104" TargetMode="External"/><Relationship Id="rId32" Type="http://schemas.openxmlformats.org/officeDocument/2006/relationships/hyperlink" Target="https://doi.org/10.1108/ER-02-2018-0053" TargetMode="External"/><Relationship Id="rId37" Type="http://schemas.openxmlformats.org/officeDocument/2006/relationships/hyperlink" Target="https://doi.org/10.1007/s10916-019-1419-x"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doi.org/10.1177/0734371X18773492" TargetMode="External"/><Relationship Id="rId23" Type="http://schemas.openxmlformats.org/officeDocument/2006/relationships/hyperlink" Target="https://doi.org/10.3390/su11205782" TargetMode="External"/><Relationship Id="rId28" Type="http://schemas.openxmlformats.org/officeDocument/2006/relationships/hyperlink" Target="https://doi.org/10.1057/978-1-137-55269-3_12" TargetMode="External"/><Relationship Id="rId36" Type="http://schemas.openxmlformats.org/officeDocument/2006/relationships/hyperlink" Target="https://doi.org/10.1088/1742-6596/953/1/012157" TargetMode="External"/><Relationship Id="rId10" Type="http://schemas.openxmlformats.org/officeDocument/2006/relationships/hyperlink" Target="https://doi.org/10.1016/j.iedeen.2020.04.002" TargetMode="External"/><Relationship Id="rId19" Type="http://schemas.openxmlformats.org/officeDocument/2006/relationships/hyperlink" Target="https://doi.org/10.1080/14719037.2019.1645876" TargetMode="External"/><Relationship Id="rId31" Type="http://schemas.openxmlformats.org/officeDocument/2006/relationships/hyperlink" Target="https://doi.org/10.1108/SRJ-12-2019-0403" TargetMode="External"/><Relationship Id="rId4" Type="http://schemas.openxmlformats.org/officeDocument/2006/relationships/webSettings" Target="webSettings.xml"/><Relationship Id="rId9" Type="http://schemas.openxmlformats.org/officeDocument/2006/relationships/hyperlink" Target="https://doi.org/10.1016/j.jclepro.2019.118458" TargetMode="External"/><Relationship Id="rId14" Type="http://schemas.openxmlformats.org/officeDocument/2006/relationships/hyperlink" Target="https://doi.org/10.1177/0734371X18773492" TargetMode="External"/><Relationship Id="rId22" Type="http://schemas.openxmlformats.org/officeDocument/2006/relationships/hyperlink" Target="https://doi.org/10.1108/REPS-07-2018-002" TargetMode="External"/><Relationship Id="rId27" Type="http://schemas.openxmlformats.org/officeDocument/2006/relationships/hyperlink" Target="https://doi.org/10.1057/978-1-137-55269-3_12" TargetMode="External"/><Relationship Id="rId30" Type="http://schemas.openxmlformats.org/officeDocument/2006/relationships/hyperlink" Target="https://doi.org/10.1108/EBR-02-2019-0021" TargetMode="External"/><Relationship Id="rId35" Type="http://schemas.openxmlformats.org/officeDocument/2006/relationships/hyperlink" Target="https://doi.org/10.1088/1742-6596/953/1/012157"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doi.org/10.13106/jafeb.2021.vol8.no1.519" TargetMode="External"/><Relationship Id="rId17" Type="http://schemas.openxmlformats.org/officeDocument/2006/relationships/hyperlink" Target="https://doi.org/10.1080/14719037.2019.1695880" TargetMode="External"/><Relationship Id="rId25" Type="http://schemas.openxmlformats.org/officeDocument/2006/relationships/hyperlink" Target="https://doi.org/10.1080/14719037.2019.1638439" TargetMode="External"/><Relationship Id="rId33" Type="http://schemas.openxmlformats.org/officeDocument/2006/relationships/hyperlink" Target="https://doi.org/10.3390/ijerph16101792" TargetMode="External"/><Relationship Id="rId38" Type="http://schemas.openxmlformats.org/officeDocument/2006/relationships/hyperlink" Target="https://doi.org/10.3390/su110306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4gDm5FD7zGHUw/93h+9yYimrcIw==">CgMxLjAyCGguZ2pkZ3hzMgloLjMwajB6bGwyCWguMWZvYjl0ZTIJaC4zem55c2g3MgloLjJldDkycDAyCGgudHlqY3d0MgloLjNkeTZ2a20yCWguMXQzaDVzZjgAciExbGh3SXZwQ2JRcWxRRXI3c3NCNllpWEJaTEhlU2psZ2g=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4200</Words>
  <Characters>23942</Characters>
  <Application>Microsoft Office Word</Application>
  <DocSecurity>0</DocSecurity>
  <Lines>199</Lines>
  <Paragraphs>56</Paragraphs>
  <ScaleCrop>false</ScaleCrop>
  <Company/>
  <LinksUpToDate>false</LinksUpToDate>
  <CharactersWithSpaces>28086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Mishab</dc:creator>
  <cp:lastModifiedBy>Mohammed Iqbal ARIKKARA</cp:lastModifiedBy>
  <cp:revision>3</cp:revision>
  <dcterms:created xsi:type="dcterms:W3CDTF">2023-06-22T14:31:00Z</dcterms:created>
  <dcterms:modified xsi:type="dcterms:W3CDTF">2023-06-22T14:35:00Z</dcterms:modified>
</cp:coreProperties>
</file>