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E6814" w14:textId="334C6966" w:rsidR="005B0FAA" w:rsidRPr="00FC492A" w:rsidRDefault="00B63F01" w:rsidP="00652ABF">
      <w:pPr>
        <w:pStyle w:val="paragraph"/>
        <w:spacing w:before="0" w:beforeAutospacing="0" w:after="0" w:afterAutospacing="0"/>
        <w:textAlignment w:val="baseline"/>
        <w:rPr>
          <w:rStyle w:val="eop"/>
          <w:rFonts w:ascii="Segoe UI" w:hAnsi="Segoe UI" w:cs="Segoe UI"/>
          <w:b/>
          <w:bCs/>
          <w:color w:val="000000" w:themeColor="text1"/>
          <w:sz w:val="32"/>
          <w:szCs w:val="32"/>
        </w:rPr>
      </w:pPr>
      <w:r w:rsidRPr="00474F76">
        <w:rPr>
          <w:rStyle w:val="eop"/>
          <w:rFonts w:ascii="Arial" w:hAnsi="Arial" w:cs="Arial"/>
          <w:b/>
          <w:bCs/>
          <w:color w:val="000000" w:themeColor="text1"/>
          <w:sz w:val="32"/>
          <w:szCs w:val="32"/>
        </w:rPr>
        <w:t>Introduction</w:t>
      </w:r>
    </w:p>
    <w:p w14:paraId="13270F89" w14:textId="70374845" w:rsidR="003D4D44" w:rsidRPr="004272E5" w:rsidRDefault="004272E5" w:rsidP="004272E5">
      <w:pPr>
        <w:pStyle w:val="paragraph"/>
        <w:spacing w:before="0" w:beforeAutospacing="0" w:after="0" w:afterAutospacing="0"/>
        <w:textAlignment w:val="baseline"/>
        <w:rPr>
          <w:rStyle w:val="eop"/>
          <w:rFonts w:ascii="Arial" w:hAnsi="Arial" w:cs="Arial"/>
        </w:rPr>
      </w:pPr>
      <w:r>
        <w:rPr>
          <w:rStyle w:val="eop"/>
          <w:rFonts w:ascii="Arial" w:hAnsi="Arial" w:cs="Arial"/>
        </w:rPr>
        <w:t>This essay is going to discuss t</w:t>
      </w:r>
      <w:r w:rsidR="005B0FAA">
        <w:rPr>
          <w:rStyle w:val="eop"/>
          <w:rFonts w:ascii="Arial" w:hAnsi="Arial" w:cs="Arial"/>
        </w:rPr>
        <w:t>he Homicide Act 1957</w:t>
      </w:r>
      <w:r>
        <w:rPr>
          <w:rStyle w:val="eop"/>
          <w:rFonts w:ascii="Arial" w:hAnsi="Arial" w:cs="Arial"/>
        </w:rPr>
        <w:t>, explaining what it is</w:t>
      </w:r>
      <w:r w:rsidR="00FC492A">
        <w:rPr>
          <w:rStyle w:val="eop"/>
          <w:rFonts w:ascii="Arial" w:hAnsi="Arial" w:cs="Arial"/>
        </w:rPr>
        <w:t xml:space="preserve"> and why there was a need for change in the way it was seen and looked at by trialists and the jury. </w:t>
      </w:r>
      <w:r w:rsidR="00FC492A">
        <w:rPr>
          <w:rStyle w:val="eop"/>
          <w:rFonts w:ascii="Arial" w:hAnsi="Arial" w:cs="Arial"/>
        </w:rPr>
        <w:t>In addition, the essay will talk about</w:t>
      </w:r>
      <w:r w:rsidR="00FC492A">
        <w:rPr>
          <w:rStyle w:val="eop"/>
          <w:rFonts w:ascii="Arial" w:hAnsi="Arial" w:cs="Arial"/>
        </w:rPr>
        <w:t xml:space="preserve"> t</w:t>
      </w:r>
      <w:r w:rsidR="005B0FAA">
        <w:rPr>
          <w:rStyle w:val="eop"/>
          <w:rFonts w:ascii="Arial" w:hAnsi="Arial" w:cs="Arial"/>
        </w:rPr>
        <w:t xml:space="preserve">he change </w:t>
      </w:r>
      <w:r w:rsidR="00FC492A">
        <w:rPr>
          <w:rStyle w:val="eop"/>
          <w:rFonts w:ascii="Arial" w:hAnsi="Arial" w:cs="Arial"/>
        </w:rPr>
        <w:t xml:space="preserve">that was in place in which was the </w:t>
      </w:r>
      <w:r w:rsidR="005B0FAA">
        <w:rPr>
          <w:rStyle w:val="eop"/>
          <w:rFonts w:ascii="Arial" w:hAnsi="Arial" w:cs="Arial"/>
        </w:rPr>
        <w:t>Coroners and Justice Act 2009</w:t>
      </w:r>
      <w:r w:rsidR="00FC492A">
        <w:rPr>
          <w:rStyle w:val="eop"/>
          <w:rFonts w:ascii="Arial" w:hAnsi="Arial" w:cs="Arial"/>
        </w:rPr>
        <w:t>. Finally, we will also discuss the question, ‘</w:t>
      </w:r>
      <w:r w:rsidR="005B0FAA">
        <w:rPr>
          <w:rStyle w:val="eop"/>
          <w:rFonts w:ascii="Arial" w:hAnsi="Arial" w:cs="Arial"/>
        </w:rPr>
        <w:t>What is a mental Disorder</w:t>
      </w:r>
      <w:r w:rsidR="00FC492A">
        <w:rPr>
          <w:rStyle w:val="eop"/>
          <w:rFonts w:ascii="Arial" w:hAnsi="Arial" w:cs="Arial"/>
        </w:rPr>
        <w:t>? As</w:t>
      </w:r>
      <w:r w:rsidR="005B0FAA">
        <w:rPr>
          <w:rStyle w:val="eop"/>
          <w:rFonts w:ascii="Arial" w:hAnsi="Arial" w:cs="Arial"/>
        </w:rPr>
        <w:t xml:space="preserve"> this was a new requirement after the change</w:t>
      </w:r>
      <w:r w:rsidR="00FC492A">
        <w:rPr>
          <w:rStyle w:val="eop"/>
          <w:rFonts w:ascii="Arial" w:hAnsi="Arial" w:cs="Arial"/>
        </w:rPr>
        <w:t xml:space="preserve"> and is of great importance to whether the change had the impact that people thought it did.</w:t>
      </w:r>
    </w:p>
    <w:p w14:paraId="5CF49E5C" w14:textId="77777777" w:rsidR="00E1019F" w:rsidRPr="00E1019F" w:rsidRDefault="00E1019F" w:rsidP="00652ABF">
      <w:pPr>
        <w:pStyle w:val="paragraph"/>
        <w:spacing w:before="0" w:beforeAutospacing="0" w:after="0" w:afterAutospacing="0"/>
        <w:textAlignment w:val="baseline"/>
        <w:rPr>
          <w:rStyle w:val="eop"/>
          <w:rFonts w:ascii="Arial" w:hAnsi="Arial" w:cs="Arial"/>
        </w:rPr>
      </w:pPr>
    </w:p>
    <w:p w14:paraId="79F67873" w14:textId="29865BCC" w:rsidR="00B63F01" w:rsidRPr="00474F76" w:rsidRDefault="00B63F01" w:rsidP="00652ABF">
      <w:pPr>
        <w:pStyle w:val="paragraph"/>
        <w:spacing w:before="0" w:beforeAutospacing="0" w:after="0" w:afterAutospacing="0"/>
        <w:textAlignment w:val="baseline"/>
        <w:rPr>
          <w:rStyle w:val="eop"/>
          <w:rFonts w:ascii="Arial" w:hAnsi="Arial" w:cs="Arial"/>
          <w:b/>
          <w:bCs/>
          <w:color w:val="000000" w:themeColor="text1"/>
          <w:sz w:val="32"/>
          <w:szCs w:val="32"/>
        </w:rPr>
      </w:pPr>
      <w:r w:rsidRPr="00474F76">
        <w:rPr>
          <w:rStyle w:val="eop"/>
          <w:rFonts w:ascii="Arial" w:hAnsi="Arial" w:cs="Arial"/>
          <w:b/>
          <w:bCs/>
          <w:color w:val="000000" w:themeColor="text1"/>
          <w:sz w:val="32"/>
          <w:szCs w:val="32"/>
        </w:rPr>
        <w:t xml:space="preserve">The Homicide Act </w:t>
      </w:r>
      <w:r w:rsidR="00D9475E" w:rsidRPr="00474F76">
        <w:rPr>
          <w:rStyle w:val="eop"/>
          <w:rFonts w:ascii="Arial" w:hAnsi="Arial" w:cs="Arial"/>
          <w:b/>
          <w:bCs/>
          <w:color w:val="000000" w:themeColor="text1"/>
          <w:sz w:val="32"/>
          <w:szCs w:val="32"/>
        </w:rPr>
        <w:t>(</w:t>
      </w:r>
      <w:r w:rsidRPr="00474F76">
        <w:rPr>
          <w:rStyle w:val="eop"/>
          <w:rFonts w:ascii="Arial" w:hAnsi="Arial" w:cs="Arial"/>
          <w:b/>
          <w:bCs/>
          <w:color w:val="000000" w:themeColor="text1"/>
          <w:sz w:val="32"/>
          <w:szCs w:val="32"/>
        </w:rPr>
        <w:t>1957</w:t>
      </w:r>
      <w:r w:rsidR="00D9475E" w:rsidRPr="00474F76">
        <w:rPr>
          <w:rStyle w:val="eop"/>
          <w:rFonts w:ascii="Arial" w:hAnsi="Arial" w:cs="Arial"/>
          <w:b/>
          <w:bCs/>
          <w:color w:val="000000" w:themeColor="text1"/>
          <w:sz w:val="32"/>
          <w:szCs w:val="32"/>
        </w:rPr>
        <w:t>)</w:t>
      </w:r>
    </w:p>
    <w:p w14:paraId="7E4A7DC2" w14:textId="56E608B7" w:rsidR="000930E9" w:rsidRPr="00B41DE0" w:rsidRDefault="000D7B52" w:rsidP="00E1019F">
      <w:pPr>
        <w:pStyle w:val="paragraph"/>
        <w:spacing w:before="0" w:beforeAutospacing="0" w:after="240" w:afterAutospacing="0"/>
        <w:textAlignment w:val="baseline"/>
        <w:rPr>
          <w:rStyle w:val="eop"/>
          <w:rFonts w:ascii="Arial" w:hAnsi="Arial" w:cs="Arial"/>
        </w:rPr>
      </w:pPr>
      <w:r w:rsidRPr="0051259A">
        <w:rPr>
          <w:rStyle w:val="eop"/>
          <w:rFonts w:ascii="Arial" w:hAnsi="Arial" w:cs="Arial"/>
        </w:rPr>
        <w:t>According to legislation.gov.uk</w:t>
      </w:r>
      <w:r w:rsidR="00D71460">
        <w:rPr>
          <w:rStyle w:val="eop"/>
          <w:rFonts w:ascii="Arial" w:hAnsi="Arial" w:cs="Arial"/>
        </w:rPr>
        <w:t>,</w:t>
      </w:r>
      <w:r w:rsidRPr="0051259A">
        <w:rPr>
          <w:rStyle w:val="eop"/>
          <w:rFonts w:ascii="Arial" w:hAnsi="Arial" w:cs="Arial"/>
        </w:rPr>
        <w:t xml:space="preserve"> </w:t>
      </w:r>
      <w:r w:rsidR="00D71460">
        <w:rPr>
          <w:rStyle w:val="eop"/>
          <w:rFonts w:ascii="Arial" w:hAnsi="Arial" w:cs="Arial"/>
        </w:rPr>
        <w:t>s</w:t>
      </w:r>
      <w:r w:rsidRPr="0051259A">
        <w:rPr>
          <w:rStyle w:val="eop"/>
          <w:rFonts w:ascii="Arial" w:hAnsi="Arial" w:cs="Arial"/>
        </w:rPr>
        <w:t>ection 2 of The Homicide Act 1957 talks about a person suffering from diminished responsibility</w:t>
      </w:r>
      <w:r w:rsidR="000930E9">
        <w:rPr>
          <w:rStyle w:val="eop"/>
          <w:rFonts w:ascii="Arial" w:hAnsi="Arial" w:cs="Arial"/>
        </w:rPr>
        <w:t>:</w:t>
      </w:r>
    </w:p>
    <w:p w14:paraId="21061DCA" w14:textId="77777777" w:rsidR="000930E9" w:rsidRDefault="000D7B52" w:rsidP="00E1019F">
      <w:pPr>
        <w:pStyle w:val="paragraph"/>
        <w:spacing w:before="0" w:beforeAutospacing="0" w:after="240" w:afterAutospacing="0"/>
        <w:jc w:val="center"/>
        <w:textAlignment w:val="baseline"/>
        <w:rPr>
          <w:rFonts w:ascii="Arial" w:hAnsi="Arial" w:cs="Arial"/>
          <w:color w:val="000000"/>
          <w:shd w:val="clear" w:color="auto" w:fill="FFFFFF"/>
        </w:rPr>
      </w:pPr>
      <w:r w:rsidRPr="0051259A">
        <w:rPr>
          <w:rStyle w:val="eop"/>
          <w:rFonts w:ascii="Arial" w:hAnsi="Arial" w:cs="Arial"/>
          <w:i/>
          <w:iCs/>
        </w:rPr>
        <w:t>“</w:t>
      </w:r>
      <w:r w:rsidRPr="0051259A">
        <w:rPr>
          <w:rFonts w:ascii="Arial" w:hAnsi="Arial" w:cs="Arial"/>
          <w:i/>
          <w:iCs/>
          <w:color w:val="000000"/>
          <w:shd w:val="clear" w:color="auto" w:fill="FFFFFF"/>
        </w:rPr>
        <w:t>Where a person kills or is a party to the killing of another, 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w:t>
      </w:r>
      <w:r w:rsidRPr="0051259A">
        <w:rPr>
          <w:rFonts w:ascii="Arial" w:hAnsi="Arial" w:cs="Arial"/>
          <w:color w:val="000000"/>
          <w:shd w:val="clear" w:color="auto" w:fill="FFFFFF"/>
        </w:rPr>
        <w:t>.”</w:t>
      </w:r>
    </w:p>
    <w:p w14:paraId="1F0DDFC9" w14:textId="233DF955" w:rsidR="00E36FB7" w:rsidRDefault="000D7B52" w:rsidP="00652ABF">
      <w:pPr>
        <w:pStyle w:val="paragraph"/>
        <w:spacing w:before="0" w:beforeAutospacing="0" w:after="0" w:afterAutospacing="0"/>
        <w:textAlignment w:val="baseline"/>
        <w:rPr>
          <w:rFonts w:ascii="Arial" w:hAnsi="Arial" w:cs="Arial"/>
          <w:color w:val="000000"/>
          <w:shd w:val="clear" w:color="auto" w:fill="FFFFFF"/>
        </w:rPr>
      </w:pPr>
      <w:r w:rsidRPr="0051259A">
        <w:rPr>
          <w:rFonts w:ascii="Arial" w:hAnsi="Arial" w:cs="Arial"/>
          <w:color w:val="000000"/>
          <w:shd w:val="clear" w:color="auto" w:fill="FFFFFF"/>
        </w:rPr>
        <w:t>Subsection 3</w:t>
      </w:r>
      <w:r w:rsidR="000930E9">
        <w:rPr>
          <w:rFonts w:ascii="Arial" w:hAnsi="Arial" w:cs="Arial"/>
          <w:color w:val="000000"/>
          <w:shd w:val="clear" w:color="auto" w:fill="FFFFFF"/>
        </w:rPr>
        <w:t xml:space="preserve"> then</w:t>
      </w:r>
      <w:r w:rsidRPr="0051259A">
        <w:rPr>
          <w:rFonts w:ascii="Arial" w:hAnsi="Arial" w:cs="Arial"/>
          <w:color w:val="000000"/>
          <w:shd w:val="clear" w:color="auto" w:fill="FFFFFF"/>
        </w:rPr>
        <w:t xml:space="preserve"> states if </w:t>
      </w:r>
      <w:r w:rsidR="00940F40">
        <w:rPr>
          <w:rFonts w:ascii="Arial" w:hAnsi="Arial" w:cs="Arial"/>
          <w:color w:val="000000"/>
          <w:shd w:val="clear" w:color="auto" w:fill="FFFFFF"/>
        </w:rPr>
        <w:t xml:space="preserve">the </w:t>
      </w:r>
      <w:r w:rsidR="00B63F01" w:rsidRPr="0051259A">
        <w:rPr>
          <w:rFonts w:ascii="Arial" w:hAnsi="Arial" w:cs="Arial"/>
          <w:color w:val="000000"/>
          <w:shd w:val="clear" w:color="auto" w:fill="FFFFFF"/>
        </w:rPr>
        <w:t xml:space="preserve">defendant is successful within using </w:t>
      </w:r>
      <w:r w:rsidR="00870626">
        <w:rPr>
          <w:rFonts w:ascii="Arial" w:hAnsi="Arial" w:cs="Arial"/>
          <w:color w:val="000000"/>
          <w:shd w:val="clear" w:color="auto" w:fill="FFFFFF"/>
        </w:rPr>
        <w:t>diminished responsibility</w:t>
      </w:r>
      <w:r w:rsidR="00B63F01" w:rsidRPr="0051259A">
        <w:rPr>
          <w:rFonts w:ascii="Arial" w:hAnsi="Arial" w:cs="Arial"/>
          <w:color w:val="000000"/>
          <w:shd w:val="clear" w:color="auto" w:fill="FFFFFF"/>
        </w:rPr>
        <w:t xml:space="preserve"> as a defence, they are liable for a conviction of manslaughter instead of murder.</w:t>
      </w:r>
    </w:p>
    <w:p w14:paraId="1B92FC6F" w14:textId="70EAFDE5" w:rsidR="00A33A60" w:rsidRDefault="00A33A60" w:rsidP="00652ABF">
      <w:pPr>
        <w:pStyle w:val="paragraph"/>
        <w:spacing w:before="0" w:beforeAutospacing="0" w:after="0" w:afterAutospacing="0"/>
        <w:textAlignment w:val="baseline"/>
        <w:rPr>
          <w:rFonts w:ascii="Arial" w:hAnsi="Arial" w:cs="Arial"/>
          <w:color w:val="000000"/>
          <w:shd w:val="clear" w:color="auto" w:fill="FFFFFF"/>
        </w:rPr>
      </w:pPr>
    </w:p>
    <w:p w14:paraId="690C4CE7" w14:textId="77777777" w:rsidR="00A33A60" w:rsidRPr="0051259A" w:rsidRDefault="00A33A60" w:rsidP="00A33A60">
      <w:pPr>
        <w:pStyle w:val="paragraph"/>
        <w:spacing w:before="0" w:beforeAutospacing="0" w:after="0" w:afterAutospacing="0"/>
        <w:textAlignment w:val="baseline"/>
        <w:rPr>
          <w:rFonts w:ascii="Arial" w:hAnsi="Arial" w:cs="Arial"/>
          <w:sz w:val="18"/>
          <w:szCs w:val="18"/>
        </w:rPr>
      </w:pPr>
      <w:r w:rsidRPr="0051259A">
        <w:rPr>
          <w:rStyle w:val="normaltextrun"/>
          <w:rFonts w:ascii="Arial" w:hAnsi="Arial" w:cs="Arial"/>
        </w:rPr>
        <w:t xml:space="preserve">According to Ashmans Solicitors (2022), diminished responsibility is a </w:t>
      </w:r>
      <w:r w:rsidRPr="0051259A">
        <w:rPr>
          <w:rStyle w:val="normaltextrun"/>
          <w:rFonts w:ascii="Arial" w:hAnsi="Arial" w:cs="Arial"/>
          <w:i/>
          <w:iCs/>
        </w:rPr>
        <w:t>“</w:t>
      </w:r>
      <w:r w:rsidRPr="00D71460">
        <w:rPr>
          <w:rStyle w:val="normaltextrun"/>
          <w:rFonts w:ascii="Arial" w:hAnsi="Arial" w:cs="Arial"/>
        </w:rPr>
        <w:t>partial defence to murder</w:t>
      </w:r>
      <w:r w:rsidRPr="0051259A">
        <w:rPr>
          <w:rStyle w:val="normaltextrun"/>
          <w:rFonts w:ascii="Arial" w:hAnsi="Arial" w:cs="Arial"/>
        </w:rPr>
        <w:t>” this essentially means that the defendant was suffering from an abnormality of mind, creating a loss of control in the way in which they were acting. If the jury of the case accepts this defence, the charge of murder must then be downgraded to a charge that of voluntary manslaughter. This only applies to a murder case not an attempted murder case. </w:t>
      </w:r>
      <w:r w:rsidRPr="0051259A">
        <w:rPr>
          <w:rStyle w:val="eop"/>
          <w:rFonts w:ascii="Arial" w:hAnsi="Arial" w:cs="Arial"/>
        </w:rPr>
        <w:t> </w:t>
      </w:r>
    </w:p>
    <w:p w14:paraId="17EF2884" w14:textId="77777777" w:rsidR="00A33A60" w:rsidRPr="0051259A" w:rsidRDefault="00A33A60" w:rsidP="00A33A60">
      <w:pPr>
        <w:pStyle w:val="paragraph"/>
        <w:spacing w:before="0" w:beforeAutospacing="0" w:after="0" w:afterAutospacing="0"/>
        <w:textAlignment w:val="baseline"/>
        <w:rPr>
          <w:rFonts w:ascii="Arial" w:hAnsi="Arial" w:cs="Arial"/>
          <w:sz w:val="18"/>
          <w:szCs w:val="18"/>
        </w:rPr>
      </w:pPr>
      <w:r w:rsidRPr="0051259A">
        <w:rPr>
          <w:rStyle w:val="eop"/>
          <w:rFonts w:ascii="Arial" w:hAnsi="Arial" w:cs="Arial"/>
        </w:rPr>
        <w:t> </w:t>
      </w:r>
    </w:p>
    <w:p w14:paraId="02EF273A" w14:textId="291B8609" w:rsidR="00B302C9" w:rsidRPr="00FC492A" w:rsidRDefault="00A33A60" w:rsidP="00652ABF">
      <w:pPr>
        <w:pStyle w:val="paragraph"/>
        <w:spacing w:before="0" w:beforeAutospacing="0" w:after="0" w:afterAutospacing="0"/>
        <w:textAlignment w:val="baseline"/>
        <w:rPr>
          <w:rFonts w:ascii="Arial" w:hAnsi="Arial" w:cs="Arial"/>
        </w:rPr>
      </w:pPr>
      <w:r w:rsidRPr="0051259A">
        <w:rPr>
          <w:rStyle w:val="normaltextrun"/>
          <w:rFonts w:ascii="Arial" w:hAnsi="Arial" w:cs="Arial"/>
        </w:rPr>
        <w:t>In the case of R</w:t>
      </w:r>
      <w:r>
        <w:rPr>
          <w:rStyle w:val="normaltextrun"/>
          <w:rFonts w:ascii="Arial" w:hAnsi="Arial" w:cs="Arial"/>
        </w:rPr>
        <w:t xml:space="preserve"> </w:t>
      </w:r>
      <w:r w:rsidRPr="0051259A">
        <w:rPr>
          <w:rStyle w:val="normaltextrun"/>
          <w:rFonts w:ascii="Arial" w:hAnsi="Arial" w:cs="Arial"/>
        </w:rPr>
        <w:t>v Campbell (1996), defendant Justice Kenneth Jones had plea of not guilty to the murder of Deirdre Inge Susan Sainsbury but proceeded to plead guilty her manslaughter. The defendant had picked up the victim as a hitch hiker and proceeded to make sexual advances towards her, she then acted in self-defence and struck him in the eye. The defendant then proceeded to strike her in the throat in which then caused her to gargle blood and pass out. The defendant then drove a while and the victim then woke up and he proceeded to strangle her and eventually killing her. It was also noted that the defendant suffered from epilepsy and frontal lobe damage and was shown by tests completed in the June of 1985. Affects from the defendant's frontal lobe epilepsy are that of a lack of control over emotions, lack of control over impulses and planning forward. The judge that presided over the trial directed the jury to put the defence of diminished responsibility out of their minds as no evidence had been put forward during the trial to support this defence. Therefore, the defendant was found guilty and was later convicted of murder.</w:t>
      </w:r>
      <w:r w:rsidRPr="0051259A">
        <w:rPr>
          <w:rStyle w:val="eop"/>
          <w:rFonts w:ascii="Arial" w:hAnsi="Arial" w:cs="Arial"/>
        </w:rPr>
        <w:t> </w:t>
      </w:r>
    </w:p>
    <w:p w14:paraId="4FB1DF24" w14:textId="77777777" w:rsidR="00B302C9" w:rsidRPr="0051259A" w:rsidRDefault="00B302C9" w:rsidP="00652ABF">
      <w:pPr>
        <w:pStyle w:val="paragraph"/>
        <w:spacing w:before="0" w:beforeAutospacing="0" w:after="0" w:afterAutospacing="0"/>
        <w:textAlignment w:val="baseline"/>
        <w:rPr>
          <w:rFonts w:ascii="Arial" w:hAnsi="Arial" w:cs="Arial"/>
          <w:b/>
          <w:bCs/>
          <w:color w:val="000000"/>
          <w:shd w:val="clear" w:color="auto" w:fill="FFFFFF"/>
        </w:rPr>
      </w:pPr>
    </w:p>
    <w:p w14:paraId="5D482B9B" w14:textId="4CA3F98E" w:rsidR="00B63F01" w:rsidRPr="00474F76" w:rsidRDefault="00B63F01" w:rsidP="00652ABF">
      <w:pPr>
        <w:pStyle w:val="paragraph"/>
        <w:spacing w:before="0" w:beforeAutospacing="0" w:after="0" w:afterAutospacing="0"/>
        <w:textAlignment w:val="baseline"/>
        <w:rPr>
          <w:rFonts w:ascii="Arial" w:hAnsi="Arial" w:cs="Arial"/>
          <w:b/>
          <w:bCs/>
          <w:color w:val="000000" w:themeColor="text1"/>
          <w:sz w:val="32"/>
          <w:szCs w:val="32"/>
          <w:shd w:val="clear" w:color="auto" w:fill="FFFFFF"/>
        </w:rPr>
      </w:pPr>
      <w:bookmarkStart w:id="0" w:name="_Hlk129347979"/>
      <w:r w:rsidRPr="00474F76">
        <w:rPr>
          <w:rFonts w:ascii="Arial" w:hAnsi="Arial" w:cs="Arial"/>
          <w:b/>
          <w:bCs/>
          <w:color w:val="000000" w:themeColor="text1"/>
          <w:sz w:val="32"/>
          <w:szCs w:val="32"/>
          <w:shd w:val="clear" w:color="auto" w:fill="FFFFFF"/>
        </w:rPr>
        <w:t>Why was there a need for change?</w:t>
      </w:r>
    </w:p>
    <w:bookmarkEnd w:id="0"/>
    <w:p w14:paraId="66F8DDC6" w14:textId="1FF1C324" w:rsidR="0051259A" w:rsidRPr="00FC492A" w:rsidRDefault="006C4CCA" w:rsidP="00652ABF">
      <w:pPr>
        <w:pStyle w:val="paragraph"/>
        <w:spacing w:before="0" w:beforeAutospacing="0" w:after="0" w:afterAutospacing="0"/>
        <w:textAlignment w:val="baseline"/>
        <w:rPr>
          <w:rStyle w:val="eop"/>
          <w:rFonts w:ascii="Arial" w:hAnsi="Arial" w:cs="Arial"/>
        </w:rPr>
      </w:pPr>
      <w:r w:rsidRPr="0051259A">
        <w:rPr>
          <w:rStyle w:val="eop"/>
          <w:rFonts w:ascii="Arial" w:hAnsi="Arial" w:cs="Arial"/>
        </w:rPr>
        <w:t>According to</w:t>
      </w:r>
      <w:r w:rsidR="005401F3">
        <w:rPr>
          <w:rStyle w:val="eop"/>
          <w:rFonts w:ascii="Arial" w:hAnsi="Arial" w:cs="Arial"/>
        </w:rPr>
        <w:t xml:space="preserve"> Kennefick</w:t>
      </w:r>
      <w:r w:rsidRPr="0051259A">
        <w:rPr>
          <w:rStyle w:val="eop"/>
          <w:rFonts w:ascii="Arial" w:hAnsi="Arial" w:cs="Arial"/>
        </w:rPr>
        <w:t xml:space="preserve"> </w:t>
      </w:r>
      <w:sdt>
        <w:sdtPr>
          <w:rPr>
            <w:rStyle w:val="eop"/>
            <w:rFonts w:ascii="Arial" w:hAnsi="Arial" w:cs="Arial"/>
          </w:rPr>
          <w:id w:val="-642884156"/>
          <w:citation/>
        </w:sdtPr>
        <w:sdtEndPr>
          <w:rPr>
            <w:rStyle w:val="eop"/>
          </w:rPr>
        </w:sdtEndPr>
        <w:sdtContent>
          <w:r w:rsidR="005401F3">
            <w:rPr>
              <w:rStyle w:val="eop"/>
              <w:rFonts w:ascii="Arial" w:hAnsi="Arial" w:cs="Arial"/>
            </w:rPr>
            <w:fldChar w:fldCharType="begin"/>
          </w:r>
          <w:r w:rsidR="005401F3">
            <w:rPr>
              <w:rStyle w:val="eop"/>
              <w:rFonts w:ascii="Arial" w:hAnsi="Arial" w:cs="Arial"/>
            </w:rPr>
            <w:instrText xml:space="preserve">CITATION Ken111 \n  \l 2057 </w:instrText>
          </w:r>
          <w:r w:rsidR="005401F3">
            <w:rPr>
              <w:rStyle w:val="eop"/>
              <w:rFonts w:ascii="Arial" w:hAnsi="Arial" w:cs="Arial"/>
            </w:rPr>
            <w:fldChar w:fldCharType="separate"/>
          </w:r>
          <w:r w:rsidR="004272E5" w:rsidRPr="004272E5">
            <w:rPr>
              <w:rFonts w:ascii="Arial" w:hAnsi="Arial" w:cs="Arial"/>
              <w:noProof/>
            </w:rPr>
            <w:t>(2011)</w:t>
          </w:r>
          <w:r w:rsidR="005401F3">
            <w:rPr>
              <w:rStyle w:val="eop"/>
              <w:rFonts w:ascii="Arial" w:hAnsi="Arial" w:cs="Arial"/>
            </w:rPr>
            <w:fldChar w:fldCharType="end"/>
          </w:r>
        </w:sdtContent>
      </w:sdt>
      <w:r w:rsidRPr="0051259A">
        <w:rPr>
          <w:rStyle w:val="eop"/>
          <w:rFonts w:ascii="Arial" w:hAnsi="Arial" w:cs="Arial"/>
        </w:rPr>
        <w:t xml:space="preserve"> the term ‘abnormality of mind’ has deemed to be obscure and inadequate. In addition to this the term is also not seen as a psychiatric term.</w:t>
      </w:r>
      <w:r w:rsidR="00B31291" w:rsidRPr="0051259A">
        <w:rPr>
          <w:rStyle w:val="eop"/>
          <w:rFonts w:ascii="Arial" w:hAnsi="Arial" w:cs="Arial"/>
        </w:rPr>
        <w:t xml:space="preserve"> </w:t>
      </w:r>
      <w:r w:rsidR="00A37234" w:rsidRPr="0051259A">
        <w:rPr>
          <w:rStyle w:val="eop"/>
          <w:rFonts w:ascii="Arial" w:hAnsi="Arial" w:cs="Arial"/>
        </w:rPr>
        <w:t xml:space="preserve">It was quite simply vague and not a lot could be made of it. </w:t>
      </w:r>
      <w:r w:rsidR="000B3C64">
        <w:rPr>
          <w:rStyle w:val="eop"/>
          <w:rFonts w:ascii="Arial" w:hAnsi="Arial" w:cs="Arial"/>
        </w:rPr>
        <w:t xml:space="preserve">The Law Commission </w:t>
      </w:r>
      <w:sdt>
        <w:sdtPr>
          <w:rPr>
            <w:rStyle w:val="eop"/>
            <w:rFonts w:ascii="Arial" w:hAnsi="Arial" w:cs="Arial"/>
          </w:rPr>
          <w:id w:val="-1805381703"/>
          <w:citation/>
        </w:sdtPr>
        <w:sdtEndPr>
          <w:rPr>
            <w:rStyle w:val="eop"/>
          </w:rPr>
        </w:sdtEndPr>
        <w:sdtContent>
          <w:r w:rsidR="00E3787A">
            <w:rPr>
              <w:rStyle w:val="eop"/>
              <w:rFonts w:ascii="Arial" w:hAnsi="Arial" w:cs="Arial"/>
            </w:rPr>
            <w:fldChar w:fldCharType="begin"/>
          </w:r>
          <w:r w:rsidR="000B3C64">
            <w:rPr>
              <w:rStyle w:val="eop"/>
              <w:rFonts w:ascii="Arial" w:hAnsi="Arial" w:cs="Arial"/>
            </w:rPr>
            <w:instrText xml:space="preserve">CITATION Law06 \n  \l 2057 </w:instrText>
          </w:r>
          <w:r w:rsidR="00E3787A">
            <w:rPr>
              <w:rStyle w:val="eop"/>
              <w:rFonts w:ascii="Arial" w:hAnsi="Arial" w:cs="Arial"/>
            </w:rPr>
            <w:fldChar w:fldCharType="separate"/>
          </w:r>
          <w:r w:rsidR="004272E5" w:rsidRPr="004272E5">
            <w:rPr>
              <w:rFonts w:ascii="Arial" w:hAnsi="Arial" w:cs="Arial"/>
              <w:noProof/>
            </w:rPr>
            <w:t>(2006)</w:t>
          </w:r>
          <w:r w:rsidR="00E3787A">
            <w:rPr>
              <w:rStyle w:val="eop"/>
              <w:rFonts w:ascii="Arial" w:hAnsi="Arial" w:cs="Arial"/>
            </w:rPr>
            <w:fldChar w:fldCharType="end"/>
          </w:r>
        </w:sdtContent>
      </w:sdt>
      <w:r w:rsidR="00E3787A">
        <w:rPr>
          <w:rStyle w:val="eop"/>
          <w:rFonts w:ascii="Arial" w:hAnsi="Arial" w:cs="Arial"/>
        </w:rPr>
        <w:t xml:space="preserve"> </w:t>
      </w:r>
      <w:r w:rsidR="00B31291" w:rsidRPr="0051259A">
        <w:rPr>
          <w:rStyle w:val="eop"/>
          <w:rFonts w:ascii="Arial" w:hAnsi="Arial" w:cs="Arial"/>
        </w:rPr>
        <w:t xml:space="preserve">states that the terminology used within the act was becoming </w:t>
      </w:r>
      <w:r w:rsidR="00B31291" w:rsidRPr="0051259A">
        <w:rPr>
          <w:rStyle w:val="eop"/>
          <w:rFonts w:ascii="Arial" w:hAnsi="Arial" w:cs="Arial"/>
        </w:rPr>
        <w:lastRenderedPageBreak/>
        <w:t xml:space="preserve">very outdated and </w:t>
      </w:r>
      <w:r w:rsidR="009F4102">
        <w:rPr>
          <w:rStyle w:val="eop"/>
          <w:rFonts w:ascii="Arial" w:hAnsi="Arial" w:cs="Arial"/>
        </w:rPr>
        <w:t>the laws were</w:t>
      </w:r>
      <w:r w:rsidR="00B31291" w:rsidRPr="0051259A">
        <w:rPr>
          <w:rStyle w:val="eop"/>
          <w:rFonts w:ascii="Arial" w:hAnsi="Arial" w:cs="Arial"/>
        </w:rPr>
        <w:t xml:space="preserve"> “</w:t>
      </w:r>
      <w:r w:rsidR="00B31291" w:rsidRPr="009F4102">
        <w:rPr>
          <w:rStyle w:val="eop"/>
          <w:rFonts w:ascii="Arial" w:hAnsi="Arial" w:cs="Arial"/>
        </w:rPr>
        <w:t>beginning to show their age</w:t>
      </w:r>
      <w:r w:rsidR="00B31291" w:rsidRPr="0051259A">
        <w:rPr>
          <w:rStyle w:val="eop"/>
          <w:rFonts w:ascii="Arial" w:hAnsi="Arial" w:cs="Arial"/>
        </w:rPr>
        <w:t>.” The</w:t>
      </w:r>
      <w:r w:rsidR="00FB02E8">
        <w:rPr>
          <w:rStyle w:val="eop"/>
          <w:rFonts w:ascii="Arial" w:hAnsi="Arial" w:cs="Arial"/>
        </w:rPr>
        <w:t>y</w:t>
      </w:r>
      <w:r w:rsidR="00B31291" w:rsidRPr="0051259A">
        <w:rPr>
          <w:rStyle w:val="eop"/>
          <w:rFonts w:ascii="Arial" w:hAnsi="Arial" w:cs="Arial"/>
        </w:rPr>
        <w:t xml:space="preserve"> emphasis</w:t>
      </w:r>
      <w:r w:rsidR="00FB02E8">
        <w:rPr>
          <w:rStyle w:val="eop"/>
          <w:rFonts w:ascii="Arial" w:hAnsi="Arial" w:cs="Arial"/>
        </w:rPr>
        <w:t>e</w:t>
      </w:r>
      <w:r w:rsidR="00B31291" w:rsidRPr="0051259A">
        <w:rPr>
          <w:rStyle w:val="eop"/>
          <w:rFonts w:ascii="Arial" w:hAnsi="Arial" w:cs="Arial"/>
        </w:rPr>
        <w:t xml:space="preserve"> the age of the law</w:t>
      </w:r>
      <w:r w:rsidR="0097463E" w:rsidRPr="0051259A">
        <w:rPr>
          <w:rStyle w:val="eop"/>
          <w:rFonts w:ascii="Arial" w:hAnsi="Arial" w:cs="Arial"/>
        </w:rPr>
        <w:t xml:space="preserve"> </w:t>
      </w:r>
      <w:r w:rsidR="00FB02E8">
        <w:rPr>
          <w:rStyle w:val="eop"/>
          <w:rFonts w:ascii="Arial" w:hAnsi="Arial" w:cs="Arial"/>
        </w:rPr>
        <w:t xml:space="preserve">further </w:t>
      </w:r>
      <w:r w:rsidR="0097463E" w:rsidRPr="0051259A">
        <w:rPr>
          <w:rStyle w:val="eop"/>
          <w:rFonts w:ascii="Arial" w:hAnsi="Arial" w:cs="Arial"/>
        </w:rPr>
        <w:t>through stating that some of the rules had not been changed since the seventeenth century.</w:t>
      </w:r>
    </w:p>
    <w:p w14:paraId="45CE74DA" w14:textId="77777777" w:rsidR="0051259A" w:rsidRPr="0051259A" w:rsidRDefault="0051259A" w:rsidP="00652ABF">
      <w:pPr>
        <w:pStyle w:val="paragraph"/>
        <w:spacing w:before="0" w:beforeAutospacing="0" w:after="0" w:afterAutospacing="0"/>
        <w:textAlignment w:val="baseline"/>
        <w:rPr>
          <w:rStyle w:val="eop"/>
          <w:rFonts w:ascii="Arial" w:hAnsi="Arial" w:cs="Arial"/>
          <w:b/>
          <w:bCs/>
        </w:rPr>
      </w:pPr>
    </w:p>
    <w:p w14:paraId="7EEE786C" w14:textId="0A14100B" w:rsidR="0097463E" w:rsidRPr="00474F76" w:rsidRDefault="005A1E9E" w:rsidP="00652ABF">
      <w:pPr>
        <w:pStyle w:val="paragraph"/>
        <w:spacing w:before="0" w:beforeAutospacing="0" w:after="0" w:afterAutospacing="0"/>
        <w:textAlignment w:val="baseline"/>
        <w:rPr>
          <w:rStyle w:val="eop"/>
          <w:rFonts w:ascii="Arial" w:hAnsi="Arial" w:cs="Arial"/>
          <w:b/>
          <w:bCs/>
          <w:color w:val="000000" w:themeColor="text1"/>
          <w:sz w:val="32"/>
          <w:szCs w:val="32"/>
          <w:shd w:val="clear" w:color="auto" w:fill="FFFFFF"/>
        </w:rPr>
      </w:pPr>
      <w:r w:rsidRPr="00474F76">
        <w:rPr>
          <w:rFonts w:ascii="Arial" w:hAnsi="Arial" w:cs="Arial"/>
          <w:b/>
          <w:bCs/>
          <w:color w:val="000000" w:themeColor="text1"/>
          <w:sz w:val="32"/>
          <w:szCs w:val="32"/>
          <w:shd w:val="clear" w:color="auto" w:fill="FFFFFF"/>
        </w:rPr>
        <w:t xml:space="preserve">The </w:t>
      </w:r>
      <w:r w:rsidR="0097463E" w:rsidRPr="00474F76">
        <w:rPr>
          <w:rFonts w:ascii="Arial" w:hAnsi="Arial" w:cs="Arial"/>
          <w:b/>
          <w:bCs/>
          <w:color w:val="000000" w:themeColor="text1"/>
          <w:sz w:val="32"/>
          <w:szCs w:val="32"/>
          <w:shd w:val="clear" w:color="auto" w:fill="FFFFFF"/>
        </w:rPr>
        <w:t>Coroners and Justice Act (2009)</w:t>
      </w:r>
    </w:p>
    <w:p w14:paraId="7F2F5553" w14:textId="0FFD76E5" w:rsidR="004E7932" w:rsidRDefault="00652ABF" w:rsidP="00AC0021">
      <w:pPr>
        <w:pStyle w:val="legclearfix"/>
        <w:shd w:val="clear" w:color="auto" w:fill="FFFFFF"/>
        <w:spacing w:before="0" w:beforeAutospacing="0" w:after="120" w:afterAutospacing="0" w:line="360" w:lineRule="atLeast"/>
        <w:rPr>
          <w:rStyle w:val="legamendingtext"/>
          <w:rFonts w:ascii="Arial" w:hAnsi="Arial" w:cs="Arial"/>
          <w:i/>
          <w:iCs/>
          <w:color w:val="000000"/>
        </w:rPr>
      </w:pPr>
      <w:r w:rsidRPr="0051259A">
        <w:rPr>
          <w:rStyle w:val="eop"/>
          <w:rFonts w:ascii="Arial" w:hAnsi="Arial" w:cs="Arial"/>
          <w:b/>
          <w:bCs/>
        </w:rPr>
        <w:t> </w:t>
      </w:r>
      <w:r w:rsidR="0097463E" w:rsidRPr="0051259A">
        <w:rPr>
          <w:rStyle w:val="normaltextrun"/>
          <w:rFonts w:ascii="Arial" w:hAnsi="Arial" w:cs="Arial"/>
        </w:rPr>
        <w:t xml:space="preserve">The Coroners and Justice Act (2009) was created in order to revise the </w:t>
      </w:r>
      <w:r w:rsidR="0097463E" w:rsidRPr="006729B5">
        <w:rPr>
          <w:rStyle w:val="normaltextrun"/>
          <w:rFonts w:ascii="Arial" w:hAnsi="Arial" w:cs="Arial"/>
        </w:rPr>
        <w:t>law in relation to coroners</w:t>
      </w:r>
      <w:r w:rsidR="006729B5">
        <w:rPr>
          <w:rStyle w:val="normaltextrun"/>
          <w:rFonts w:ascii="Arial" w:hAnsi="Arial" w:cs="Arial"/>
        </w:rPr>
        <w:t xml:space="preserve">, </w:t>
      </w:r>
      <w:r w:rsidR="0097463E" w:rsidRPr="0051259A">
        <w:rPr>
          <w:rStyle w:val="normaltextrun"/>
          <w:rFonts w:ascii="Arial" w:hAnsi="Arial" w:cs="Arial"/>
        </w:rPr>
        <w:t>conduct</w:t>
      </w:r>
      <w:r w:rsidR="006729B5">
        <w:rPr>
          <w:rStyle w:val="normaltextrun"/>
          <w:rFonts w:ascii="Arial" w:hAnsi="Arial" w:cs="Arial"/>
        </w:rPr>
        <w:t>ing</w:t>
      </w:r>
      <w:r w:rsidR="0097463E" w:rsidRPr="0051259A">
        <w:rPr>
          <w:rStyle w:val="normaltextrun"/>
          <w:rFonts w:ascii="Arial" w:hAnsi="Arial" w:cs="Arial"/>
        </w:rPr>
        <w:t xml:space="preserve"> investigations into deaths and to alter the criminal law.</w:t>
      </w:r>
      <w:r w:rsidR="004E7932">
        <w:rPr>
          <w:rStyle w:val="normaltextrun"/>
          <w:rFonts w:ascii="Arial" w:hAnsi="Arial" w:cs="Arial"/>
        </w:rPr>
        <w:t xml:space="preserve"> Section 52 of the Coroners and Justice Act 2009 talks about changes made to the law on diminished responsibility. Section 52:</w:t>
      </w:r>
      <w:r w:rsidR="00AC0021" w:rsidRPr="0051259A">
        <w:rPr>
          <w:rStyle w:val="eop"/>
          <w:rFonts w:ascii="Arial" w:hAnsi="Arial" w:cs="Arial"/>
        </w:rPr>
        <w:t xml:space="preserve"> </w:t>
      </w:r>
    </w:p>
    <w:p w14:paraId="67A20FA5" w14:textId="4295AF9F" w:rsidR="008F758F" w:rsidRDefault="00B80105" w:rsidP="004E7932">
      <w:pPr>
        <w:pStyle w:val="legclearfix"/>
        <w:shd w:val="clear" w:color="auto" w:fill="FFFFFF"/>
        <w:spacing w:before="240" w:beforeAutospacing="0" w:after="120" w:afterAutospacing="0" w:line="360" w:lineRule="atLeast"/>
        <w:rPr>
          <w:rFonts w:ascii="Arial" w:hAnsi="Arial" w:cs="Arial"/>
          <w:i/>
          <w:iCs/>
          <w:color w:val="000000"/>
        </w:rPr>
      </w:pPr>
      <w:r>
        <w:rPr>
          <w:rStyle w:val="legamendingtext"/>
          <w:rFonts w:ascii="Arial" w:hAnsi="Arial" w:cs="Arial"/>
          <w:i/>
          <w:iCs/>
          <w:color w:val="000000"/>
        </w:rPr>
        <w:t>“</w:t>
      </w:r>
      <w:r w:rsidR="00AC0021" w:rsidRPr="004E7932">
        <w:rPr>
          <w:rStyle w:val="legamendingtext"/>
          <w:rFonts w:ascii="Arial" w:hAnsi="Arial" w:cs="Arial"/>
          <w:i/>
          <w:iCs/>
          <w:color w:val="000000"/>
        </w:rPr>
        <w:t>A person (“D”) who kills or is a party to the killing of another is not to be convicted of murder if D was suffering from an abnormality of mental functioning which.</w:t>
      </w:r>
      <w:r w:rsidR="004E7932">
        <w:rPr>
          <w:rFonts w:ascii="Arial" w:hAnsi="Arial" w:cs="Arial"/>
          <w:i/>
          <w:iCs/>
          <w:color w:val="000000"/>
        </w:rPr>
        <w:t xml:space="preserve"> </w:t>
      </w:r>
    </w:p>
    <w:p w14:paraId="45BC55BA" w14:textId="77777777" w:rsidR="008F758F" w:rsidRDefault="00AC0021" w:rsidP="00117D26">
      <w:pPr>
        <w:pStyle w:val="legclearfix"/>
        <w:shd w:val="clear" w:color="auto" w:fill="FFFFFF"/>
        <w:spacing w:before="0" w:beforeAutospacing="0" w:after="120" w:afterAutospacing="0" w:line="360" w:lineRule="atLeast"/>
        <w:rPr>
          <w:rFonts w:ascii="Arial" w:hAnsi="Arial" w:cs="Arial"/>
          <w:i/>
          <w:iCs/>
          <w:color w:val="000000"/>
        </w:rPr>
      </w:pPr>
      <w:r w:rsidRPr="004E7932">
        <w:rPr>
          <w:rStyle w:val="legamendingtext"/>
          <w:rFonts w:ascii="Arial" w:hAnsi="Arial" w:cs="Arial"/>
          <w:i/>
          <w:iCs/>
          <w:color w:val="000000"/>
        </w:rPr>
        <w:t>(a)arose from a recognised medical condition,</w:t>
      </w:r>
      <w:r w:rsidR="004E7932">
        <w:rPr>
          <w:rFonts w:ascii="Arial" w:hAnsi="Arial" w:cs="Arial"/>
          <w:i/>
          <w:iCs/>
          <w:color w:val="000000"/>
        </w:rPr>
        <w:t xml:space="preserve"> </w:t>
      </w:r>
    </w:p>
    <w:p w14:paraId="3911F5EF" w14:textId="77777777" w:rsidR="008F758F" w:rsidRDefault="00AC0021" w:rsidP="00117D26">
      <w:pPr>
        <w:pStyle w:val="legclearfix"/>
        <w:shd w:val="clear" w:color="auto" w:fill="FFFFFF"/>
        <w:spacing w:before="0" w:beforeAutospacing="0" w:after="120" w:afterAutospacing="0" w:line="360" w:lineRule="atLeast"/>
        <w:rPr>
          <w:rFonts w:ascii="Arial" w:hAnsi="Arial" w:cs="Arial"/>
          <w:i/>
          <w:iCs/>
          <w:color w:val="000000"/>
        </w:rPr>
      </w:pPr>
      <w:r w:rsidRPr="004E7932">
        <w:rPr>
          <w:rStyle w:val="legamendingtext"/>
          <w:rFonts w:ascii="Arial" w:hAnsi="Arial" w:cs="Arial"/>
          <w:i/>
          <w:iCs/>
          <w:color w:val="000000"/>
        </w:rPr>
        <w:t>(b)substantially impaired D's ability to do one or more of the things mentioned in subsection (1A), and</w:t>
      </w:r>
      <w:r w:rsidR="004E7932">
        <w:rPr>
          <w:rFonts w:ascii="Arial" w:hAnsi="Arial" w:cs="Arial"/>
          <w:i/>
          <w:iCs/>
          <w:color w:val="000000"/>
        </w:rPr>
        <w:t xml:space="preserve"> </w:t>
      </w:r>
    </w:p>
    <w:p w14:paraId="2CA5E732" w14:textId="3DD53BC6" w:rsidR="00AC0021" w:rsidRPr="00872AD8" w:rsidRDefault="00AC0021" w:rsidP="00117D26">
      <w:pPr>
        <w:pStyle w:val="legclearfix"/>
        <w:shd w:val="clear" w:color="auto" w:fill="FFFFFF"/>
        <w:spacing w:before="0" w:beforeAutospacing="0" w:after="120" w:afterAutospacing="0" w:line="360" w:lineRule="atLeast"/>
        <w:rPr>
          <w:rFonts w:ascii="Arial" w:hAnsi="Arial" w:cs="Arial"/>
          <w:color w:val="000000"/>
        </w:rPr>
      </w:pPr>
      <w:r w:rsidRPr="004E7932">
        <w:rPr>
          <w:rStyle w:val="legamendingtext"/>
          <w:rFonts w:ascii="Arial" w:hAnsi="Arial" w:cs="Arial"/>
          <w:i/>
          <w:iCs/>
          <w:color w:val="000000"/>
        </w:rPr>
        <w:t>(c)provides an explanation for D's acts and omissions in doing or being a party to the killing.</w:t>
      </w:r>
      <w:r w:rsidR="00B80105">
        <w:rPr>
          <w:rStyle w:val="legamendingtext"/>
          <w:rFonts w:ascii="Arial" w:hAnsi="Arial" w:cs="Arial"/>
          <w:i/>
          <w:iCs/>
          <w:color w:val="000000"/>
        </w:rPr>
        <w:t>”</w:t>
      </w:r>
      <w:r w:rsidR="009C76AF">
        <w:rPr>
          <w:rStyle w:val="legamendingtext"/>
          <w:rFonts w:ascii="Arial" w:hAnsi="Arial" w:cs="Arial"/>
          <w:i/>
          <w:iCs/>
          <w:color w:val="000000"/>
        </w:rPr>
        <w:t xml:space="preserve"> </w:t>
      </w:r>
      <w:sdt>
        <w:sdtPr>
          <w:rPr>
            <w:rStyle w:val="legamendingtext"/>
            <w:rFonts w:ascii="Arial" w:hAnsi="Arial" w:cs="Arial"/>
            <w:i/>
            <w:iCs/>
            <w:color w:val="000000"/>
          </w:rPr>
          <w:id w:val="535547456"/>
          <w:citation/>
        </w:sdtPr>
        <w:sdtEndPr>
          <w:rPr>
            <w:rStyle w:val="legamendingtext"/>
          </w:rPr>
        </w:sdtEndPr>
        <w:sdtContent>
          <w:r w:rsidR="00872AD8">
            <w:rPr>
              <w:rStyle w:val="legamendingtext"/>
              <w:rFonts w:ascii="Arial" w:hAnsi="Arial" w:cs="Arial"/>
              <w:i/>
              <w:iCs/>
              <w:color w:val="000000"/>
            </w:rPr>
            <w:fldChar w:fldCharType="begin"/>
          </w:r>
          <w:r w:rsidR="00872AD8">
            <w:rPr>
              <w:rStyle w:val="legamendingtext"/>
              <w:rFonts w:ascii="Arial" w:hAnsi="Arial" w:cs="Arial"/>
              <w:color w:val="000000"/>
            </w:rPr>
            <w:instrText xml:space="preserve"> CITATION leg091 \l 2057 </w:instrText>
          </w:r>
          <w:r w:rsidR="00872AD8">
            <w:rPr>
              <w:rStyle w:val="legamendingtext"/>
              <w:rFonts w:ascii="Arial" w:hAnsi="Arial" w:cs="Arial"/>
              <w:i/>
              <w:iCs/>
              <w:color w:val="000000"/>
            </w:rPr>
            <w:fldChar w:fldCharType="separate"/>
          </w:r>
          <w:r w:rsidR="004272E5" w:rsidRPr="004272E5">
            <w:rPr>
              <w:rFonts w:ascii="Arial" w:hAnsi="Arial" w:cs="Arial"/>
              <w:noProof/>
              <w:color w:val="000000"/>
            </w:rPr>
            <w:t>(legislation.gov.uk, 2009)</w:t>
          </w:r>
          <w:r w:rsidR="00872AD8">
            <w:rPr>
              <w:rStyle w:val="legamendingtext"/>
              <w:rFonts w:ascii="Arial" w:hAnsi="Arial" w:cs="Arial"/>
              <w:i/>
              <w:iCs/>
              <w:color w:val="000000"/>
            </w:rPr>
            <w:fldChar w:fldCharType="end"/>
          </w:r>
        </w:sdtContent>
      </w:sdt>
    </w:p>
    <w:p w14:paraId="6D9CE7E9" w14:textId="5879A602" w:rsidR="0097463E" w:rsidRPr="0051259A" w:rsidRDefault="00AC0021" w:rsidP="008F758F">
      <w:pPr>
        <w:pStyle w:val="paragraph"/>
        <w:spacing w:before="240" w:beforeAutospacing="0" w:after="0" w:afterAutospacing="0"/>
        <w:textAlignment w:val="baseline"/>
        <w:rPr>
          <w:rFonts w:ascii="Arial" w:hAnsi="Arial" w:cs="Arial"/>
          <w:sz w:val="18"/>
          <w:szCs w:val="18"/>
        </w:rPr>
      </w:pPr>
      <w:r w:rsidRPr="0051259A">
        <w:rPr>
          <w:rStyle w:val="eop"/>
          <w:rFonts w:ascii="Arial" w:hAnsi="Arial" w:cs="Arial"/>
        </w:rPr>
        <w:t xml:space="preserve">In accordance with Criminal Law Policy Unit Ministry of Justice (2010), the changes that were affected by the Coroners and Justice Act 2009 were essentially set out to make it more modern and clearer to understand. </w:t>
      </w:r>
      <w:r w:rsidR="00842E60" w:rsidRPr="0051259A">
        <w:rPr>
          <w:rStyle w:val="eop"/>
          <w:rFonts w:ascii="Arial" w:hAnsi="Arial" w:cs="Arial"/>
        </w:rPr>
        <w:t xml:space="preserve">The new requirements are heavily reliant on the defendant having a substantial amount of medical evidence from a medical professional. </w:t>
      </w:r>
      <w:r w:rsidRPr="0051259A">
        <w:rPr>
          <w:rStyle w:val="eop"/>
          <w:rFonts w:ascii="Arial" w:hAnsi="Arial" w:cs="Arial"/>
        </w:rPr>
        <w:t>The similarity within the two is that there was no change in the result of the verdict so the defendant still could have a conviction of manslaughter instead of murder if successful within using this defence.</w:t>
      </w:r>
      <w:r w:rsidR="00471244">
        <w:rPr>
          <w:rStyle w:val="eop"/>
          <w:rFonts w:ascii="Arial" w:hAnsi="Arial" w:cs="Arial"/>
        </w:rPr>
        <w:t xml:space="preserve"> They have also tended to recognise more medical conditions</w:t>
      </w:r>
      <w:r w:rsidR="00C644D1">
        <w:rPr>
          <w:rStyle w:val="eop"/>
          <w:rFonts w:ascii="Arial" w:hAnsi="Arial" w:cs="Arial"/>
        </w:rPr>
        <w:t xml:space="preserve"> due to “…from a recognised medical condition” being added to the requirement</w:t>
      </w:r>
      <w:r w:rsidR="00471244">
        <w:rPr>
          <w:rStyle w:val="eop"/>
          <w:rFonts w:ascii="Arial" w:hAnsi="Arial" w:cs="Arial"/>
        </w:rPr>
        <w:t>.</w:t>
      </w:r>
    </w:p>
    <w:p w14:paraId="7AB27338" w14:textId="6FF39D5A" w:rsidR="0051259A" w:rsidRPr="0051259A" w:rsidRDefault="00652ABF" w:rsidP="00652ABF">
      <w:pPr>
        <w:pStyle w:val="paragraph"/>
        <w:spacing w:before="0" w:beforeAutospacing="0" w:after="0" w:afterAutospacing="0"/>
        <w:textAlignment w:val="baseline"/>
        <w:rPr>
          <w:rFonts w:ascii="Arial" w:hAnsi="Arial" w:cs="Arial"/>
        </w:rPr>
      </w:pPr>
      <w:r w:rsidRPr="0051259A">
        <w:rPr>
          <w:rStyle w:val="eop"/>
          <w:rFonts w:ascii="Arial" w:hAnsi="Arial" w:cs="Arial"/>
        </w:rPr>
        <w:t> </w:t>
      </w:r>
    </w:p>
    <w:p w14:paraId="25AB834C" w14:textId="3EADBFC6" w:rsidR="0051259A" w:rsidRDefault="0051259A" w:rsidP="00652ABF">
      <w:pPr>
        <w:pStyle w:val="paragraph"/>
        <w:spacing w:before="0" w:beforeAutospacing="0" w:after="0" w:afterAutospacing="0"/>
        <w:textAlignment w:val="baseline"/>
        <w:rPr>
          <w:rFonts w:ascii="Arial" w:hAnsi="Arial" w:cs="Arial"/>
          <w:color w:val="000000"/>
        </w:rPr>
      </w:pPr>
      <w:r w:rsidRPr="004272E5">
        <w:rPr>
          <w:rStyle w:val="eop"/>
          <w:rFonts w:ascii="Arial" w:hAnsi="Arial" w:cs="Arial"/>
        </w:rPr>
        <w:t>In the case of R v Ahluwalia</w:t>
      </w:r>
      <w:r w:rsidR="008D0644" w:rsidRPr="004272E5">
        <w:rPr>
          <w:rStyle w:val="eop"/>
          <w:rFonts w:ascii="Arial" w:hAnsi="Arial" w:cs="Arial"/>
        </w:rPr>
        <w:t xml:space="preserve"> (1993)</w:t>
      </w:r>
      <w:r w:rsidRPr="004272E5">
        <w:rPr>
          <w:rStyle w:val="eop"/>
          <w:rFonts w:ascii="Arial" w:hAnsi="Arial" w:cs="Arial"/>
        </w:rPr>
        <w:t>. The defendant endured years of abuse and violence at the hands of her spouse. She couldn't sleep after one particular angry evening because she couldn't stop thinking about her husband's actions. Finally, she</w:t>
      </w:r>
      <w:r w:rsidR="007D66B2" w:rsidRPr="004272E5">
        <w:rPr>
          <w:rStyle w:val="eop"/>
          <w:rFonts w:ascii="Arial" w:hAnsi="Arial" w:cs="Arial"/>
        </w:rPr>
        <w:t xml:space="preserve"> went down</w:t>
      </w:r>
      <w:r w:rsidRPr="004272E5">
        <w:rPr>
          <w:rStyle w:val="eop"/>
          <w:rFonts w:ascii="Arial" w:hAnsi="Arial" w:cs="Arial"/>
        </w:rPr>
        <w:t xml:space="preserve"> the stairs</w:t>
      </w:r>
      <w:r w:rsidR="00D31D55" w:rsidRPr="004272E5">
        <w:rPr>
          <w:rStyle w:val="eop"/>
          <w:rFonts w:ascii="Arial" w:hAnsi="Arial" w:cs="Arial"/>
        </w:rPr>
        <w:t xml:space="preserve">, </w:t>
      </w:r>
      <w:r w:rsidRPr="004272E5">
        <w:rPr>
          <w:rStyle w:val="eop"/>
          <w:rFonts w:ascii="Arial" w:hAnsi="Arial" w:cs="Arial"/>
        </w:rPr>
        <w:t>filled a bucket with gasoline</w:t>
      </w:r>
      <w:r w:rsidR="00D31D55" w:rsidRPr="004272E5">
        <w:rPr>
          <w:rStyle w:val="eop"/>
          <w:rFonts w:ascii="Arial" w:hAnsi="Arial" w:cs="Arial"/>
        </w:rPr>
        <w:t xml:space="preserve"> and </w:t>
      </w:r>
      <w:r w:rsidRPr="004272E5">
        <w:rPr>
          <w:rStyle w:val="eop"/>
          <w:rFonts w:ascii="Arial" w:hAnsi="Arial" w:cs="Arial"/>
        </w:rPr>
        <w:t>li</w:t>
      </w:r>
      <w:r w:rsidR="00D31D55" w:rsidRPr="004272E5">
        <w:rPr>
          <w:rStyle w:val="eop"/>
          <w:rFonts w:ascii="Arial" w:hAnsi="Arial" w:cs="Arial"/>
        </w:rPr>
        <w:t>t</w:t>
      </w:r>
      <w:r w:rsidRPr="004272E5">
        <w:rPr>
          <w:rStyle w:val="eop"/>
          <w:rFonts w:ascii="Arial" w:hAnsi="Arial" w:cs="Arial"/>
        </w:rPr>
        <w:t xml:space="preserve"> a candle</w:t>
      </w:r>
      <w:r w:rsidR="00D31D55" w:rsidRPr="004272E5">
        <w:rPr>
          <w:rStyle w:val="eop"/>
          <w:rFonts w:ascii="Arial" w:hAnsi="Arial" w:cs="Arial"/>
        </w:rPr>
        <w:t>.</w:t>
      </w:r>
      <w:r w:rsidRPr="004272E5">
        <w:rPr>
          <w:rStyle w:val="eop"/>
          <w:rFonts w:ascii="Arial" w:hAnsi="Arial" w:cs="Arial"/>
        </w:rPr>
        <w:t xml:space="preserve"> </w:t>
      </w:r>
      <w:r w:rsidR="008D215C" w:rsidRPr="004272E5">
        <w:rPr>
          <w:rStyle w:val="eop"/>
          <w:rFonts w:ascii="Arial" w:hAnsi="Arial" w:cs="Arial"/>
        </w:rPr>
        <w:t xml:space="preserve">She then </w:t>
      </w:r>
      <w:r w:rsidRPr="004272E5">
        <w:rPr>
          <w:rStyle w:val="eop"/>
          <w:rFonts w:ascii="Arial" w:hAnsi="Arial" w:cs="Arial"/>
        </w:rPr>
        <w:t xml:space="preserve">proceeded to her husband's bedroom, setting it on fire. </w:t>
      </w:r>
      <w:r w:rsidR="008D215C" w:rsidRPr="004272E5">
        <w:rPr>
          <w:rStyle w:val="eop"/>
          <w:rFonts w:ascii="Arial" w:hAnsi="Arial" w:cs="Arial"/>
        </w:rPr>
        <w:t>Her husband died from his wounds</w:t>
      </w:r>
      <w:r w:rsidRPr="004272E5">
        <w:rPr>
          <w:rStyle w:val="eop"/>
          <w:rFonts w:ascii="Arial" w:hAnsi="Arial" w:cs="Arial"/>
        </w:rPr>
        <w:t>. Ahluwalia admitted to manslaughter, arguing that her main goal was to hurt him rather than kill him. She also argued that she had been provoked because of how she had been treated during the</w:t>
      </w:r>
      <w:r w:rsidR="00532FE3" w:rsidRPr="004272E5">
        <w:rPr>
          <w:rStyle w:val="eop"/>
          <w:rFonts w:ascii="Arial" w:hAnsi="Arial" w:cs="Arial"/>
        </w:rPr>
        <w:t>ir</w:t>
      </w:r>
      <w:r w:rsidRPr="004272E5">
        <w:rPr>
          <w:rStyle w:val="eop"/>
          <w:rFonts w:ascii="Arial" w:hAnsi="Arial" w:cs="Arial"/>
        </w:rPr>
        <w:t xml:space="preserve"> marriage. Ahluwalia was found guilty of murder and then filed an appeal.</w:t>
      </w:r>
      <w:r w:rsidR="000270E0" w:rsidRPr="004272E5">
        <w:rPr>
          <w:rStyle w:val="eop"/>
          <w:rFonts w:ascii="Arial" w:hAnsi="Arial" w:cs="Arial"/>
        </w:rPr>
        <w:t xml:space="preserve"> </w:t>
      </w:r>
      <w:r w:rsidRPr="004272E5">
        <w:rPr>
          <w:rStyle w:val="eop"/>
          <w:rFonts w:ascii="Arial" w:hAnsi="Arial" w:cs="Arial"/>
        </w:rPr>
        <w:t>The defendant ha</w:t>
      </w:r>
      <w:r w:rsidR="00DE1094" w:rsidRPr="004272E5">
        <w:rPr>
          <w:rStyle w:val="eop"/>
          <w:rFonts w:ascii="Arial" w:hAnsi="Arial" w:cs="Arial"/>
        </w:rPr>
        <w:t xml:space="preserve">d complained about violence, and these were supported by entries that were in her doctor’s notes. There were many records that were obtained, and they stated that the defendant </w:t>
      </w:r>
      <w:bookmarkStart w:id="1" w:name="para6"/>
      <w:r w:rsidR="00DE1094" w:rsidRPr="004272E5">
        <w:rPr>
          <w:rStyle w:val="eop"/>
          <w:rFonts w:ascii="Arial" w:hAnsi="Arial" w:cs="Arial"/>
        </w:rPr>
        <w:t xml:space="preserve">was </w:t>
      </w:r>
      <w:r w:rsidR="00DE1094" w:rsidRPr="004272E5">
        <w:rPr>
          <w:rFonts w:ascii="Arial" w:hAnsi="Arial" w:cs="Arial"/>
          <w:color w:val="000000"/>
        </w:rPr>
        <w:t>“hit three or four times on the head with a telephone</w:t>
      </w:r>
      <w:bookmarkEnd w:id="1"/>
      <w:r w:rsidR="00DE1094" w:rsidRPr="004272E5">
        <w:rPr>
          <w:rFonts w:ascii="Arial" w:hAnsi="Arial" w:cs="Arial"/>
          <w:color w:val="000000"/>
        </w:rPr>
        <w:t xml:space="preserve"> and thrown into the ground” in October 1981. Then in September 1983, a note was also taken and states that the defendant was ‘pushed’ by her husband whilst pregnant with his child, this led to a bruised hand on the defendant.</w:t>
      </w:r>
    </w:p>
    <w:p w14:paraId="54C033C9" w14:textId="6C8F9609" w:rsidR="000270E0" w:rsidRDefault="000270E0" w:rsidP="00652ABF">
      <w:pPr>
        <w:pStyle w:val="paragraph"/>
        <w:spacing w:before="0" w:beforeAutospacing="0" w:after="0" w:afterAutospacing="0"/>
        <w:textAlignment w:val="baseline"/>
        <w:rPr>
          <w:rFonts w:ascii="Arial" w:hAnsi="Arial" w:cs="Arial"/>
          <w:color w:val="000000"/>
        </w:rPr>
      </w:pPr>
    </w:p>
    <w:p w14:paraId="233A9AF8" w14:textId="0C807469" w:rsidR="000270E0" w:rsidRPr="00474F76" w:rsidRDefault="000270E0" w:rsidP="00652ABF">
      <w:pPr>
        <w:pStyle w:val="paragraph"/>
        <w:spacing w:before="0" w:beforeAutospacing="0" w:after="0" w:afterAutospacing="0"/>
        <w:textAlignment w:val="baseline"/>
        <w:rPr>
          <w:rFonts w:ascii="Arial" w:hAnsi="Arial" w:cs="Arial"/>
          <w:b/>
          <w:bCs/>
          <w:color w:val="000000" w:themeColor="text1"/>
          <w:sz w:val="32"/>
          <w:szCs w:val="32"/>
        </w:rPr>
      </w:pPr>
      <w:r w:rsidRPr="00474F76">
        <w:rPr>
          <w:rFonts w:ascii="Arial" w:hAnsi="Arial" w:cs="Arial"/>
          <w:b/>
          <w:bCs/>
          <w:color w:val="000000" w:themeColor="text1"/>
          <w:sz w:val="32"/>
          <w:szCs w:val="32"/>
        </w:rPr>
        <w:t xml:space="preserve">What </w:t>
      </w:r>
      <w:r w:rsidR="00BE3994" w:rsidRPr="00474F76">
        <w:rPr>
          <w:rFonts w:ascii="Arial" w:hAnsi="Arial" w:cs="Arial"/>
          <w:b/>
          <w:bCs/>
          <w:color w:val="000000" w:themeColor="text1"/>
          <w:sz w:val="32"/>
          <w:szCs w:val="32"/>
        </w:rPr>
        <w:t>is a</w:t>
      </w:r>
      <w:r w:rsidRPr="00474F76">
        <w:rPr>
          <w:rFonts w:ascii="Arial" w:hAnsi="Arial" w:cs="Arial"/>
          <w:b/>
          <w:bCs/>
          <w:color w:val="000000" w:themeColor="text1"/>
          <w:sz w:val="32"/>
          <w:szCs w:val="32"/>
        </w:rPr>
        <w:t xml:space="preserve"> Mental Disorder?</w:t>
      </w:r>
    </w:p>
    <w:p w14:paraId="3AEB25DC" w14:textId="03A76182" w:rsidR="004A105D" w:rsidRDefault="000270E0" w:rsidP="000270E0">
      <w:pPr>
        <w:rPr>
          <w:rFonts w:ascii="Arial" w:hAnsi="Arial" w:cs="Arial"/>
          <w:sz w:val="24"/>
          <w:szCs w:val="24"/>
        </w:rPr>
      </w:pPr>
      <w:r w:rsidRPr="000270E0">
        <w:rPr>
          <w:rFonts w:ascii="Arial" w:hAnsi="Arial" w:cs="Arial"/>
          <w:sz w:val="24"/>
          <w:szCs w:val="24"/>
        </w:rPr>
        <w:lastRenderedPageBreak/>
        <w:t>A mental disorder is defined as "any condition or handicap of the mind" under Section 1(2) of the Mental Health Act of 2007, which revised Section 1(2) of the Mental Health Act of 1983.</w:t>
      </w:r>
      <w:r w:rsidR="00174693">
        <w:rPr>
          <w:rFonts w:ascii="Arial" w:hAnsi="Arial" w:cs="Arial"/>
          <w:sz w:val="24"/>
          <w:szCs w:val="24"/>
        </w:rPr>
        <w:t xml:space="preserve"> </w:t>
      </w:r>
      <w:r w:rsidRPr="000270E0">
        <w:rPr>
          <w:rFonts w:ascii="Arial" w:hAnsi="Arial" w:cs="Arial"/>
          <w:sz w:val="24"/>
          <w:szCs w:val="24"/>
        </w:rPr>
        <w:t xml:space="preserve">Brain diseases or physical limitations </w:t>
      </w:r>
      <w:r w:rsidR="00174693">
        <w:rPr>
          <w:rFonts w:ascii="Arial" w:hAnsi="Arial" w:cs="Arial"/>
          <w:sz w:val="24"/>
          <w:szCs w:val="24"/>
        </w:rPr>
        <w:t>do not qualify as</w:t>
      </w:r>
      <w:r w:rsidRPr="000270E0">
        <w:rPr>
          <w:rFonts w:ascii="Arial" w:hAnsi="Arial" w:cs="Arial"/>
          <w:sz w:val="24"/>
          <w:szCs w:val="24"/>
        </w:rPr>
        <w:t xml:space="preserve"> mental disorders unless and only to the degree that they also result in a mental disorder or physical limitation.</w:t>
      </w:r>
      <w:r w:rsidR="00174693">
        <w:rPr>
          <w:rFonts w:ascii="Arial" w:hAnsi="Arial" w:cs="Arial"/>
          <w:sz w:val="24"/>
          <w:szCs w:val="24"/>
        </w:rPr>
        <w:t xml:space="preserve"> Some examples include depression, bipolar, anxiety and learning disabilities. Amongst many others that are more and more recognised</w:t>
      </w:r>
      <w:r w:rsidR="00114D99">
        <w:rPr>
          <w:rFonts w:ascii="Arial" w:hAnsi="Arial" w:cs="Arial"/>
          <w:sz w:val="24"/>
          <w:szCs w:val="24"/>
        </w:rPr>
        <w:t xml:space="preserve"> </w:t>
      </w:r>
      <w:sdt>
        <w:sdtPr>
          <w:rPr>
            <w:rFonts w:ascii="Arial" w:hAnsi="Arial" w:cs="Arial"/>
            <w:sz w:val="24"/>
            <w:szCs w:val="24"/>
          </w:rPr>
          <w:id w:val="-180125184"/>
          <w:citation/>
        </w:sdtPr>
        <w:sdtEndPr/>
        <w:sdtContent>
          <w:r w:rsidR="00114D99">
            <w:rPr>
              <w:rFonts w:ascii="Arial" w:hAnsi="Arial" w:cs="Arial"/>
              <w:sz w:val="24"/>
              <w:szCs w:val="24"/>
            </w:rPr>
            <w:fldChar w:fldCharType="begin"/>
          </w:r>
          <w:r w:rsidR="00114D99">
            <w:rPr>
              <w:rFonts w:ascii="Arial" w:hAnsi="Arial" w:cs="Arial"/>
              <w:sz w:val="24"/>
              <w:szCs w:val="24"/>
            </w:rPr>
            <w:instrText xml:space="preserve"> CITATION leg07 \l 2057 </w:instrText>
          </w:r>
          <w:r w:rsidR="00114D99">
            <w:rPr>
              <w:rFonts w:ascii="Arial" w:hAnsi="Arial" w:cs="Arial"/>
              <w:sz w:val="24"/>
              <w:szCs w:val="24"/>
            </w:rPr>
            <w:fldChar w:fldCharType="separate"/>
          </w:r>
          <w:r w:rsidR="004272E5" w:rsidRPr="004272E5">
            <w:rPr>
              <w:rFonts w:ascii="Arial" w:hAnsi="Arial" w:cs="Arial"/>
              <w:noProof/>
              <w:sz w:val="24"/>
              <w:szCs w:val="24"/>
            </w:rPr>
            <w:t>(legislation.gov.uk, 2007)</w:t>
          </w:r>
          <w:r w:rsidR="00114D99">
            <w:rPr>
              <w:rFonts w:ascii="Arial" w:hAnsi="Arial" w:cs="Arial"/>
              <w:sz w:val="24"/>
              <w:szCs w:val="24"/>
            </w:rPr>
            <w:fldChar w:fldCharType="end"/>
          </w:r>
        </w:sdtContent>
      </w:sdt>
      <w:r w:rsidR="00174693">
        <w:rPr>
          <w:rFonts w:ascii="Arial" w:hAnsi="Arial" w:cs="Arial"/>
          <w:sz w:val="24"/>
          <w:szCs w:val="24"/>
        </w:rPr>
        <w:t>.</w:t>
      </w:r>
    </w:p>
    <w:p w14:paraId="2C2375E0" w14:textId="5DA08830" w:rsidR="00174693" w:rsidRDefault="00174693" w:rsidP="000270E0">
      <w:pPr>
        <w:rPr>
          <w:rFonts w:ascii="Arial" w:hAnsi="Arial" w:cs="Arial"/>
          <w:sz w:val="24"/>
          <w:szCs w:val="24"/>
        </w:rPr>
      </w:pPr>
      <w:r>
        <w:rPr>
          <w:rFonts w:ascii="Arial" w:hAnsi="Arial" w:cs="Arial"/>
          <w:sz w:val="24"/>
          <w:szCs w:val="24"/>
        </w:rPr>
        <w:t xml:space="preserve">Within the purposes </w:t>
      </w:r>
      <w:r w:rsidRPr="00174693">
        <w:rPr>
          <w:rFonts w:ascii="Arial" w:hAnsi="Arial" w:cs="Arial"/>
          <w:sz w:val="24"/>
          <w:szCs w:val="24"/>
        </w:rPr>
        <w:t>of section 1 of the Mental Health Act of 1983, dependence on alcohol or drugs does not constitute a "mental disease". However even if they result from drug or alcohol dependence, mental illnesses that go along with or are connected to using or quitting these substances may fall under the definition of "mental disorder" for the purposes of the Mental Health Act of 1983.</w:t>
      </w:r>
    </w:p>
    <w:p w14:paraId="26BB7FCF" w14:textId="18D7F494" w:rsidR="008B4645" w:rsidRDefault="00174693" w:rsidP="000270E0">
      <w:pPr>
        <w:rPr>
          <w:rFonts w:ascii="Arial" w:hAnsi="Arial" w:cs="Arial"/>
          <w:color w:val="000000" w:themeColor="text1"/>
          <w:sz w:val="24"/>
          <w:szCs w:val="24"/>
          <w:shd w:val="clear" w:color="auto" w:fill="FFFFFF"/>
        </w:rPr>
      </w:pPr>
      <w:r>
        <w:rPr>
          <w:rFonts w:ascii="Arial" w:hAnsi="Arial" w:cs="Arial"/>
          <w:sz w:val="24"/>
          <w:szCs w:val="24"/>
        </w:rPr>
        <w:t>According to Crown Prosecution Service</w:t>
      </w:r>
      <w:sdt>
        <w:sdtPr>
          <w:rPr>
            <w:rFonts w:ascii="Arial" w:hAnsi="Arial" w:cs="Arial"/>
            <w:sz w:val="24"/>
            <w:szCs w:val="24"/>
          </w:rPr>
          <w:id w:val="1383137313"/>
          <w:citation/>
        </w:sdtPr>
        <w:sdtEndPr/>
        <w:sdtContent>
          <w:r w:rsidR="0098642B">
            <w:rPr>
              <w:rFonts w:ascii="Arial" w:hAnsi="Arial" w:cs="Arial"/>
              <w:sz w:val="24"/>
              <w:szCs w:val="24"/>
            </w:rPr>
            <w:fldChar w:fldCharType="begin"/>
          </w:r>
          <w:r w:rsidR="0098642B">
            <w:rPr>
              <w:rFonts w:ascii="Arial" w:hAnsi="Arial" w:cs="Arial"/>
              <w:sz w:val="24"/>
              <w:szCs w:val="24"/>
            </w:rPr>
            <w:instrText xml:space="preserve">CITATION Cro19 \n  \l 2057 </w:instrText>
          </w:r>
          <w:r w:rsidR="0098642B">
            <w:rPr>
              <w:rFonts w:ascii="Arial" w:hAnsi="Arial" w:cs="Arial"/>
              <w:sz w:val="24"/>
              <w:szCs w:val="24"/>
            </w:rPr>
            <w:fldChar w:fldCharType="separate"/>
          </w:r>
          <w:r w:rsidR="004272E5">
            <w:rPr>
              <w:rFonts w:ascii="Arial" w:hAnsi="Arial" w:cs="Arial"/>
              <w:noProof/>
              <w:sz w:val="24"/>
              <w:szCs w:val="24"/>
            </w:rPr>
            <w:t xml:space="preserve"> </w:t>
          </w:r>
          <w:r w:rsidR="004272E5" w:rsidRPr="004272E5">
            <w:rPr>
              <w:rFonts w:ascii="Arial" w:hAnsi="Arial" w:cs="Arial"/>
              <w:noProof/>
              <w:sz w:val="24"/>
              <w:szCs w:val="24"/>
            </w:rPr>
            <w:t>(2019)</w:t>
          </w:r>
          <w:r w:rsidR="0098642B">
            <w:rPr>
              <w:rFonts w:ascii="Arial" w:hAnsi="Arial" w:cs="Arial"/>
              <w:sz w:val="24"/>
              <w:szCs w:val="24"/>
            </w:rPr>
            <w:fldChar w:fldCharType="end"/>
          </w:r>
        </w:sdtContent>
      </w:sdt>
      <w:r>
        <w:rPr>
          <w:rFonts w:ascii="Arial" w:hAnsi="Arial" w:cs="Arial"/>
          <w:sz w:val="24"/>
          <w:szCs w:val="24"/>
        </w:rPr>
        <w:t xml:space="preserve">, having a learning disability means </w:t>
      </w:r>
      <w:r w:rsidRPr="00174693">
        <w:rPr>
          <w:rFonts w:ascii="Arial" w:hAnsi="Arial" w:cs="Arial"/>
          <w:color w:val="000000" w:themeColor="text1"/>
          <w:sz w:val="24"/>
          <w:szCs w:val="24"/>
          <w:shd w:val="clear" w:color="auto" w:fill="FFFFFF"/>
        </w:rPr>
        <w:t>“</w:t>
      </w:r>
      <w:r w:rsidRPr="008564A7">
        <w:rPr>
          <w:rFonts w:ascii="Arial" w:hAnsi="Arial" w:cs="Arial"/>
          <w:color w:val="000000" w:themeColor="text1"/>
          <w:sz w:val="24"/>
          <w:szCs w:val="24"/>
          <w:shd w:val="clear" w:color="auto" w:fill="FFFFFF"/>
        </w:rPr>
        <w:t>a state of arrested or incomplete development of the mind which includes significant impairment of intelligence and social functioning</w:t>
      </w:r>
      <w:r w:rsidRPr="00174693">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This is in accordance with Section 2(3) Mental Health Act 2007.</w:t>
      </w:r>
    </w:p>
    <w:p w14:paraId="56738355" w14:textId="2EFEF8C6" w:rsidR="00471244" w:rsidRPr="00474F76" w:rsidRDefault="00471244" w:rsidP="008B4645">
      <w:pPr>
        <w:spacing w:after="0"/>
        <w:rPr>
          <w:rFonts w:ascii="Arial" w:hAnsi="Arial" w:cs="Arial"/>
          <w:b/>
          <w:bCs/>
          <w:color w:val="000000" w:themeColor="text1"/>
          <w:sz w:val="32"/>
          <w:szCs w:val="32"/>
          <w:shd w:val="clear" w:color="auto" w:fill="FFFFFF"/>
        </w:rPr>
      </w:pPr>
      <w:r w:rsidRPr="00474F76">
        <w:rPr>
          <w:rFonts w:ascii="Arial" w:hAnsi="Arial" w:cs="Arial"/>
          <w:b/>
          <w:bCs/>
          <w:color w:val="000000" w:themeColor="text1"/>
          <w:sz w:val="32"/>
          <w:szCs w:val="32"/>
          <w:shd w:val="clear" w:color="auto" w:fill="FFFFFF"/>
        </w:rPr>
        <w:t>Conclusion</w:t>
      </w:r>
    </w:p>
    <w:p w14:paraId="0147118C" w14:textId="12D5D6AE" w:rsidR="00066304" w:rsidRDefault="00471244" w:rsidP="000270E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To conclude this essay, research </w:t>
      </w:r>
      <w:r w:rsidR="00A35F0C">
        <w:rPr>
          <w:rFonts w:ascii="Arial" w:hAnsi="Arial" w:cs="Arial"/>
          <w:color w:val="000000" w:themeColor="text1"/>
          <w:sz w:val="24"/>
          <w:szCs w:val="24"/>
          <w:shd w:val="clear" w:color="auto" w:fill="FFFFFF"/>
        </w:rPr>
        <w:t xml:space="preserve">suggests that ever since the Homicide Act 1957 </w:t>
      </w:r>
      <w:r>
        <w:rPr>
          <w:rFonts w:ascii="Arial" w:hAnsi="Arial" w:cs="Arial"/>
          <w:color w:val="000000" w:themeColor="text1"/>
          <w:sz w:val="24"/>
          <w:szCs w:val="24"/>
          <w:shd w:val="clear" w:color="auto" w:fill="FFFFFF"/>
        </w:rPr>
        <w:t xml:space="preserve">there was a definite need for change and that in some ways it is indeed a better system </w:t>
      </w:r>
      <w:r w:rsidR="00A35F0C">
        <w:rPr>
          <w:rFonts w:ascii="Arial" w:hAnsi="Arial" w:cs="Arial"/>
          <w:color w:val="000000" w:themeColor="text1"/>
          <w:sz w:val="24"/>
          <w:szCs w:val="24"/>
          <w:shd w:val="clear" w:color="auto" w:fill="FFFFFF"/>
        </w:rPr>
        <w:t xml:space="preserve">since the change. Old terminology was used with some that hadn’t been updated since the seventeenth century. </w:t>
      </w:r>
      <w:r w:rsidR="003D011E">
        <w:rPr>
          <w:rFonts w:ascii="Arial" w:hAnsi="Arial" w:cs="Arial"/>
          <w:color w:val="000000" w:themeColor="text1"/>
          <w:sz w:val="24"/>
          <w:szCs w:val="24"/>
          <w:shd w:val="clear" w:color="auto" w:fill="FFFFFF"/>
        </w:rPr>
        <w:t>Also, ‘a</w:t>
      </w:r>
      <w:r w:rsidR="00A35F0C">
        <w:rPr>
          <w:rFonts w:ascii="Arial" w:hAnsi="Arial" w:cs="Arial"/>
          <w:color w:val="000000" w:themeColor="text1"/>
          <w:sz w:val="24"/>
          <w:szCs w:val="24"/>
          <w:shd w:val="clear" w:color="auto" w:fill="FFFFFF"/>
        </w:rPr>
        <w:t>bnormality of mind</w:t>
      </w:r>
      <w:r w:rsidR="003D011E">
        <w:rPr>
          <w:rFonts w:ascii="Arial" w:hAnsi="Arial" w:cs="Arial"/>
          <w:color w:val="000000" w:themeColor="text1"/>
          <w:sz w:val="24"/>
          <w:szCs w:val="24"/>
          <w:shd w:val="clear" w:color="auto" w:fill="FFFFFF"/>
        </w:rPr>
        <w:t>’</w:t>
      </w:r>
      <w:r w:rsidR="00A35F0C">
        <w:rPr>
          <w:rFonts w:ascii="Arial" w:hAnsi="Arial" w:cs="Arial"/>
          <w:color w:val="000000" w:themeColor="text1"/>
          <w:sz w:val="24"/>
          <w:szCs w:val="24"/>
          <w:shd w:val="clear" w:color="auto" w:fill="FFFFFF"/>
        </w:rPr>
        <w:t xml:space="preserve"> was not a psychiatric term</w:t>
      </w:r>
      <w:r w:rsidR="003D011E">
        <w:rPr>
          <w:rFonts w:ascii="Arial" w:hAnsi="Arial" w:cs="Arial"/>
          <w:color w:val="000000" w:themeColor="text1"/>
          <w:sz w:val="24"/>
          <w:szCs w:val="24"/>
          <w:shd w:val="clear" w:color="auto" w:fill="FFFFFF"/>
        </w:rPr>
        <w:t>. The changes made by the Coroners and Justice Act 2009 did</w:t>
      </w:r>
      <w:r>
        <w:rPr>
          <w:rFonts w:ascii="Arial" w:hAnsi="Arial" w:cs="Arial"/>
          <w:color w:val="000000" w:themeColor="text1"/>
          <w:sz w:val="24"/>
          <w:szCs w:val="24"/>
          <w:shd w:val="clear" w:color="auto" w:fill="FFFFFF"/>
        </w:rPr>
        <w:t xml:space="preserve"> change in the terminology that was heavily criticised and was accused of being ‘outdated’. </w:t>
      </w:r>
      <w:r w:rsidR="00BB1E7D">
        <w:rPr>
          <w:rFonts w:ascii="Arial" w:hAnsi="Arial" w:cs="Arial"/>
          <w:color w:val="000000" w:themeColor="text1"/>
          <w:sz w:val="24"/>
          <w:szCs w:val="24"/>
          <w:shd w:val="clear" w:color="auto" w:fill="FFFFFF"/>
        </w:rPr>
        <w:t>‘Abnormality of mind’ was changed to ‘abnormality of mental functioning’.</w:t>
      </w:r>
      <w:r w:rsidR="00EE69DE">
        <w:rPr>
          <w:rFonts w:ascii="Arial" w:hAnsi="Arial" w:cs="Arial"/>
          <w:color w:val="000000" w:themeColor="text1"/>
          <w:sz w:val="24"/>
          <w:szCs w:val="24"/>
          <w:shd w:val="clear" w:color="auto" w:fill="FFFFFF"/>
        </w:rPr>
        <w:t xml:space="preserve"> </w:t>
      </w:r>
    </w:p>
    <w:sdt>
      <w:sdtPr>
        <w:rPr>
          <w:rFonts w:asciiTheme="minorHAnsi" w:eastAsiaTheme="minorEastAsia" w:hAnsiTheme="minorHAnsi" w:cstheme="minorBidi"/>
          <w:color w:val="auto"/>
          <w:sz w:val="22"/>
          <w:szCs w:val="22"/>
          <w:lang w:val="en-GB" w:eastAsia="zh-CN"/>
        </w:rPr>
        <w:id w:val="-181821094"/>
        <w:docPartObj>
          <w:docPartGallery w:val="Bibliographies"/>
          <w:docPartUnique/>
        </w:docPartObj>
      </w:sdtPr>
      <w:sdtEndPr>
        <w:rPr>
          <w:rFonts w:cstheme="minorHAnsi"/>
        </w:rPr>
      </w:sdtEndPr>
      <w:sdtContent>
        <w:p w14:paraId="2A869E49" w14:textId="4554D3D2" w:rsidR="00474F76" w:rsidRPr="00FD61D9" w:rsidRDefault="00474F76">
          <w:pPr>
            <w:pStyle w:val="Heading1"/>
            <w:rPr>
              <w:rFonts w:ascii="Arial" w:hAnsi="Arial" w:cs="Arial"/>
              <w:b/>
              <w:bCs/>
              <w:color w:val="auto"/>
            </w:rPr>
          </w:pPr>
          <w:r w:rsidRPr="00FD61D9">
            <w:rPr>
              <w:rFonts w:ascii="Arial" w:hAnsi="Arial" w:cs="Arial"/>
              <w:b/>
              <w:bCs/>
              <w:color w:val="auto"/>
            </w:rPr>
            <w:t>References</w:t>
          </w:r>
        </w:p>
        <w:sdt>
          <w:sdtPr>
            <w:id w:val="-573587230"/>
            <w:bibliography/>
          </w:sdtPr>
          <w:sdtEndPr>
            <w:rPr>
              <w:rFonts w:cstheme="minorHAnsi"/>
            </w:rPr>
          </w:sdtEndPr>
          <w:sdtContent>
            <w:p w14:paraId="05AB3D26" w14:textId="77777777" w:rsidR="004272E5" w:rsidRDefault="00474F76" w:rsidP="004272E5">
              <w:pPr>
                <w:pStyle w:val="Bibliography"/>
                <w:rPr>
                  <w:noProof/>
                  <w:sz w:val="24"/>
                  <w:szCs w:val="24"/>
                  <w:lang w:val="en-US"/>
                </w:rPr>
              </w:pPr>
              <w:r w:rsidRPr="004272E5">
                <w:rPr>
                  <w:rFonts w:ascii="Arial" w:hAnsi="Arial" w:cs="Arial"/>
                  <w:sz w:val="24"/>
                  <w:szCs w:val="24"/>
                </w:rPr>
                <w:fldChar w:fldCharType="begin"/>
              </w:r>
              <w:r w:rsidRPr="004272E5">
                <w:rPr>
                  <w:rFonts w:ascii="Arial" w:hAnsi="Arial" w:cs="Arial"/>
                  <w:sz w:val="24"/>
                  <w:szCs w:val="24"/>
                </w:rPr>
                <w:instrText xml:space="preserve"> BIBLIOGRAPHY </w:instrText>
              </w:r>
              <w:r w:rsidRPr="004272E5">
                <w:rPr>
                  <w:rFonts w:ascii="Arial" w:hAnsi="Arial" w:cs="Arial"/>
                  <w:sz w:val="24"/>
                  <w:szCs w:val="24"/>
                </w:rPr>
                <w:fldChar w:fldCharType="separate"/>
              </w:r>
              <w:r w:rsidR="004272E5">
                <w:rPr>
                  <w:noProof/>
                  <w:lang w:val="en-US"/>
                </w:rPr>
                <w:t xml:space="preserve">Crown Prosecution Service, 2019. </w:t>
              </w:r>
              <w:r w:rsidR="004272E5">
                <w:rPr>
                  <w:i/>
                  <w:iCs/>
                  <w:noProof/>
                  <w:lang w:val="en-US"/>
                </w:rPr>
                <w:t xml:space="preserve">Mental Health Conditions and Disorders: Draft Prosecution Guidance. </w:t>
              </w:r>
              <w:r w:rsidR="004272E5">
                <w:rPr>
                  <w:noProof/>
                  <w:lang w:val="en-US"/>
                </w:rPr>
                <w:t xml:space="preserve">[Online] </w:t>
              </w:r>
              <w:r w:rsidR="004272E5">
                <w:rPr>
                  <w:noProof/>
                  <w:lang w:val="en-US"/>
                </w:rPr>
                <w:br/>
                <w:t xml:space="preserve">Available at: </w:t>
              </w:r>
              <w:r w:rsidR="004272E5">
                <w:rPr>
                  <w:noProof/>
                  <w:u w:val="single"/>
                  <w:lang w:val="en-US"/>
                </w:rPr>
                <w:t>https://www.cps.gov.uk/publication/mental-health-conditions-and-disorders-draft-prosecution-guidance</w:t>
              </w:r>
              <w:r w:rsidR="004272E5">
                <w:rPr>
                  <w:noProof/>
                  <w:lang w:val="en-US"/>
                </w:rPr>
                <w:br/>
                <w:t>[Accessed 10 March 2023].</w:t>
              </w:r>
            </w:p>
            <w:p w14:paraId="15558E82" w14:textId="77777777" w:rsidR="004272E5" w:rsidRDefault="004272E5" w:rsidP="004272E5">
              <w:pPr>
                <w:pStyle w:val="Bibliography"/>
                <w:rPr>
                  <w:noProof/>
                  <w:lang w:val="en-US"/>
                </w:rPr>
              </w:pPr>
              <w:r>
                <w:rPr>
                  <w:noProof/>
                  <w:lang w:val="en-US"/>
                </w:rPr>
                <w:t xml:space="preserve">Kennefick, L., 2011. Introducing a New Diminished Responsibility Defence for England and Wales. </w:t>
              </w:r>
              <w:r>
                <w:rPr>
                  <w:i/>
                  <w:iCs/>
                  <w:noProof/>
                  <w:lang w:val="en-US"/>
                </w:rPr>
                <w:t xml:space="preserve">The Modern Law Review, </w:t>
              </w:r>
              <w:r>
                <w:rPr>
                  <w:noProof/>
                  <w:lang w:val="en-US"/>
                </w:rPr>
                <w:t>74(5), pp. 750-766.</w:t>
              </w:r>
            </w:p>
            <w:p w14:paraId="0E48D172" w14:textId="77777777" w:rsidR="004272E5" w:rsidRDefault="004272E5" w:rsidP="004272E5">
              <w:pPr>
                <w:pStyle w:val="Bibliography"/>
                <w:rPr>
                  <w:noProof/>
                  <w:lang w:val="en-US"/>
                </w:rPr>
              </w:pPr>
              <w:r>
                <w:rPr>
                  <w:noProof/>
                  <w:lang w:val="en-US"/>
                </w:rPr>
                <w:t xml:space="preserve">Law Commission, 2006. </w:t>
              </w:r>
              <w:r>
                <w:rPr>
                  <w:i/>
                  <w:iCs/>
                  <w:noProof/>
                  <w:lang w:val="en-US"/>
                </w:rPr>
                <w:t xml:space="preserve">Murder, Manslaughter and Infanticide, </w:t>
              </w:r>
              <w:r>
                <w:rPr>
                  <w:noProof/>
                  <w:lang w:val="en-US"/>
                </w:rPr>
                <w:t>London: s.n.</w:t>
              </w:r>
            </w:p>
            <w:p w14:paraId="1A97A914" w14:textId="77777777" w:rsidR="004272E5" w:rsidRDefault="004272E5" w:rsidP="004272E5">
              <w:pPr>
                <w:pStyle w:val="Bibliography"/>
                <w:rPr>
                  <w:noProof/>
                  <w:lang w:val="en-US"/>
                </w:rPr>
              </w:pPr>
              <w:r>
                <w:rPr>
                  <w:noProof/>
                  <w:lang w:val="en-US"/>
                </w:rPr>
                <w:t xml:space="preserve">legislation.gov.uk, 2007. </w:t>
              </w:r>
              <w:r>
                <w:rPr>
                  <w:i/>
                  <w:iCs/>
                  <w:noProof/>
                  <w:lang w:val="en-US"/>
                </w:rPr>
                <w:t xml:space="preserve">Mental Health Act 2007. </w:t>
              </w:r>
              <w:r>
                <w:rPr>
                  <w:noProof/>
                  <w:lang w:val="en-US"/>
                </w:rPr>
                <w:t xml:space="preserve">[Online] </w:t>
              </w:r>
              <w:r>
                <w:rPr>
                  <w:noProof/>
                  <w:lang w:val="en-US"/>
                </w:rPr>
                <w:br/>
                <w:t xml:space="preserve">Available at: </w:t>
              </w:r>
              <w:r>
                <w:rPr>
                  <w:noProof/>
                  <w:u w:val="single"/>
                  <w:lang w:val="en-US"/>
                </w:rPr>
                <w:t>https://www.legislation.gov.uk/ukpga/2007/12/part/1</w:t>
              </w:r>
              <w:r>
                <w:rPr>
                  <w:noProof/>
                  <w:lang w:val="en-US"/>
                </w:rPr>
                <w:br/>
                <w:t>[Accessed 10 March 2023].</w:t>
              </w:r>
            </w:p>
            <w:p w14:paraId="473E339D" w14:textId="77777777" w:rsidR="004272E5" w:rsidRDefault="004272E5" w:rsidP="004272E5">
              <w:pPr>
                <w:pStyle w:val="Bibliography"/>
                <w:rPr>
                  <w:noProof/>
                  <w:lang w:val="en-US"/>
                </w:rPr>
              </w:pPr>
              <w:r>
                <w:rPr>
                  <w:noProof/>
                  <w:lang w:val="en-US"/>
                </w:rPr>
                <w:t xml:space="preserve">legislation.gov.uk, 2009. </w:t>
              </w:r>
              <w:r>
                <w:rPr>
                  <w:i/>
                  <w:iCs/>
                  <w:noProof/>
                  <w:lang w:val="en-US"/>
                </w:rPr>
                <w:t xml:space="preserve">Coroners and Justice Act 2009. </w:t>
              </w:r>
              <w:r>
                <w:rPr>
                  <w:noProof/>
                  <w:lang w:val="en-US"/>
                </w:rPr>
                <w:t xml:space="preserve">[Online] </w:t>
              </w:r>
              <w:r>
                <w:rPr>
                  <w:noProof/>
                  <w:lang w:val="en-US"/>
                </w:rPr>
                <w:br/>
                <w:t xml:space="preserve">Available at: </w:t>
              </w:r>
              <w:r>
                <w:rPr>
                  <w:noProof/>
                  <w:u w:val="single"/>
                  <w:lang w:val="en-US"/>
                </w:rPr>
                <w:t>https://www.legislation.gov.uk/ukpga/2009/25/section/52</w:t>
              </w:r>
              <w:r>
                <w:rPr>
                  <w:noProof/>
                  <w:lang w:val="en-US"/>
                </w:rPr>
                <w:br/>
                <w:t>[Accessed 09 March 2023].</w:t>
              </w:r>
            </w:p>
            <w:p w14:paraId="384EF596" w14:textId="77777777" w:rsidR="004272E5" w:rsidRDefault="004272E5" w:rsidP="004272E5">
              <w:pPr>
                <w:pStyle w:val="Bibliography"/>
                <w:rPr>
                  <w:noProof/>
                  <w:lang w:val="en-US"/>
                </w:rPr>
              </w:pPr>
              <w:r>
                <w:rPr>
                  <w:noProof/>
                  <w:lang w:val="en-US"/>
                </w:rPr>
                <w:lastRenderedPageBreak/>
                <w:t xml:space="preserve">legislation.gov.uk, n.d. </w:t>
              </w:r>
              <w:r>
                <w:rPr>
                  <w:i/>
                  <w:iCs/>
                  <w:noProof/>
                  <w:lang w:val="en-US"/>
                </w:rPr>
                <w:t xml:space="preserve">The Homicide Act 1957 Section 2. </w:t>
              </w:r>
              <w:r>
                <w:rPr>
                  <w:noProof/>
                  <w:lang w:val="en-US"/>
                </w:rPr>
                <w:t xml:space="preserve">[Online] </w:t>
              </w:r>
              <w:r>
                <w:rPr>
                  <w:noProof/>
                  <w:lang w:val="en-US"/>
                </w:rPr>
                <w:br/>
                <w:t xml:space="preserve">Available at: </w:t>
              </w:r>
              <w:r>
                <w:rPr>
                  <w:noProof/>
                  <w:u w:val="single"/>
                  <w:lang w:val="en-US"/>
                </w:rPr>
                <w:t xml:space="preserve">https://www.legislation.gov.uk/ukpga/Eliz2/5-6/11/section/2 </w:t>
              </w:r>
              <w:r>
                <w:rPr>
                  <w:noProof/>
                  <w:lang w:val="en-US"/>
                </w:rPr>
                <w:br/>
                <w:t>[Accessed 09 March 2023].</w:t>
              </w:r>
            </w:p>
            <w:p w14:paraId="1B8306E4" w14:textId="77777777" w:rsidR="008D0644" w:rsidRPr="00FC492A" w:rsidRDefault="00474F76" w:rsidP="004272E5">
              <w:pPr>
                <w:rPr>
                  <w:rFonts w:cstheme="minorHAnsi"/>
                  <w:noProof/>
                </w:rPr>
              </w:pPr>
              <w:r w:rsidRPr="004272E5">
                <w:rPr>
                  <w:rFonts w:ascii="Arial" w:hAnsi="Arial" w:cs="Arial"/>
                  <w:b/>
                  <w:bCs/>
                  <w:noProof/>
                  <w:sz w:val="24"/>
                  <w:szCs w:val="24"/>
                </w:rPr>
                <w:fldChar w:fldCharType="end"/>
              </w:r>
              <w:r w:rsidR="008D0644" w:rsidRPr="00FC492A">
                <w:rPr>
                  <w:rFonts w:cstheme="minorHAnsi"/>
                  <w:noProof/>
                </w:rPr>
                <w:t>R v Campbell (1996)</w:t>
              </w:r>
            </w:p>
            <w:p w14:paraId="09731A55" w14:textId="0153E47C" w:rsidR="00474F76" w:rsidRPr="00FC492A" w:rsidRDefault="008D0644" w:rsidP="008D0644">
              <w:pPr>
                <w:rPr>
                  <w:rFonts w:cstheme="minorHAnsi"/>
                </w:rPr>
              </w:pPr>
              <w:r w:rsidRPr="00FC492A">
                <w:rPr>
                  <w:rFonts w:cstheme="minorHAnsi"/>
                  <w:noProof/>
                </w:rPr>
                <w:t>R v Ahluwalia</w:t>
              </w:r>
              <w:r w:rsidRPr="00FC492A">
                <w:rPr>
                  <w:rFonts w:cstheme="minorHAnsi"/>
                  <w:b/>
                  <w:bCs/>
                  <w:noProof/>
                </w:rPr>
                <w:t xml:space="preserve"> </w:t>
              </w:r>
              <w:r w:rsidRPr="00FC492A">
                <w:rPr>
                  <w:rFonts w:cstheme="minorHAnsi"/>
                  <w:noProof/>
                </w:rPr>
                <w:t>(1993)</w:t>
              </w:r>
            </w:p>
          </w:sdtContent>
        </w:sdt>
      </w:sdtContent>
    </w:sdt>
    <w:p w14:paraId="59A925B1" w14:textId="77777777" w:rsidR="00A35F0C" w:rsidRPr="00471244" w:rsidRDefault="00A35F0C" w:rsidP="000270E0">
      <w:pPr>
        <w:rPr>
          <w:rFonts w:ascii="Arial" w:hAnsi="Arial" w:cs="Arial"/>
          <w:color w:val="000000" w:themeColor="text1"/>
          <w:sz w:val="24"/>
          <w:szCs w:val="24"/>
        </w:rPr>
      </w:pPr>
    </w:p>
    <w:sectPr w:rsidR="00A35F0C" w:rsidRPr="0047124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06970" w14:textId="77777777" w:rsidR="00FC16D9" w:rsidRDefault="00FC16D9" w:rsidP="00AA7504">
      <w:pPr>
        <w:spacing w:after="0" w:line="240" w:lineRule="auto"/>
      </w:pPr>
      <w:r>
        <w:separator/>
      </w:r>
    </w:p>
  </w:endnote>
  <w:endnote w:type="continuationSeparator" w:id="0">
    <w:p w14:paraId="6E34BB26" w14:textId="77777777" w:rsidR="00FC16D9" w:rsidRDefault="00FC16D9" w:rsidP="00AA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AF7B0" w14:textId="77777777" w:rsidR="004272E5" w:rsidRDefault="004272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792497"/>
      <w:docPartObj>
        <w:docPartGallery w:val="Page Numbers (Bottom of Page)"/>
        <w:docPartUnique/>
      </w:docPartObj>
    </w:sdtPr>
    <w:sdtEndPr>
      <w:rPr>
        <w:noProof/>
      </w:rPr>
    </w:sdtEndPr>
    <w:sdtContent>
      <w:p w14:paraId="18200554" w14:textId="4E712C12" w:rsidR="00666E21" w:rsidRDefault="00666E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585C9A" w14:textId="77777777" w:rsidR="00666E21" w:rsidRDefault="00666E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A9C27" w14:textId="77777777" w:rsidR="004272E5" w:rsidRDefault="00427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0D790" w14:textId="77777777" w:rsidR="00FC16D9" w:rsidRDefault="00FC16D9" w:rsidP="00AA7504">
      <w:pPr>
        <w:spacing w:after="0" w:line="240" w:lineRule="auto"/>
      </w:pPr>
      <w:r>
        <w:separator/>
      </w:r>
    </w:p>
  </w:footnote>
  <w:footnote w:type="continuationSeparator" w:id="0">
    <w:p w14:paraId="17E93E1A" w14:textId="77777777" w:rsidR="00FC16D9" w:rsidRDefault="00FC16D9" w:rsidP="00AA7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F6D2E" w14:textId="77777777" w:rsidR="004272E5" w:rsidRDefault="004272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ECB1F" w14:textId="77777777" w:rsidR="004272E5" w:rsidRDefault="004272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4EAA0" w14:textId="77777777" w:rsidR="004272E5" w:rsidRDefault="004272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A83E80"/>
    <w:multiLevelType w:val="hybridMultilevel"/>
    <w:tmpl w:val="726AD1E6"/>
    <w:lvl w:ilvl="0" w:tplc="676ADAC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ABF"/>
    <w:rsid w:val="000270E0"/>
    <w:rsid w:val="00066304"/>
    <w:rsid w:val="000930E9"/>
    <w:rsid w:val="000B3C64"/>
    <w:rsid w:val="000C1824"/>
    <w:rsid w:val="000D7B52"/>
    <w:rsid w:val="00114D99"/>
    <w:rsid w:val="00117D26"/>
    <w:rsid w:val="00174693"/>
    <w:rsid w:val="001C2B42"/>
    <w:rsid w:val="001F078A"/>
    <w:rsid w:val="00234F4B"/>
    <w:rsid w:val="003C1AA1"/>
    <w:rsid w:val="003D011E"/>
    <w:rsid w:val="003D4D44"/>
    <w:rsid w:val="004272E5"/>
    <w:rsid w:val="00471244"/>
    <w:rsid w:val="00474F76"/>
    <w:rsid w:val="004A105D"/>
    <w:rsid w:val="004E7932"/>
    <w:rsid w:val="004F29CF"/>
    <w:rsid w:val="0051259A"/>
    <w:rsid w:val="00532FE3"/>
    <w:rsid w:val="005401F3"/>
    <w:rsid w:val="005A1E9E"/>
    <w:rsid w:val="005B0FAA"/>
    <w:rsid w:val="00652ABF"/>
    <w:rsid w:val="00666E21"/>
    <w:rsid w:val="006729B5"/>
    <w:rsid w:val="00694528"/>
    <w:rsid w:val="006C4CCA"/>
    <w:rsid w:val="007402E0"/>
    <w:rsid w:val="00756C9C"/>
    <w:rsid w:val="007D66B2"/>
    <w:rsid w:val="007F6A94"/>
    <w:rsid w:val="00842E60"/>
    <w:rsid w:val="008564A7"/>
    <w:rsid w:val="00870626"/>
    <w:rsid w:val="00872AD8"/>
    <w:rsid w:val="00894B4C"/>
    <w:rsid w:val="008B4645"/>
    <w:rsid w:val="008D0644"/>
    <w:rsid w:val="008D215C"/>
    <w:rsid w:val="008F758F"/>
    <w:rsid w:val="0090638E"/>
    <w:rsid w:val="00940F40"/>
    <w:rsid w:val="00960BFB"/>
    <w:rsid w:val="0097463E"/>
    <w:rsid w:val="0098642B"/>
    <w:rsid w:val="009B4955"/>
    <w:rsid w:val="009C76AF"/>
    <w:rsid w:val="009F4102"/>
    <w:rsid w:val="00A33A60"/>
    <w:rsid w:val="00A35D20"/>
    <w:rsid w:val="00A35F0C"/>
    <w:rsid w:val="00A37234"/>
    <w:rsid w:val="00AA7504"/>
    <w:rsid w:val="00AC0021"/>
    <w:rsid w:val="00AD06FA"/>
    <w:rsid w:val="00B302C9"/>
    <w:rsid w:val="00B31291"/>
    <w:rsid w:val="00B41DE0"/>
    <w:rsid w:val="00B63F01"/>
    <w:rsid w:val="00B80105"/>
    <w:rsid w:val="00BB1E7D"/>
    <w:rsid w:val="00BE3994"/>
    <w:rsid w:val="00C024FC"/>
    <w:rsid w:val="00C62C42"/>
    <w:rsid w:val="00C644D1"/>
    <w:rsid w:val="00CB7636"/>
    <w:rsid w:val="00D31D55"/>
    <w:rsid w:val="00D71460"/>
    <w:rsid w:val="00D9475E"/>
    <w:rsid w:val="00DE1094"/>
    <w:rsid w:val="00E0359D"/>
    <w:rsid w:val="00E1019F"/>
    <w:rsid w:val="00E36FB7"/>
    <w:rsid w:val="00E3787A"/>
    <w:rsid w:val="00EE69DE"/>
    <w:rsid w:val="00F1430A"/>
    <w:rsid w:val="00FB02E8"/>
    <w:rsid w:val="00FC16D9"/>
    <w:rsid w:val="00FC492A"/>
    <w:rsid w:val="00FD61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44D5D7"/>
  <w15:chartTrackingRefBased/>
  <w15:docId w15:val="{BA8C6D4F-D606-426E-B7DA-3B74418C1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76"/>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52AB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652ABF"/>
  </w:style>
  <w:style w:type="character" w:customStyle="1" w:styleId="eop">
    <w:name w:val="eop"/>
    <w:basedOn w:val="DefaultParagraphFont"/>
    <w:rsid w:val="00652ABF"/>
  </w:style>
  <w:style w:type="paragraph" w:styleId="Header">
    <w:name w:val="header"/>
    <w:basedOn w:val="Normal"/>
    <w:link w:val="HeaderChar"/>
    <w:uiPriority w:val="99"/>
    <w:unhideWhenUsed/>
    <w:rsid w:val="00AA7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504"/>
  </w:style>
  <w:style w:type="paragraph" w:styleId="Footer">
    <w:name w:val="footer"/>
    <w:basedOn w:val="Normal"/>
    <w:link w:val="FooterChar"/>
    <w:uiPriority w:val="99"/>
    <w:unhideWhenUsed/>
    <w:rsid w:val="00AA7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504"/>
  </w:style>
  <w:style w:type="paragraph" w:customStyle="1" w:styleId="legclearfix">
    <w:name w:val="legclearfix"/>
    <w:basedOn w:val="Normal"/>
    <w:rsid w:val="00AC002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egamendingtext">
    <w:name w:val="legamendingtext"/>
    <w:basedOn w:val="DefaultParagraphFont"/>
    <w:rsid w:val="00AC0021"/>
  </w:style>
  <w:style w:type="character" w:customStyle="1" w:styleId="Heading1Char">
    <w:name w:val="Heading 1 Char"/>
    <w:basedOn w:val="DefaultParagraphFont"/>
    <w:link w:val="Heading1"/>
    <w:uiPriority w:val="9"/>
    <w:rsid w:val="00474F7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540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3811">
      <w:bodyDiv w:val="1"/>
      <w:marLeft w:val="0"/>
      <w:marRight w:val="0"/>
      <w:marTop w:val="0"/>
      <w:marBottom w:val="0"/>
      <w:divBdr>
        <w:top w:val="none" w:sz="0" w:space="0" w:color="auto"/>
        <w:left w:val="none" w:sz="0" w:space="0" w:color="auto"/>
        <w:bottom w:val="none" w:sz="0" w:space="0" w:color="auto"/>
        <w:right w:val="none" w:sz="0" w:space="0" w:color="auto"/>
      </w:divBdr>
    </w:div>
    <w:div w:id="74012289">
      <w:bodyDiv w:val="1"/>
      <w:marLeft w:val="0"/>
      <w:marRight w:val="0"/>
      <w:marTop w:val="0"/>
      <w:marBottom w:val="0"/>
      <w:divBdr>
        <w:top w:val="none" w:sz="0" w:space="0" w:color="auto"/>
        <w:left w:val="none" w:sz="0" w:space="0" w:color="auto"/>
        <w:bottom w:val="none" w:sz="0" w:space="0" w:color="auto"/>
        <w:right w:val="none" w:sz="0" w:space="0" w:color="auto"/>
      </w:divBdr>
    </w:div>
    <w:div w:id="92630986">
      <w:bodyDiv w:val="1"/>
      <w:marLeft w:val="0"/>
      <w:marRight w:val="0"/>
      <w:marTop w:val="0"/>
      <w:marBottom w:val="0"/>
      <w:divBdr>
        <w:top w:val="none" w:sz="0" w:space="0" w:color="auto"/>
        <w:left w:val="none" w:sz="0" w:space="0" w:color="auto"/>
        <w:bottom w:val="none" w:sz="0" w:space="0" w:color="auto"/>
        <w:right w:val="none" w:sz="0" w:space="0" w:color="auto"/>
      </w:divBdr>
    </w:div>
    <w:div w:id="127095276">
      <w:bodyDiv w:val="1"/>
      <w:marLeft w:val="0"/>
      <w:marRight w:val="0"/>
      <w:marTop w:val="0"/>
      <w:marBottom w:val="0"/>
      <w:divBdr>
        <w:top w:val="none" w:sz="0" w:space="0" w:color="auto"/>
        <w:left w:val="none" w:sz="0" w:space="0" w:color="auto"/>
        <w:bottom w:val="none" w:sz="0" w:space="0" w:color="auto"/>
        <w:right w:val="none" w:sz="0" w:space="0" w:color="auto"/>
      </w:divBdr>
    </w:div>
    <w:div w:id="131682655">
      <w:bodyDiv w:val="1"/>
      <w:marLeft w:val="0"/>
      <w:marRight w:val="0"/>
      <w:marTop w:val="0"/>
      <w:marBottom w:val="0"/>
      <w:divBdr>
        <w:top w:val="none" w:sz="0" w:space="0" w:color="auto"/>
        <w:left w:val="none" w:sz="0" w:space="0" w:color="auto"/>
        <w:bottom w:val="none" w:sz="0" w:space="0" w:color="auto"/>
        <w:right w:val="none" w:sz="0" w:space="0" w:color="auto"/>
      </w:divBdr>
    </w:div>
    <w:div w:id="146558301">
      <w:bodyDiv w:val="1"/>
      <w:marLeft w:val="0"/>
      <w:marRight w:val="0"/>
      <w:marTop w:val="0"/>
      <w:marBottom w:val="0"/>
      <w:divBdr>
        <w:top w:val="none" w:sz="0" w:space="0" w:color="auto"/>
        <w:left w:val="none" w:sz="0" w:space="0" w:color="auto"/>
        <w:bottom w:val="none" w:sz="0" w:space="0" w:color="auto"/>
        <w:right w:val="none" w:sz="0" w:space="0" w:color="auto"/>
      </w:divBdr>
    </w:div>
    <w:div w:id="213809216">
      <w:bodyDiv w:val="1"/>
      <w:marLeft w:val="0"/>
      <w:marRight w:val="0"/>
      <w:marTop w:val="0"/>
      <w:marBottom w:val="0"/>
      <w:divBdr>
        <w:top w:val="none" w:sz="0" w:space="0" w:color="auto"/>
        <w:left w:val="none" w:sz="0" w:space="0" w:color="auto"/>
        <w:bottom w:val="none" w:sz="0" w:space="0" w:color="auto"/>
        <w:right w:val="none" w:sz="0" w:space="0" w:color="auto"/>
      </w:divBdr>
    </w:div>
    <w:div w:id="361781323">
      <w:bodyDiv w:val="1"/>
      <w:marLeft w:val="0"/>
      <w:marRight w:val="0"/>
      <w:marTop w:val="0"/>
      <w:marBottom w:val="0"/>
      <w:divBdr>
        <w:top w:val="none" w:sz="0" w:space="0" w:color="auto"/>
        <w:left w:val="none" w:sz="0" w:space="0" w:color="auto"/>
        <w:bottom w:val="none" w:sz="0" w:space="0" w:color="auto"/>
        <w:right w:val="none" w:sz="0" w:space="0" w:color="auto"/>
      </w:divBdr>
    </w:div>
    <w:div w:id="372923725">
      <w:bodyDiv w:val="1"/>
      <w:marLeft w:val="0"/>
      <w:marRight w:val="0"/>
      <w:marTop w:val="0"/>
      <w:marBottom w:val="0"/>
      <w:divBdr>
        <w:top w:val="none" w:sz="0" w:space="0" w:color="auto"/>
        <w:left w:val="none" w:sz="0" w:space="0" w:color="auto"/>
        <w:bottom w:val="none" w:sz="0" w:space="0" w:color="auto"/>
        <w:right w:val="none" w:sz="0" w:space="0" w:color="auto"/>
      </w:divBdr>
    </w:div>
    <w:div w:id="381907564">
      <w:bodyDiv w:val="1"/>
      <w:marLeft w:val="0"/>
      <w:marRight w:val="0"/>
      <w:marTop w:val="0"/>
      <w:marBottom w:val="0"/>
      <w:divBdr>
        <w:top w:val="none" w:sz="0" w:space="0" w:color="auto"/>
        <w:left w:val="none" w:sz="0" w:space="0" w:color="auto"/>
        <w:bottom w:val="none" w:sz="0" w:space="0" w:color="auto"/>
        <w:right w:val="none" w:sz="0" w:space="0" w:color="auto"/>
      </w:divBdr>
    </w:div>
    <w:div w:id="417143166">
      <w:bodyDiv w:val="1"/>
      <w:marLeft w:val="0"/>
      <w:marRight w:val="0"/>
      <w:marTop w:val="0"/>
      <w:marBottom w:val="0"/>
      <w:divBdr>
        <w:top w:val="none" w:sz="0" w:space="0" w:color="auto"/>
        <w:left w:val="none" w:sz="0" w:space="0" w:color="auto"/>
        <w:bottom w:val="none" w:sz="0" w:space="0" w:color="auto"/>
        <w:right w:val="none" w:sz="0" w:space="0" w:color="auto"/>
      </w:divBdr>
    </w:div>
    <w:div w:id="461536784">
      <w:bodyDiv w:val="1"/>
      <w:marLeft w:val="0"/>
      <w:marRight w:val="0"/>
      <w:marTop w:val="0"/>
      <w:marBottom w:val="0"/>
      <w:divBdr>
        <w:top w:val="none" w:sz="0" w:space="0" w:color="auto"/>
        <w:left w:val="none" w:sz="0" w:space="0" w:color="auto"/>
        <w:bottom w:val="none" w:sz="0" w:space="0" w:color="auto"/>
        <w:right w:val="none" w:sz="0" w:space="0" w:color="auto"/>
      </w:divBdr>
    </w:div>
    <w:div w:id="542211116">
      <w:bodyDiv w:val="1"/>
      <w:marLeft w:val="0"/>
      <w:marRight w:val="0"/>
      <w:marTop w:val="0"/>
      <w:marBottom w:val="0"/>
      <w:divBdr>
        <w:top w:val="none" w:sz="0" w:space="0" w:color="auto"/>
        <w:left w:val="none" w:sz="0" w:space="0" w:color="auto"/>
        <w:bottom w:val="none" w:sz="0" w:space="0" w:color="auto"/>
        <w:right w:val="none" w:sz="0" w:space="0" w:color="auto"/>
      </w:divBdr>
    </w:div>
    <w:div w:id="544030735">
      <w:bodyDiv w:val="1"/>
      <w:marLeft w:val="0"/>
      <w:marRight w:val="0"/>
      <w:marTop w:val="0"/>
      <w:marBottom w:val="0"/>
      <w:divBdr>
        <w:top w:val="none" w:sz="0" w:space="0" w:color="auto"/>
        <w:left w:val="none" w:sz="0" w:space="0" w:color="auto"/>
        <w:bottom w:val="none" w:sz="0" w:space="0" w:color="auto"/>
        <w:right w:val="none" w:sz="0" w:space="0" w:color="auto"/>
      </w:divBdr>
    </w:div>
    <w:div w:id="563301488">
      <w:bodyDiv w:val="1"/>
      <w:marLeft w:val="0"/>
      <w:marRight w:val="0"/>
      <w:marTop w:val="0"/>
      <w:marBottom w:val="0"/>
      <w:divBdr>
        <w:top w:val="none" w:sz="0" w:space="0" w:color="auto"/>
        <w:left w:val="none" w:sz="0" w:space="0" w:color="auto"/>
        <w:bottom w:val="none" w:sz="0" w:space="0" w:color="auto"/>
        <w:right w:val="none" w:sz="0" w:space="0" w:color="auto"/>
      </w:divBdr>
    </w:div>
    <w:div w:id="728916452">
      <w:bodyDiv w:val="1"/>
      <w:marLeft w:val="0"/>
      <w:marRight w:val="0"/>
      <w:marTop w:val="0"/>
      <w:marBottom w:val="0"/>
      <w:divBdr>
        <w:top w:val="none" w:sz="0" w:space="0" w:color="auto"/>
        <w:left w:val="none" w:sz="0" w:space="0" w:color="auto"/>
        <w:bottom w:val="none" w:sz="0" w:space="0" w:color="auto"/>
        <w:right w:val="none" w:sz="0" w:space="0" w:color="auto"/>
      </w:divBdr>
    </w:div>
    <w:div w:id="826558786">
      <w:bodyDiv w:val="1"/>
      <w:marLeft w:val="0"/>
      <w:marRight w:val="0"/>
      <w:marTop w:val="0"/>
      <w:marBottom w:val="0"/>
      <w:divBdr>
        <w:top w:val="none" w:sz="0" w:space="0" w:color="auto"/>
        <w:left w:val="none" w:sz="0" w:space="0" w:color="auto"/>
        <w:bottom w:val="none" w:sz="0" w:space="0" w:color="auto"/>
        <w:right w:val="none" w:sz="0" w:space="0" w:color="auto"/>
      </w:divBdr>
    </w:div>
    <w:div w:id="840856041">
      <w:bodyDiv w:val="1"/>
      <w:marLeft w:val="0"/>
      <w:marRight w:val="0"/>
      <w:marTop w:val="0"/>
      <w:marBottom w:val="0"/>
      <w:divBdr>
        <w:top w:val="none" w:sz="0" w:space="0" w:color="auto"/>
        <w:left w:val="none" w:sz="0" w:space="0" w:color="auto"/>
        <w:bottom w:val="none" w:sz="0" w:space="0" w:color="auto"/>
        <w:right w:val="none" w:sz="0" w:space="0" w:color="auto"/>
      </w:divBdr>
    </w:div>
    <w:div w:id="855776223">
      <w:bodyDiv w:val="1"/>
      <w:marLeft w:val="0"/>
      <w:marRight w:val="0"/>
      <w:marTop w:val="0"/>
      <w:marBottom w:val="0"/>
      <w:divBdr>
        <w:top w:val="none" w:sz="0" w:space="0" w:color="auto"/>
        <w:left w:val="none" w:sz="0" w:space="0" w:color="auto"/>
        <w:bottom w:val="none" w:sz="0" w:space="0" w:color="auto"/>
        <w:right w:val="none" w:sz="0" w:space="0" w:color="auto"/>
      </w:divBdr>
    </w:div>
    <w:div w:id="862670212">
      <w:bodyDiv w:val="1"/>
      <w:marLeft w:val="0"/>
      <w:marRight w:val="0"/>
      <w:marTop w:val="0"/>
      <w:marBottom w:val="0"/>
      <w:divBdr>
        <w:top w:val="none" w:sz="0" w:space="0" w:color="auto"/>
        <w:left w:val="none" w:sz="0" w:space="0" w:color="auto"/>
        <w:bottom w:val="none" w:sz="0" w:space="0" w:color="auto"/>
        <w:right w:val="none" w:sz="0" w:space="0" w:color="auto"/>
      </w:divBdr>
    </w:div>
    <w:div w:id="872304139">
      <w:bodyDiv w:val="1"/>
      <w:marLeft w:val="0"/>
      <w:marRight w:val="0"/>
      <w:marTop w:val="0"/>
      <w:marBottom w:val="0"/>
      <w:divBdr>
        <w:top w:val="none" w:sz="0" w:space="0" w:color="auto"/>
        <w:left w:val="none" w:sz="0" w:space="0" w:color="auto"/>
        <w:bottom w:val="none" w:sz="0" w:space="0" w:color="auto"/>
        <w:right w:val="none" w:sz="0" w:space="0" w:color="auto"/>
      </w:divBdr>
    </w:div>
    <w:div w:id="900024585">
      <w:bodyDiv w:val="1"/>
      <w:marLeft w:val="0"/>
      <w:marRight w:val="0"/>
      <w:marTop w:val="0"/>
      <w:marBottom w:val="0"/>
      <w:divBdr>
        <w:top w:val="none" w:sz="0" w:space="0" w:color="auto"/>
        <w:left w:val="none" w:sz="0" w:space="0" w:color="auto"/>
        <w:bottom w:val="none" w:sz="0" w:space="0" w:color="auto"/>
        <w:right w:val="none" w:sz="0" w:space="0" w:color="auto"/>
      </w:divBdr>
    </w:div>
    <w:div w:id="1010062365">
      <w:bodyDiv w:val="1"/>
      <w:marLeft w:val="0"/>
      <w:marRight w:val="0"/>
      <w:marTop w:val="0"/>
      <w:marBottom w:val="0"/>
      <w:divBdr>
        <w:top w:val="none" w:sz="0" w:space="0" w:color="auto"/>
        <w:left w:val="none" w:sz="0" w:space="0" w:color="auto"/>
        <w:bottom w:val="none" w:sz="0" w:space="0" w:color="auto"/>
        <w:right w:val="none" w:sz="0" w:space="0" w:color="auto"/>
      </w:divBdr>
    </w:div>
    <w:div w:id="1047799401">
      <w:bodyDiv w:val="1"/>
      <w:marLeft w:val="0"/>
      <w:marRight w:val="0"/>
      <w:marTop w:val="0"/>
      <w:marBottom w:val="0"/>
      <w:divBdr>
        <w:top w:val="none" w:sz="0" w:space="0" w:color="auto"/>
        <w:left w:val="none" w:sz="0" w:space="0" w:color="auto"/>
        <w:bottom w:val="none" w:sz="0" w:space="0" w:color="auto"/>
        <w:right w:val="none" w:sz="0" w:space="0" w:color="auto"/>
      </w:divBdr>
    </w:div>
    <w:div w:id="1095707817">
      <w:bodyDiv w:val="1"/>
      <w:marLeft w:val="0"/>
      <w:marRight w:val="0"/>
      <w:marTop w:val="0"/>
      <w:marBottom w:val="0"/>
      <w:divBdr>
        <w:top w:val="none" w:sz="0" w:space="0" w:color="auto"/>
        <w:left w:val="none" w:sz="0" w:space="0" w:color="auto"/>
        <w:bottom w:val="none" w:sz="0" w:space="0" w:color="auto"/>
        <w:right w:val="none" w:sz="0" w:space="0" w:color="auto"/>
      </w:divBdr>
      <w:divsChild>
        <w:div w:id="1644508544">
          <w:marLeft w:val="0"/>
          <w:marRight w:val="0"/>
          <w:marTop w:val="0"/>
          <w:marBottom w:val="0"/>
          <w:divBdr>
            <w:top w:val="none" w:sz="0" w:space="0" w:color="auto"/>
            <w:left w:val="none" w:sz="0" w:space="0" w:color="auto"/>
            <w:bottom w:val="none" w:sz="0" w:space="0" w:color="auto"/>
            <w:right w:val="none" w:sz="0" w:space="0" w:color="auto"/>
          </w:divBdr>
        </w:div>
        <w:div w:id="206770431">
          <w:marLeft w:val="0"/>
          <w:marRight w:val="0"/>
          <w:marTop w:val="0"/>
          <w:marBottom w:val="0"/>
          <w:divBdr>
            <w:top w:val="none" w:sz="0" w:space="0" w:color="auto"/>
            <w:left w:val="none" w:sz="0" w:space="0" w:color="auto"/>
            <w:bottom w:val="none" w:sz="0" w:space="0" w:color="auto"/>
            <w:right w:val="none" w:sz="0" w:space="0" w:color="auto"/>
          </w:divBdr>
        </w:div>
        <w:div w:id="649286311">
          <w:marLeft w:val="0"/>
          <w:marRight w:val="0"/>
          <w:marTop w:val="0"/>
          <w:marBottom w:val="0"/>
          <w:divBdr>
            <w:top w:val="none" w:sz="0" w:space="0" w:color="auto"/>
            <w:left w:val="none" w:sz="0" w:space="0" w:color="auto"/>
            <w:bottom w:val="none" w:sz="0" w:space="0" w:color="auto"/>
            <w:right w:val="none" w:sz="0" w:space="0" w:color="auto"/>
          </w:divBdr>
        </w:div>
        <w:div w:id="1739747762">
          <w:marLeft w:val="0"/>
          <w:marRight w:val="0"/>
          <w:marTop w:val="0"/>
          <w:marBottom w:val="0"/>
          <w:divBdr>
            <w:top w:val="none" w:sz="0" w:space="0" w:color="auto"/>
            <w:left w:val="none" w:sz="0" w:space="0" w:color="auto"/>
            <w:bottom w:val="none" w:sz="0" w:space="0" w:color="auto"/>
            <w:right w:val="none" w:sz="0" w:space="0" w:color="auto"/>
          </w:divBdr>
        </w:div>
        <w:div w:id="1456293901">
          <w:marLeft w:val="0"/>
          <w:marRight w:val="0"/>
          <w:marTop w:val="0"/>
          <w:marBottom w:val="0"/>
          <w:divBdr>
            <w:top w:val="none" w:sz="0" w:space="0" w:color="auto"/>
            <w:left w:val="none" w:sz="0" w:space="0" w:color="auto"/>
            <w:bottom w:val="none" w:sz="0" w:space="0" w:color="auto"/>
            <w:right w:val="none" w:sz="0" w:space="0" w:color="auto"/>
          </w:divBdr>
        </w:div>
        <w:div w:id="727414410">
          <w:marLeft w:val="0"/>
          <w:marRight w:val="0"/>
          <w:marTop w:val="0"/>
          <w:marBottom w:val="0"/>
          <w:divBdr>
            <w:top w:val="none" w:sz="0" w:space="0" w:color="auto"/>
            <w:left w:val="none" w:sz="0" w:space="0" w:color="auto"/>
            <w:bottom w:val="none" w:sz="0" w:space="0" w:color="auto"/>
            <w:right w:val="none" w:sz="0" w:space="0" w:color="auto"/>
          </w:divBdr>
        </w:div>
        <w:div w:id="704523613">
          <w:marLeft w:val="0"/>
          <w:marRight w:val="0"/>
          <w:marTop w:val="0"/>
          <w:marBottom w:val="0"/>
          <w:divBdr>
            <w:top w:val="none" w:sz="0" w:space="0" w:color="auto"/>
            <w:left w:val="none" w:sz="0" w:space="0" w:color="auto"/>
            <w:bottom w:val="none" w:sz="0" w:space="0" w:color="auto"/>
            <w:right w:val="none" w:sz="0" w:space="0" w:color="auto"/>
          </w:divBdr>
        </w:div>
        <w:div w:id="1315379988">
          <w:marLeft w:val="0"/>
          <w:marRight w:val="0"/>
          <w:marTop w:val="0"/>
          <w:marBottom w:val="0"/>
          <w:divBdr>
            <w:top w:val="none" w:sz="0" w:space="0" w:color="auto"/>
            <w:left w:val="none" w:sz="0" w:space="0" w:color="auto"/>
            <w:bottom w:val="none" w:sz="0" w:space="0" w:color="auto"/>
            <w:right w:val="none" w:sz="0" w:space="0" w:color="auto"/>
          </w:divBdr>
        </w:div>
        <w:div w:id="1855221859">
          <w:marLeft w:val="0"/>
          <w:marRight w:val="0"/>
          <w:marTop w:val="0"/>
          <w:marBottom w:val="0"/>
          <w:divBdr>
            <w:top w:val="none" w:sz="0" w:space="0" w:color="auto"/>
            <w:left w:val="none" w:sz="0" w:space="0" w:color="auto"/>
            <w:bottom w:val="none" w:sz="0" w:space="0" w:color="auto"/>
            <w:right w:val="none" w:sz="0" w:space="0" w:color="auto"/>
          </w:divBdr>
        </w:div>
      </w:divsChild>
    </w:div>
    <w:div w:id="1186947017">
      <w:bodyDiv w:val="1"/>
      <w:marLeft w:val="0"/>
      <w:marRight w:val="0"/>
      <w:marTop w:val="0"/>
      <w:marBottom w:val="0"/>
      <w:divBdr>
        <w:top w:val="none" w:sz="0" w:space="0" w:color="auto"/>
        <w:left w:val="none" w:sz="0" w:space="0" w:color="auto"/>
        <w:bottom w:val="none" w:sz="0" w:space="0" w:color="auto"/>
        <w:right w:val="none" w:sz="0" w:space="0" w:color="auto"/>
      </w:divBdr>
    </w:div>
    <w:div w:id="1247689032">
      <w:bodyDiv w:val="1"/>
      <w:marLeft w:val="0"/>
      <w:marRight w:val="0"/>
      <w:marTop w:val="0"/>
      <w:marBottom w:val="0"/>
      <w:divBdr>
        <w:top w:val="none" w:sz="0" w:space="0" w:color="auto"/>
        <w:left w:val="none" w:sz="0" w:space="0" w:color="auto"/>
        <w:bottom w:val="none" w:sz="0" w:space="0" w:color="auto"/>
        <w:right w:val="none" w:sz="0" w:space="0" w:color="auto"/>
      </w:divBdr>
    </w:div>
    <w:div w:id="1367832626">
      <w:bodyDiv w:val="1"/>
      <w:marLeft w:val="0"/>
      <w:marRight w:val="0"/>
      <w:marTop w:val="0"/>
      <w:marBottom w:val="0"/>
      <w:divBdr>
        <w:top w:val="none" w:sz="0" w:space="0" w:color="auto"/>
        <w:left w:val="none" w:sz="0" w:space="0" w:color="auto"/>
        <w:bottom w:val="none" w:sz="0" w:space="0" w:color="auto"/>
        <w:right w:val="none" w:sz="0" w:space="0" w:color="auto"/>
      </w:divBdr>
    </w:div>
    <w:div w:id="1421751836">
      <w:bodyDiv w:val="1"/>
      <w:marLeft w:val="0"/>
      <w:marRight w:val="0"/>
      <w:marTop w:val="0"/>
      <w:marBottom w:val="0"/>
      <w:divBdr>
        <w:top w:val="none" w:sz="0" w:space="0" w:color="auto"/>
        <w:left w:val="none" w:sz="0" w:space="0" w:color="auto"/>
        <w:bottom w:val="none" w:sz="0" w:space="0" w:color="auto"/>
        <w:right w:val="none" w:sz="0" w:space="0" w:color="auto"/>
      </w:divBdr>
    </w:div>
    <w:div w:id="1438872663">
      <w:bodyDiv w:val="1"/>
      <w:marLeft w:val="0"/>
      <w:marRight w:val="0"/>
      <w:marTop w:val="0"/>
      <w:marBottom w:val="0"/>
      <w:divBdr>
        <w:top w:val="none" w:sz="0" w:space="0" w:color="auto"/>
        <w:left w:val="none" w:sz="0" w:space="0" w:color="auto"/>
        <w:bottom w:val="none" w:sz="0" w:space="0" w:color="auto"/>
        <w:right w:val="none" w:sz="0" w:space="0" w:color="auto"/>
      </w:divBdr>
    </w:div>
    <w:div w:id="1447387775">
      <w:bodyDiv w:val="1"/>
      <w:marLeft w:val="0"/>
      <w:marRight w:val="0"/>
      <w:marTop w:val="0"/>
      <w:marBottom w:val="0"/>
      <w:divBdr>
        <w:top w:val="none" w:sz="0" w:space="0" w:color="auto"/>
        <w:left w:val="none" w:sz="0" w:space="0" w:color="auto"/>
        <w:bottom w:val="none" w:sz="0" w:space="0" w:color="auto"/>
        <w:right w:val="none" w:sz="0" w:space="0" w:color="auto"/>
      </w:divBdr>
    </w:div>
    <w:div w:id="1452745032">
      <w:bodyDiv w:val="1"/>
      <w:marLeft w:val="0"/>
      <w:marRight w:val="0"/>
      <w:marTop w:val="0"/>
      <w:marBottom w:val="0"/>
      <w:divBdr>
        <w:top w:val="none" w:sz="0" w:space="0" w:color="auto"/>
        <w:left w:val="none" w:sz="0" w:space="0" w:color="auto"/>
        <w:bottom w:val="none" w:sz="0" w:space="0" w:color="auto"/>
        <w:right w:val="none" w:sz="0" w:space="0" w:color="auto"/>
      </w:divBdr>
    </w:div>
    <w:div w:id="1513034805">
      <w:bodyDiv w:val="1"/>
      <w:marLeft w:val="0"/>
      <w:marRight w:val="0"/>
      <w:marTop w:val="0"/>
      <w:marBottom w:val="0"/>
      <w:divBdr>
        <w:top w:val="none" w:sz="0" w:space="0" w:color="auto"/>
        <w:left w:val="none" w:sz="0" w:space="0" w:color="auto"/>
        <w:bottom w:val="none" w:sz="0" w:space="0" w:color="auto"/>
        <w:right w:val="none" w:sz="0" w:space="0" w:color="auto"/>
      </w:divBdr>
    </w:div>
    <w:div w:id="1522739179">
      <w:bodyDiv w:val="1"/>
      <w:marLeft w:val="0"/>
      <w:marRight w:val="0"/>
      <w:marTop w:val="0"/>
      <w:marBottom w:val="0"/>
      <w:divBdr>
        <w:top w:val="none" w:sz="0" w:space="0" w:color="auto"/>
        <w:left w:val="none" w:sz="0" w:space="0" w:color="auto"/>
        <w:bottom w:val="none" w:sz="0" w:space="0" w:color="auto"/>
        <w:right w:val="none" w:sz="0" w:space="0" w:color="auto"/>
      </w:divBdr>
    </w:div>
    <w:div w:id="1524977563">
      <w:bodyDiv w:val="1"/>
      <w:marLeft w:val="0"/>
      <w:marRight w:val="0"/>
      <w:marTop w:val="0"/>
      <w:marBottom w:val="0"/>
      <w:divBdr>
        <w:top w:val="none" w:sz="0" w:space="0" w:color="auto"/>
        <w:left w:val="none" w:sz="0" w:space="0" w:color="auto"/>
        <w:bottom w:val="none" w:sz="0" w:space="0" w:color="auto"/>
        <w:right w:val="none" w:sz="0" w:space="0" w:color="auto"/>
      </w:divBdr>
    </w:div>
    <w:div w:id="1582325579">
      <w:bodyDiv w:val="1"/>
      <w:marLeft w:val="0"/>
      <w:marRight w:val="0"/>
      <w:marTop w:val="0"/>
      <w:marBottom w:val="0"/>
      <w:divBdr>
        <w:top w:val="none" w:sz="0" w:space="0" w:color="auto"/>
        <w:left w:val="none" w:sz="0" w:space="0" w:color="auto"/>
        <w:bottom w:val="none" w:sz="0" w:space="0" w:color="auto"/>
        <w:right w:val="none" w:sz="0" w:space="0" w:color="auto"/>
      </w:divBdr>
    </w:div>
    <w:div w:id="1616136787">
      <w:bodyDiv w:val="1"/>
      <w:marLeft w:val="0"/>
      <w:marRight w:val="0"/>
      <w:marTop w:val="0"/>
      <w:marBottom w:val="0"/>
      <w:divBdr>
        <w:top w:val="none" w:sz="0" w:space="0" w:color="auto"/>
        <w:left w:val="none" w:sz="0" w:space="0" w:color="auto"/>
        <w:bottom w:val="none" w:sz="0" w:space="0" w:color="auto"/>
        <w:right w:val="none" w:sz="0" w:space="0" w:color="auto"/>
      </w:divBdr>
    </w:div>
    <w:div w:id="1635989247">
      <w:bodyDiv w:val="1"/>
      <w:marLeft w:val="0"/>
      <w:marRight w:val="0"/>
      <w:marTop w:val="0"/>
      <w:marBottom w:val="0"/>
      <w:divBdr>
        <w:top w:val="none" w:sz="0" w:space="0" w:color="auto"/>
        <w:left w:val="none" w:sz="0" w:space="0" w:color="auto"/>
        <w:bottom w:val="none" w:sz="0" w:space="0" w:color="auto"/>
        <w:right w:val="none" w:sz="0" w:space="0" w:color="auto"/>
      </w:divBdr>
    </w:div>
    <w:div w:id="1649282863">
      <w:bodyDiv w:val="1"/>
      <w:marLeft w:val="0"/>
      <w:marRight w:val="0"/>
      <w:marTop w:val="0"/>
      <w:marBottom w:val="0"/>
      <w:divBdr>
        <w:top w:val="none" w:sz="0" w:space="0" w:color="auto"/>
        <w:left w:val="none" w:sz="0" w:space="0" w:color="auto"/>
        <w:bottom w:val="none" w:sz="0" w:space="0" w:color="auto"/>
        <w:right w:val="none" w:sz="0" w:space="0" w:color="auto"/>
      </w:divBdr>
    </w:div>
    <w:div w:id="1676298838">
      <w:bodyDiv w:val="1"/>
      <w:marLeft w:val="0"/>
      <w:marRight w:val="0"/>
      <w:marTop w:val="0"/>
      <w:marBottom w:val="0"/>
      <w:divBdr>
        <w:top w:val="none" w:sz="0" w:space="0" w:color="auto"/>
        <w:left w:val="none" w:sz="0" w:space="0" w:color="auto"/>
        <w:bottom w:val="none" w:sz="0" w:space="0" w:color="auto"/>
        <w:right w:val="none" w:sz="0" w:space="0" w:color="auto"/>
      </w:divBdr>
    </w:div>
    <w:div w:id="1757049093">
      <w:bodyDiv w:val="1"/>
      <w:marLeft w:val="0"/>
      <w:marRight w:val="0"/>
      <w:marTop w:val="0"/>
      <w:marBottom w:val="0"/>
      <w:divBdr>
        <w:top w:val="none" w:sz="0" w:space="0" w:color="auto"/>
        <w:left w:val="none" w:sz="0" w:space="0" w:color="auto"/>
        <w:bottom w:val="none" w:sz="0" w:space="0" w:color="auto"/>
        <w:right w:val="none" w:sz="0" w:space="0" w:color="auto"/>
      </w:divBdr>
    </w:div>
    <w:div w:id="1863008261">
      <w:bodyDiv w:val="1"/>
      <w:marLeft w:val="0"/>
      <w:marRight w:val="0"/>
      <w:marTop w:val="0"/>
      <w:marBottom w:val="0"/>
      <w:divBdr>
        <w:top w:val="none" w:sz="0" w:space="0" w:color="auto"/>
        <w:left w:val="none" w:sz="0" w:space="0" w:color="auto"/>
        <w:bottom w:val="none" w:sz="0" w:space="0" w:color="auto"/>
        <w:right w:val="none" w:sz="0" w:space="0" w:color="auto"/>
      </w:divBdr>
    </w:div>
    <w:div w:id="1884711242">
      <w:bodyDiv w:val="1"/>
      <w:marLeft w:val="0"/>
      <w:marRight w:val="0"/>
      <w:marTop w:val="0"/>
      <w:marBottom w:val="0"/>
      <w:divBdr>
        <w:top w:val="none" w:sz="0" w:space="0" w:color="auto"/>
        <w:left w:val="none" w:sz="0" w:space="0" w:color="auto"/>
        <w:bottom w:val="none" w:sz="0" w:space="0" w:color="auto"/>
        <w:right w:val="none" w:sz="0" w:space="0" w:color="auto"/>
      </w:divBdr>
    </w:div>
    <w:div w:id="206787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leg23</b:Tag>
    <b:SourceType>InternetSite</b:SourceType>
    <b:Guid>{BAC6255E-FBC3-47CA-8961-790A7FCA267E}</b:Guid>
    <b:Author>
      <b:Author>
        <b:Corporate>legislation.gov.uk</b:Corporate>
      </b:Author>
    </b:Author>
    <b:Title>The Homicide Act 1957 Section 2</b:Title>
    <b:YearAccessed>2023</b:YearAccessed>
    <b:MonthAccessed>March</b:MonthAccessed>
    <b:DayAccessed>09</b:DayAccessed>
    <b:URL>https://www.legislation.gov.uk/ukpga/Eliz2/5-6/11/section/2 </b:URL>
    <b:RefOrder>6</b:RefOrder>
  </b:Source>
  <b:Source>
    <b:Tag>Ken111</b:Tag>
    <b:SourceType>JournalArticle</b:SourceType>
    <b:Guid>{80893D9E-3510-4F8F-B3C1-2B371FC525FD}</b:Guid>
    <b:Title>Introducing a New Diminished Responsibility Defence for England and Wales</b:Title>
    <b:JournalName>The Modern Law Review</b:JournalName>
    <b:Year>2011</b:Year>
    <b:Pages>750-766</b:Pages>
    <b:Volume>74</b:Volume>
    <b:Issue>5</b:Issue>
    <b:Author>
      <b:Author>
        <b:NameList>
          <b:Person>
            <b:Last>Kennefick</b:Last>
            <b:First>Louise</b:First>
          </b:Person>
        </b:NameList>
      </b:Author>
    </b:Author>
    <b:RefOrder>1</b:RefOrder>
  </b:Source>
  <b:Source>
    <b:Tag>Law06</b:Tag>
    <b:SourceType>Report</b:SourceType>
    <b:Guid>{6A99C73B-315D-437B-9509-284B0C11EA96}</b:Guid>
    <b:Title>Murder, Manslaughter and Infanticide</b:Title>
    <b:Year>2006</b:Year>
    <b:Author>
      <b:Author>
        <b:Corporate>Law Commission</b:Corporate>
      </b:Author>
    </b:Author>
    <b:City>London</b:City>
    <b:RefOrder>2</b:RefOrder>
  </b:Source>
  <b:Source>
    <b:Tag>leg091</b:Tag>
    <b:SourceType>InternetSite</b:SourceType>
    <b:Guid>{F7B856DE-107B-422B-9C16-ADE9DD13B8EC}</b:Guid>
    <b:Author>
      <b:Author>
        <b:Corporate>legislation.gov.uk</b:Corporate>
      </b:Author>
    </b:Author>
    <b:Title>Coroners and Justice Act 2009</b:Title>
    <b:Year>2009</b:Year>
    <b:YearAccessed>2023</b:YearAccessed>
    <b:MonthAccessed>March</b:MonthAccessed>
    <b:DayAccessed>09</b:DayAccessed>
    <b:URL>https://www.legislation.gov.uk/ukpga/2009/25/section/52</b:URL>
    <b:RefOrder>3</b:RefOrder>
  </b:Source>
  <b:Source>
    <b:Tag>leg07</b:Tag>
    <b:SourceType>InternetSite</b:SourceType>
    <b:Guid>{9A300CF8-82CF-476D-8A04-793B85762B2D}</b:Guid>
    <b:Author>
      <b:Author>
        <b:Corporate>legislation.gov.uk</b:Corporate>
      </b:Author>
    </b:Author>
    <b:Title>Mental Health Act 2007</b:Title>
    <b:Year>2007</b:Year>
    <b:YearAccessed>2023</b:YearAccessed>
    <b:MonthAccessed>March</b:MonthAccessed>
    <b:DayAccessed>10</b:DayAccessed>
    <b:URL>https://www.legislation.gov.uk/ukpga/2007/12/part/1</b:URL>
    <b:RefOrder>4</b:RefOrder>
  </b:Source>
  <b:Source>
    <b:Tag>Cro19</b:Tag>
    <b:SourceType>InternetSite</b:SourceType>
    <b:Guid>{958183D0-160D-4ECE-8DFA-BF796B3524A8}</b:Guid>
    <b:Author>
      <b:Author>
        <b:Corporate>Crown Prosecution Service</b:Corporate>
      </b:Author>
    </b:Author>
    <b:Title>Mental Health Conditions and Disorders: Draft Prosecution Guidance</b:Title>
    <b:Year>2019</b:Year>
    <b:YearAccessed>2023</b:YearAccessed>
    <b:MonthAccessed>March</b:MonthAccessed>
    <b:DayAccessed>10</b:DayAccessed>
    <b:URL>https://www.cps.gov.uk/publication/mental-health-conditions-and-disorders-draft-prosecution-guidance</b:URL>
    <b:RefOrder>5</b:RefOrder>
  </b:Source>
</b:Sources>
</file>

<file path=customXml/itemProps1.xml><?xml version="1.0" encoding="utf-8"?>
<ds:datastoreItem xmlns:ds="http://schemas.openxmlformats.org/officeDocument/2006/customXml" ds:itemID="{DEA8216B-B2E5-49BB-B526-B5FB40513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4</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Powell (2204728)</dc:creator>
  <cp:keywords/>
  <dc:description/>
  <cp:lastModifiedBy>Ben Powell (2204728)</cp:lastModifiedBy>
  <cp:revision>62</cp:revision>
  <dcterms:created xsi:type="dcterms:W3CDTF">2023-03-10T12:17:00Z</dcterms:created>
  <dcterms:modified xsi:type="dcterms:W3CDTF">2023-03-10T23:08:00Z</dcterms:modified>
</cp:coreProperties>
</file>