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Arial" w:cs="Arial" w:eastAsia="Arial" w:hAnsi="Arial"/>
        </w:rPr>
      </w:pPr>
      <w:r w:rsidDel="00000000" w:rsidR="00000000" w:rsidRPr="00000000">
        <w:rPr>
          <w:rFonts w:ascii="Arial" w:cs="Arial" w:eastAsia="Arial" w:hAnsi="Arial"/>
          <w:rtl w:val="0"/>
        </w:rPr>
        <w:t xml:space="preserve">The following essay will analyse and address the factors that underpin a critical incident observed within an educational setting, ultimately, discovering the links between practice and theory. In accordance to this, the principles and purposes of Successful Futures review created by Professor Graham Donaldson (2015) will be discussed in order to establish how the observed incident corresponds to current practice and the New Curriculum (2022). It will also outline the possible relation of the incident to childhood development theories, such as the Humanistic approach and what impact well-being and freedom of choice can have on learning. After analysing research and exploring certain aspects that relate to the observation, reflective practice and professional development will then be addressed in order to identify the implication of the incident and possible next steps to improve practice.</w:t>
      </w:r>
    </w:p>
    <w:p w:rsidR="00000000" w:rsidDel="00000000" w:rsidP="00000000" w:rsidRDefault="00000000" w:rsidRPr="00000000" w14:paraId="00000002">
      <w:pPr>
        <w:spacing w:line="360" w:lineRule="auto"/>
        <w:jc w:val="both"/>
        <w:rPr>
          <w:rFonts w:ascii="Arial" w:cs="Arial" w:eastAsia="Arial" w:hAnsi="Arial"/>
        </w:rPr>
      </w:pPr>
      <w:r w:rsidDel="00000000" w:rsidR="00000000" w:rsidRPr="00000000">
        <w:rPr>
          <w:rFonts w:ascii="Arial" w:cs="Arial" w:eastAsia="Arial" w:hAnsi="Arial"/>
          <w:rtl w:val="0"/>
        </w:rPr>
        <w:t xml:space="preserve">According to Tripp (1993) a critical incident is something that could be unnoticeable, but when analysed critically, various aspects may be highlighted and could be perceived as a possible challenge or point for discussion. Within the classroom, it is important for teachers to be reflective practitioners in order to continuously progress and provide children with learning opportunities at the highest possible standard. Joshi (2018) believes that by observing and recognising critical incidents, teachers can learn from reflection, recognise strengths and weaknesses then deliver the highest standard of learning opportunities to children. In order to retrieve best practice from a critical incident, Joshi (2018) also states that various points of the incident should be analysed to find both good and bad factors. With that being said, the incident that will be addressed in this essay, will be evaluated to discover positive and negative aspects of the observation.</w:t>
      </w:r>
    </w:p>
    <w:p w:rsidR="00000000" w:rsidDel="00000000" w:rsidP="00000000" w:rsidRDefault="00000000" w:rsidRPr="00000000" w14:paraId="00000003">
      <w:pPr>
        <w:spacing w:line="360" w:lineRule="auto"/>
        <w:jc w:val="both"/>
        <w:rPr>
          <w:rFonts w:ascii="Arial" w:cs="Arial" w:eastAsia="Arial" w:hAnsi="Arial"/>
        </w:rPr>
      </w:pPr>
      <w:r w:rsidDel="00000000" w:rsidR="00000000" w:rsidRPr="00000000">
        <w:rPr>
          <w:rFonts w:ascii="Arial" w:cs="Arial" w:eastAsia="Arial" w:hAnsi="Arial"/>
          <w:rtl w:val="0"/>
        </w:rPr>
        <w:t xml:space="preserve">Beforehand, it is essential to address that BERA (2018) guidelines have been considered during the observation and when conducted this essay. BERA (2018) developed guidelines to ensure ethical considerations are being met in order to ensure the rights of the child according to the UNCRC (1989). Therefore, it is crucial that observers should remember anonymity of the school, child and staff, permission should be acquired prior and the observation should not be personal, should respect children's privacy or cause the child to feel distress or harm. </w:t>
      </w:r>
    </w:p>
    <w:p w:rsidR="00000000" w:rsidDel="00000000" w:rsidP="00000000" w:rsidRDefault="00000000" w:rsidRPr="00000000" w14:paraId="00000004">
      <w:pPr>
        <w:spacing w:line="360" w:lineRule="auto"/>
        <w:jc w:val="both"/>
        <w:rPr>
          <w:rFonts w:ascii="Arial" w:cs="Arial" w:eastAsia="Arial" w:hAnsi="Arial"/>
        </w:rPr>
      </w:pPr>
      <w:r w:rsidDel="00000000" w:rsidR="00000000" w:rsidRPr="00000000">
        <w:rPr>
          <w:rFonts w:ascii="Arial" w:cs="Arial" w:eastAsia="Arial" w:hAnsi="Arial"/>
          <w:rtl w:val="0"/>
        </w:rPr>
        <w:t xml:space="preserve">The education setting, in which the observation took place, </w:t>
      </w:r>
      <w:r w:rsidDel="00000000" w:rsidR="00000000" w:rsidRPr="00000000">
        <w:rPr>
          <w:rFonts w:ascii="Arial" w:cs="Arial" w:eastAsia="Arial" w:hAnsi="Arial"/>
          <w:i w:val="1"/>
          <w:rtl w:val="0"/>
        </w:rPr>
        <w:t xml:space="preserve">(see appendices 1)</w:t>
      </w:r>
      <w:r w:rsidDel="00000000" w:rsidR="00000000" w:rsidRPr="00000000">
        <w:rPr>
          <w:rFonts w:ascii="Arial" w:cs="Arial" w:eastAsia="Arial" w:hAnsi="Arial"/>
          <w:rtl w:val="0"/>
        </w:rPr>
        <w:t xml:space="preserve"> is a Roman Catholic Faith school in an affluent area of Cardiff and for ethical and privacy purposes, this school will be referred to as School X.  In 2018, it was stated that the school had an average of 7.8% of children with Free School Meals, 15% of children with Additional Learning Needs and 12% of children from homes where English is an additional language. These statistics are seen to be below average in comparison to the statistics of other schools in Cardiff. As of 2018, the school was categorised as a ‘Green’ banded school according to the National School Categorisation system. It is a pioneer school and has been implementing aspects of the New Curriculum for many years. It has also developed its own, unique form of teaching methods to deliver what they believe to be the best possible practice. </w:t>
      </w:r>
    </w:p>
    <w:p w:rsidR="00000000" w:rsidDel="00000000" w:rsidP="00000000" w:rsidRDefault="00000000" w:rsidRPr="00000000" w14:paraId="00000005">
      <w:pPr>
        <w:spacing w:line="360" w:lineRule="auto"/>
        <w:jc w:val="both"/>
        <w:rPr>
          <w:rFonts w:ascii="Arial" w:cs="Arial" w:eastAsia="Arial" w:hAnsi="Arial"/>
        </w:rPr>
      </w:pPr>
      <w:r w:rsidDel="00000000" w:rsidR="00000000" w:rsidRPr="00000000">
        <w:rPr>
          <w:rFonts w:ascii="Arial" w:cs="Arial" w:eastAsia="Arial" w:hAnsi="Arial"/>
          <w:rtl w:val="0"/>
        </w:rPr>
        <w:t xml:space="preserve">School X also has a great emphasis on the children establishing a Jesuit pupil profile and possessing certain attributes to what they believe is a good person. Additionally, it aims to promote the importance of children understanding that they have rights by adopting the UNICEF UK's Rights Respecting School Award and allowing children to put their rights into practice in everyday situations. </w:t>
      </w:r>
    </w:p>
    <w:p w:rsidR="00000000" w:rsidDel="00000000" w:rsidP="00000000" w:rsidRDefault="00000000" w:rsidRPr="00000000" w14:paraId="00000006">
      <w:pPr>
        <w:spacing w:line="360" w:lineRule="auto"/>
        <w:jc w:val="both"/>
        <w:rPr>
          <w:rFonts w:ascii="Arial" w:cs="Arial" w:eastAsia="Arial" w:hAnsi="Arial"/>
        </w:rPr>
      </w:pPr>
      <w:r w:rsidDel="00000000" w:rsidR="00000000" w:rsidRPr="00000000">
        <w:rPr>
          <w:rFonts w:ascii="Arial" w:cs="Arial" w:eastAsia="Arial" w:hAnsi="Arial"/>
          <w:rtl w:val="0"/>
        </w:rPr>
        <w:t xml:space="preserve">Alderez (2003) states that childcare practitioners use observation as a tool to understand and assess the development of a child’s learning, use it to improve own professional practice and decide where and how progression should take place, for both the child and professional development. There are many types of observational techniques that can be carried out, usually used depending on the results desired, and all have both advantages and disadvantages when evaluated. One form of observational technique is known as a longitudinal study which involves the observation of an individual or group over a time period. Caruana et al (2015) says that this method is beneficial in order to discover relationships usually between a factor, the participant and the outcome. It can limit bias as it presents knowledge over a period of time. In contrast, it can also provide disadvantages as it is time consuming and can also display some level of inaccuracy as if data is misplaced over time or follow up data has not been collated.</w:t>
      </w:r>
    </w:p>
    <w:p w:rsidR="00000000" w:rsidDel="00000000" w:rsidP="00000000" w:rsidRDefault="00000000" w:rsidRPr="00000000" w14:paraId="00000007">
      <w:pPr>
        <w:spacing w:line="360" w:lineRule="auto"/>
        <w:jc w:val="both"/>
        <w:rPr>
          <w:rFonts w:ascii="Arial" w:cs="Arial" w:eastAsia="Arial" w:hAnsi="Arial"/>
        </w:rPr>
      </w:pPr>
      <w:r w:rsidDel="00000000" w:rsidR="00000000" w:rsidRPr="00000000">
        <w:rPr>
          <w:rFonts w:ascii="Arial" w:cs="Arial" w:eastAsia="Arial" w:hAnsi="Arial"/>
          <w:rtl w:val="0"/>
        </w:rPr>
        <w:t xml:space="preserve">Another observation method that can be used as a data collection tool in the classroom is a sociogram. According to the report made by Appleton et al (2013) sociograms are used to determine patterns and social behaviour. It suggests that sociograms can be effective as they allow data to be visualised, therefore they are easy to interpret. However, the report also displays that there can also be limitations to the use of a sociogram as it may be difficult to display the specific amount of interactions and miss any particular movements while the observer is drawing. </w:t>
      </w:r>
    </w:p>
    <w:p w:rsidR="00000000" w:rsidDel="00000000" w:rsidP="00000000" w:rsidRDefault="00000000" w:rsidRPr="00000000" w14:paraId="00000008">
      <w:pPr>
        <w:spacing w:line="360" w:lineRule="auto"/>
        <w:jc w:val="both"/>
        <w:rPr>
          <w:rFonts w:ascii="Arial" w:cs="Arial" w:eastAsia="Arial" w:hAnsi="Arial"/>
        </w:rPr>
      </w:pPr>
      <w:r w:rsidDel="00000000" w:rsidR="00000000" w:rsidRPr="00000000">
        <w:rPr>
          <w:rFonts w:ascii="Arial" w:cs="Arial" w:eastAsia="Arial" w:hAnsi="Arial"/>
          <w:rtl w:val="0"/>
        </w:rPr>
        <w:t xml:space="preserve">The observation method that was conducted for the purpose of this essay was a case study and discovering a critical incident. Cohen et al (2007) states that case studies can be conducted in various ways such as descriptive, interpretive and evaluative, which all have their uses for different types of data collection. According to Nisbet and Watt (1984) case studies can be easily understood, can identify unique aspects that other techniques may miss and can be carried out by an individual with no need for additional time or a research time. In comparison with this, there are also weaknesses that can be identified. Nisbet and Watt (1984) also suggest that case studies may be prone to the observer being biased, selective, judgement or even personal, due to the lack of people involved. Therefore, it is fundamental that ethical guidelines are considered. </w:t>
      </w:r>
    </w:p>
    <w:p w:rsidR="00000000" w:rsidDel="00000000" w:rsidP="00000000" w:rsidRDefault="00000000" w:rsidRPr="00000000" w14:paraId="00000009">
      <w:pPr>
        <w:spacing w:line="360" w:lineRule="auto"/>
        <w:jc w:val="both"/>
        <w:rPr>
          <w:rFonts w:ascii="Arial" w:cs="Arial" w:eastAsia="Arial" w:hAnsi="Arial"/>
        </w:rPr>
      </w:pPr>
      <w:r w:rsidDel="00000000" w:rsidR="00000000" w:rsidRPr="00000000">
        <w:rPr>
          <w:rFonts w:ascii="Arial" w:cs="Arial" w:eastAsia="Arial" w:hAnsi="Arial"/>
          <w:rtl w:val="0"/>
        </w:rPr>
        <w:t xml:space="preserve">The observation occurred in a Year 2 classroom with children aged 6-7 years old, all from various backgrounds and differing levels of academic ability. The class teacher has fully adopted the classroom culture and the language that is used across School X to engage learners. It clearly showed that the children engage in the learning, are aware of the language used across the school and are confident in the way they access the educational environment around them. The observed incident appeared while children were having a discussion in pairs and small groups about recalling knowledge learned in a prior lesson. However, not all children were engaged. A child who speaks English as an additional language was reserved, voluntarily not engaging but was actively listening to the other children discussing different vocabulary. For the purpose of this essay, this child will be labelled as Child A. Another child identified this and tried to encourage Child A to become involved by saying “Talk to me, talk to me”, however he shuffled backwards and excluded himself further from the discussion. The class teacher allowed Child A to stay separate from his peers and said, “If he doesn’t want to talk right now that’s fine, don’t force him.”</w:t>
      </w:r>
    </w:p>
    <w:p w:rsidR="00000000" w:rsidDel="00000000" w:rsidP="00000000" w:rsidRDefault="00000000" w:rsidRPr="00000000" w14:paraId="0000000A">
      <w:pPr>
        <w:spacing w:line="360" w:lineRule="auto"/>
        <w:jc w:val="both"/>
        <w:rPr>
          <w:rFonts w:ascii="Arial" w:cs="Arial" w:eastAsia="Arial" w:hAnsi="Arial"/>
        </w:rPr>
      </w:pPr>
      <w:r w:rsidDel="00000000" w:rsidR="00000000" w:rsidRPr="00000000">
        <w:rPr>
          <w:rFonts w:ascii="Arial" w:cs="Arial" w:eastAsia="Arial" w:hAnsi="Arial"/>
          <w:rtl w:val="0"/>
        </w:rPr>
        <w:t xml:space="preserve">After further analysing and evaluating the observation, the specific point that sparked interest during the observation was the reaction of the teacher. It displayed arguments both for and against the way in which the teacher dealt with the situation in relation to the child, curriculum and theory. In accordance to this, it could suggest that the teacher isn’t encouraging the skill of collaboration or social development. According to Donaldson’s Successful Futures Review (2015) children should not only develop essential numeracy, literacy and other academic skills, but they should possess ‘softer’ skills and attributes which should aid holistic development and to contribute in adult life. In accordance to this, principle number 4 states that in order to ensure learners are fully engaged, children need opportunities to access learning in various ways, including time to think independently as well as sharing ideas with peers to promote social development and the ability to work collaboratively. Therefore, this counteracts with this as well as one of the Four Key Purposes of Successful Futures (2015) </w:t>
      </w:r>
      <w:r w:rsidDel="00000000" w:rsidR="00000000" w:rsidRPr="00000000">
        <w:rPr>
          <w:rFonts w:ascii="Arial" w:cs="Arial" w:eastAsia="Arial" w:hAnsi="Arial"/>
          <w:b w:val="1"/>
          <w:rtl w:val="0"/>
        </w:rPr>
        <w:t xml:space="preserve">‘Ambitious, capable learners who are ready to learn throughout their lives.’ </w:t>
      </w:r>
      <w:r w:rsidDel="00000000" w:rsidR="00000000" w:rsidRPr="00000000">
        <w:rPr>
          <w:rFonts w:ascii="Arial" w:cs="Arial" w:eastAsia="Arial" w:hAnsi="Arial"/>
          <w:rtl w:val="0"/>
        </w:rPr>
        <w:t xml:space="preserve">This purpose suggests that learning should enable children to communicate effectively and possess the skills to explain ideas, concepts and display an understanding of the knowledge they have obtained. </w:t>
      </w:r>
    </w:p>
    <w:p w:rsidR="00000000" w:rsidDel="00000000" w:rsidP="00000000" w:rsidRDefault="00000000" w:rsidRPr="00000000" w14:paraId="0000000B">
      <w:pPr>
        <w:spacing w:line="360" w:lineRule="auto"/>
        <w:jc w:val="both"/>
        <w:rPr>
          <w:rFonts w:ascii="Arial" w:cs="Arial" w:eastAsia="Arial" w:hAnsi="Arial"/>
        </w:rPr>
      </w:pPr>
      <w:r w:rsidDel="00000000" w:rsidR="00000000" w:rsidRPr="00000000">
        <w:rPr>
          <w:rFonts w:ascii="Arial" w:cs="Arial" w:eastAsia="Arial" w:hAnsi="Arial"/>
          <w:rtl w:val="0"/>
        </w:rPr>
        <w:t xml:space="preserve">Nevertheless, in order to fully critically analyse the incident, various aspects need to be explored. Regarding Child A, who wasn’t engaged in the discussion, it is important to consider the reasons behind why this may have happened. As the child lives in a home where English is an additional language, it could suggest that he doesn’t have the confidence when using the English language. In addition to this, pressuring a child who isn’t ready to speak, in any circumstances, could potentially hinder their development in confidence and affect their well-being.  As stated by The Children’s Society (2012) children need to be provided by positive activities in a safe and welcoming environment in order to learn and develop. They also believe that providing children with the opportunity to have choice, allows them to feel respected and valued as an individual. </w:t>
      </w:r>
      <w:r w:rsidDel="00000000" w:rsidR="00000000" w:rsidRPr="00000000">
        <w:rPr>
          <w:rFonts w:ascii="Arial" w:cs="Arial" w:eastAsia="Arial" w:hAnsi="Arial"/>
          <w:rtl w:val="0"/>
        </w:rPr>
        <w:t xml:space="preserve">Consequently, it could suggest that the teacher was aware of Child A’s lack of confidence when socialising and therefore respected the child’s wishes and considered their well-being. In relation to Professor Donaldson (2015), this contributes to enabling children to be </w:t>
      </w:r>
      <w:r w:rsidDel="00000000" w:rsidR="00000000" w:rsidRPr="00000000">
        <w:rPr>
          <w:rFonts w:ascii="Arial" w:cs="Arial" w:eastAsia="Arial" w:hAnsi="Arial"/>
          <w:b w:val="1"/>
          <w:rtl w:val="0"/>
        </w:rPr>
        <w:t xml:space="preserve">‘healthy, confident individuals who are ready to lead fulfilling lives as valued members of society’ </w:t>
      </w:r>
      <w:r w:rsidDel="00000000" w:rsidR="00000000" w:rsidRPr="00000000">
        <w:rPr>
          <w:rFonts w:ascii="Arial" w:cs="Arial" w:eastAsia="Arial" w:hAnsi="Arial"/>
          <w:rtl w:val="0"/>
        </w:rPr>
        <w:t xml:space="preserve">as it includes the encouragement of children developing their confidence to perform, communicate and support their mental and emotional well-being.</w:t>
      </w:r>
    </w:p>
    <w:p w:rsidR="00000000" w:rsidDel="00000000" w:rsidP="00000000" w:rsidRDefault="00000000" w:rsidRPr="00000000" w14:paraId="0000000C">
      <w:pPr>
        <w:spacing w:line="360" w:lineRule="auto"/>
        <w:jc w:val="both"/>
        <w:rPr>
          <w:rFonts w:ascii="Arial" w:cs="Arial" w:eastAsia="Arial" w:hAnsi="Arial"/>
        </w:rPr>
      </w:pPr>
      <w:r w:rsidDel="00000000" w:rsidR="00000000" w:rsidRPr="00000000">
        <w:rPr>
          <w:rFonts w:ascii="Arial" w:cs="Arial" w:eastAsia="Arial" w:hAnsi="Arial"/>
          <w:rtl w:val="0"/>
        </w:rPr>
        <w:t xml:space="preserve">The critical incident could be further analysed and strengthened through further exploring the aspects of the child’s and the teacher's behaviour during the discussion. As Child A comes from a home where English is spoken as an additional language, this may suggest that there could be a possibility of the family being refugees. Therefore, the impact this has had on the child’s confidence and well-being could be analysed. Also, the incident clearly shows the child being provided with choice and autonomy as well as the classroom displaying some aspect of the Humanistic approach. The literature review will explore these suggestions into greater depth, analyse the influence of the factors on the incident and how they may further impact the child.</w:t>
      </w:r>
    </w:p>
    <w:p w:rsidR="00000000" w:rsidDel="00000000" w:rsidP="00000000" w:rsidRDefault="00000000" w:rsidRPr="00000000" w14:paraId="0000000D">
      <w:pPr>
        <w:spacing w:line="360" w:lineRule="auto"/>
        <w:jc w:val="both"/>
        <w:rPr>
          <w:rFonts w:ascii="Arial" w:cs="Arial" w:eastAsia="Arial" w:hAnsi="Arial"/>
        </w:rPr>
      </w:pPr>
      <w:r w:rsidDel="00000000" w:rsidR="00000000" w:rsidRPr="00000000">
        <w:rPr>
          <w:rFonts w:ascii="Arial" w:cs="Arial" w:eastAsia="Arial" w:hAnsi="Arial"/>
          <w:rtl w:val="0"/>
        </w:rPr>
        <w:t xml:space="preserve">The term ‘Refugee’ is defined by Rutter (2006) as a migrant who has been forced to flee their home country due to fear of war or prosecution for racism, religion or other political reasons that may bring harm or danger to an individual and their family.  After conducting a research project, Rutter (2006) suggests that it is common for refugee children to suffer from some level of Post Traumatic Stress Disorder (PTSD) due to possible traumatising experiences or extreme conditions they were previously living in. Gunn (2018) states that PTSD can affect a child’s learning as they can display signs of being disengaged, dissociated and find difficulty forming relationships with both adults and peers. In agreeance to this, Katoaka et al (2012) suggests that traumatic events can also cause a low level of social interaction for children and therefore they aren’t developing essential social skills. </w:t>
      </w:r>
    </w:p>
    <w:p w:rsidR="00000000" w:rsidDel="00000000" w:rsidP="00000000" w:rsidRDefault="00000000" w:rsidRPr="00000000" w14:paraId="0000000E">
      <w:pPr>
        <w:spacing w:line="360" w:lineRule="auto"/>
        <w:jc w:val="both"/>
        <w:rPr>
          <w:rFonts w:ascii="Arial" w:cs="Arial" w:eastAsia="Arial" w:hAnsi="Arial"/>
        </w:rPr>
      </w:pPr>
      <w:r w:rsidDel="00000000" w:rsidR="00000000" w:rsidRPr="00000000">
        <w:rPr>
          <w:rFonts w:ascii="Arial" w:cs="Arial" w:eastAsia="Arial" w:hAnsi="Arial"/>
          <w:rtl w:val="0"/>
        </w:rPr>
        <w:t xml:space="preserve">With this being said, it is evident that PTSD can hinder the well-being of a child and have an impact on their emotional and social skills, which essentially is fundamental for children to develop holistically as well as to thrive and achieve throughout their life. This, therefore, may suggest that these could be factors that influenced Child A to be dissociated with the discussion. </w:t>
      </w:r>
    </w:p>
    <w:p w:rsidR="00000000" w:rsidDel="00000000" w:rsidP="00000000" w:rsidRDefault="00000000" w:rsidRPr="00000000" w14:paraId="0000000F">
      <w:pPr>
        <w:spacing w:line="360" w:lineRule="auto"/>
        <w:jc w:val="both"/>
        <w:rPr>
          <w:rFonts w:ascii="Arial" w:cs="Arial" w:eastAsia="Arial" w:hAnsi="Arial"/>
        </w:rPr>
      </w:pPr>
      <w:r w:rsidDel="00000000" w:rsidR="00000000" w:rsidRPr="00000000">
        <w:rPr>
          <w:rFonts w:ascii="Arial" w:cs="Arial" w:eastAsia="Arial" w:hAnsi="Arial"/>
          <w:rtl w:val="0"/>
        </w:rPr>
        <w:t xml:space="preserve">In order to support a refugee child, Arnot &amp; Pinson (2005) state that first and foremost, it is crucial for the teacher to understand the needs and well-being of the child. By identifying the individual needs of children, practitioners are able to cater for them in a way that may have been missed if overlooked and generalised. In relation to practice, the observation may suggest that the teacher already fully understands and addresses the needs of Child A, hence she allowed him to not participate and, in her own words, she allowed him to not be “forced.” Considering that School X is a UNICEF Rights Respecting School, this could suggest that the teacher is regarding Article 3 of the UNCRC (1989) which states that the best interest of the child is of the utmost importance. Therefore, it could be perceived that the teacher felt that forcing Child A to communicate before he was ready was not in the best interest and may have been a hindrance to other areas of development.  Nuthall (2007), cited by European Agency for Special Needs and Inclusive Education (2016), also agrees that practitioners need to have a deeper understanding of how to engage and support individual learners. They believe that children not only need to be a part of peer relationships but children should be allowed to be part of their own mind when making decisions and engage in learning independently. </w:t>
      </w:r>
    </w:p>
    <w:p w:rsidR="00000000" w:rsidDel="00000000" w:rsidP="00000000" w:rsidRDefault="00000000" w:rsidRPr="00000000" w14:paraId="00000010">
      <w:pPr>
        <w:spacing w:line="360" w:lineRule="auto"/>
        <w:jc w:val="both"/>
        <w:rPr>
          <w:rFonts w:ascii="Arial" w:cs="Arial" w:eastAsia="Arial" w:hAnsi="Arial"/>
        </w:rPr>
      </w:pPr>
      <w:r w:rsidDel="00000000" w:rsidR="00000000" w:rsidRPr="00000000">
        <w:rPr>
          <w:rFonts w:ascii="Arial" w:cs="Arial" w:eastAsia="Arial" w:hAnsi="Arial"/>
          <w:rtl w:val="0"/>
        </w:rPr>
        <w:t xml:space="preserve">Another point that has been explored is the allowance of the importance or impact of choice and the encouragement of children progressing at their own pace rather than it being essential to meet a generalised level depending on their age. The observation could also suggest that the teacher encourages choice in learning, as a means of differentiation, when she respected Child A’s choice of not being ready to interact. Professor Donaldson (2015) believes that providing opportunities for children to have a choice has an important part in education. He states that when children are supported by their teachers and their decisions are respected rather than disregarded or fought against, their confidence can flourish. This can be due to the classroom environment adopting a safe and welcoming atmosphere which can enable children to feel valued, respected and ultimately, believing that their voice will be listened to. This also coincides with Article 12 within the UNCRC (1989) as it states that every child has the right to have a voice and be respected when expressing their views. </w:t>
      </w:r>
    </w:p>
    <w:p w:rsidR="00000000" w:rsidDel="00000000" w:rsidP="00000000" w:rsidRDefault="00000000" w:rsidRPr="00000000" w14:paraId="00000011">
      <w:pPr>
        <w:spacing w:line="360" w:lineRule="auto"/>
        <w:jc w:val="both"/>
        <w:rPr>
          <w:rFonts w:ascii="Arial" w:cs="Arial" w:eastAsia="Arial" w:hAnsi="Arial"/>
        </w:rPr>
      </w:pPr>
      <w:r w:rsidDel="00000000" w:rsidR="00000000" w:rsidRPr="00000000">
        <w:rPr>
          <w:rFonts w:ascii="Arial" w:cs="Arial" w:eastAsia="Arial" w:hAnsi="Arial"/>
          <w:rtl w:val="0"/>
        </w:rPr>
        <w:t xml:space="preserve">In relation to a previous point made about Child A may not have been ready to communicate, Professor Donaldson (2015) also believes that children develop at different rates and this should be catered for by practitioners. The New Curriculum (2022) also promotes this theory as it has adopted a new assessment tool known as Progression Steps that outline the development of children’s learning. Rather than comparing children’s ability and outcomes to each other regarding their age and year group, Professor Donaldson (2015) believes that by setting a wider range of steps of development that flow into each other, it enables practitioners to see the progression of a child instead of what ‘level’ they may or may not have achieved. It mentions that they have been produced to ensure the progression of children’s capacities and abilities rather than what they should ultimately reach. As School X currently implements aspects of The New Curriculum (2022) it could imply that the teacher adopted this within the discussion as she is already aware of Child A’s limits and the progression he may have previously made. </w:t>
      </w:r>
    </w:p>
    <w:p w:rsidR="00000000" w:rsidDel="00000000" w:rsidP="00000000" w:rsidRDefault="00000000" w:rsidRPr="00000000" w14:paraId="00000012">
      <w:pPr>
        <w:spacing w:line="360" w:lineRule="auto"/>
        <w:jc w:val="both"/>
        <w:rPr>
          <w:rFonts w:ascii="Arial" w:cs="Arial" w:eastAsia="Arial" w:hAnsi="Arial"/>
        </w:rPr>
      </w:pPr>
      <w:r w:rsidDel="00000000" w:rsidR="00000000" w:rsidRPr="00000000">
        <w:rPr>
          <w:rFonts w:ascii="Arial" w:cs="Arial" w:eastAsia="Arial" w:hAnsi="Arial"/>
          <w:rtl w:val="0"/>
        </w:rPr>
        <w:t xml:space="preserve">In relation to this, Piaget’s (1953) theory of cognitive development supports the belief that children progress in stages rather than specific age groups. Agreeing with Piaget’s theory of developmental milestones, Powell &amp; Kalina (2009) indicate that it is important for teachers to recognise that children learn in their own way and at their own pace in order to cater to them effectively. Building on this, differentiation is beneficial when catering for the needs of individual learners. The observation could also suggest that the teacher was taking a differentiated approach in order to meet the needs of Child A in that particular moment. Tomlinson &amp; Strickland (2005) states that differentiation does not consist of completely abandoning curriculum requirements, however it encourages practitioners to modify teaching in order to provide appropriate learning opportunities and challenges that are suitable for each learner. </w:t>
      </w:r>
    </w:p>
    <w:p w:rsidR="00000000" w:rsidDel="00000000" w:rsidP="00000000" w:rsidRDefault="00000000" w:rsidRPr="00000000" w14:paraId="00000013">
      <w:pPr>
        <w:spacing w:line="360" w:lineRule="auto"/>
        <w:jc w:val="both"/>
        <w:rPr>
          <w:rFonts w:ascii="Arial" w:cs="Arial" w:eastAsia="Arial" w:hAnsi="Arial"/>
        </w:rPr>
      </w:pPr>
      <w:r w:rsidDel="00000000" w:rsidR="00000000" w:rsidRPr="00000000">
        <w:rPr>
          <w:rFonts w:ascii="Arial" w:cs="Arial" w:eastAsia="Arial" w:hAnsi="Arial"/>
          <w:rtl w:val="0"/>
        </w:rPr>
        <w:t xml:space="preserve">An additional point to discuss is the idea that the classroom may have adopted a Humanistic approach to learning. This approach consists of considering the empathy, motivation and confidence of learners and developing these skills instead of creating stress and anxiety by insisting they participate in learning they may find too challenging. This also relates to Donaldson’s (2015) Four Purposes as it encourages the development of softer skills to shape well rounded individuals with qualities to face the working world in later life. </w:t>
      </w:r>
    </w:p>
    <w:p w:rsidR="00000000" w:rsidDel="00000000" w:rsidP="00000000" w:rsidRDefault="00000000" w:rsidRPr="00000000" w14:paraId="00000014">
      <w:pPr>
        <w:spacing w:line="360" w:lineRule="auto"/>
        <w:jc w:val="both"/>
        <w:rPr>
          <w:rFonts w:ascii="Arial" w:cs="Arial" w:eastAsia="Arial" w:hAnsi="Arial"/>
        </w:rPr>
      </w:pPr>
      <w:r w:rsidDel="00000000" w:rsidR="00000000" w:rsidRPr="00000000">
        <w:rPr>
          <w:rFonts w:ascii="Arial" w:cs="Arial" w:eastAsia="Arial" w:hAnsi="Arial"/>
          <w:rtl w:val="0"/>
        </w:rPr>
        <w:t xml:space="preserve">Herman (1995) believes that the Humanistic approach is beneficial to the education of children as it allows children to learn in their own way and pace. Humanist expert Carl Rogers (1983), also cited by Herman (1995), believed that children reach their full potential when they have a freedom of choice as well as their dignity and values respected when decisions are made. It also mentions that a child’s mental equilibrium needs to be intact before expected to think critically or participate in anything they believe to be a challenge.</w:t>
      </w:r>
    </w:p>
    <w:p w:rsidR="00000000" w:rsidDel="00000000" w:rsidP="00000000" w:rsidRDefault="00000000" w:rsidRPr="00000000" w14:paraId="00000015">
      <w:pPr>
        <w:spacing w:line="360" w:lineRule="auto"/>
        <w:jc w:val="both"/>
        <w:rPr>
          <w:rFonts w:ascii="Arial" w:cs="Arial" w:eastAsia="Arial" w:hAnsi="Arial"/>
        </w:rPr>
      </w:pPr>
      <w:r w:rsidDel="00000000" w:rsidR="00000000" w:rsidRPr="00000000">
        <w:rPr>
          <w:rFonts w:ascii="Arial" w:cs="Arial" w:eastAsia="Arial" w:hAnsi="Arial"/>
          <w:rtl w:val="0"/>
        </w:rPr>
        <w:t xml:space="preserve">In relation to Child A and the previous point made about potential Refugee status and PTSD, this may suggest that this is why the child was not ready to engage and was not pressured into doing so by the teacher. Although the class teacher had told the children the task they were to complete without a choice, it was their choice, however, to discuss which aspects of prior knowledge they wanted to. Therefore, this could indicate some signs of a Humanistic approach. </w:t>
      </w:r>
    </w:p>
    <w:p w:rsidR="00000000" w:rsidDel="00000000" w:rsidP="00000000" w:rsidRDefault="00000000" w:rsidRPr="00000000" w14:paraId="00000016">
      <w:pPr>
        <w:spacing w:line="360" w:lineRule="auto"/>
        <w:jc w:val="both"/>
        <w:rPr>
          <w:rFonts w:ascii="Arial" w:cs="Arial" w:eastAsia="Arial" w:hAnsi="Arial"/>
        </w:rPr>
      </w:pPr>
      <w:r w:rsidDel="00000000" w:rsidR="00000000" w:rsidRPr="00000000">
        <w:rPr>
          <w:rFonts w:ascii="Arial" w:cs="Arial" w:eastAsia="Arial" w:hAnsi="Arial"/>
          <w:rtl w:val="0"/>
        </w:rPr>
        <w:t xml:space="preserve">Expanding on this point, Ray (1992) states that Abraham Maslow also has the same belief, as he developed a theory that children need to meet fundamental needs before they are able to learn and develop efficiently. This involves establishing basic needs such as hunger, love and safety, in order to be able to progress to anything further such as self esteem and learning. It can be argued that this is the role of parents however, according to McLeod (2018), this can also be provided in educational settings by input from the teacher and creating a safe environment. For instance, ensuring that children have access to hydration throughout the day by allowing water bottles or providing a drink station. In the situation involving Child A, it may suggest that the basic needs were not fully established, such as his self-esteem, and therefore the teacher recognised this and therefore understood that he may not be ready to participate in the learning event at that time. </w:t>
      </w:r>
    </w:p>
    <w:p w:rsidR="00000000" w:rsidDel="00000000" w:rsidP="00000000" w:rsidRDefault="00000000" w:rsidRPr="00000000" w14:paraId="00000017">
      <w:pPr>
        <w:spacing w:line="360" w:lineRule="auto"/>
        <w:jc w:val="both"/>
        <w:rPr>
          <w:rFonts w:ascii="Arial" w:cs="Arial" w:eastAsia="Arial" w:hAnsi="Arial"/>
        </w:rPr>
      </w:pPr>
      <w:r w:rsidDel="00000000" w:rsidR="00000000" w:rsidRPr="00000000">
        <w:rPr>
          <w:rFonts w:ascii="Arial" w:cs="Arial" w:eastAsia="Arial" w:hAnsi="Arial"/>
          <w:rtl w:val="0"/>
        </w:rPr>
        <w:t xml:space="preserve">To summarise, it seems evident that children who dissociate themselves and lack the desire to communicate should not be taken at face value and possible influencing factors should be considered. With that being said, it is of the utmost importance that practitioners are able to recognise these factors and implement ways in which to support the child holistically. </w:t>
      </w:r>
    </w:p>
    <w:p w:rsidR="00000000" w:rsidDel="00000000" w:rsidP="00000000" w:rsidRDefault="00000000" w:rsidRPr="00000000" w14:paraId="00000018">
      <w:pPr>
        <w:spacing w:line="360" w:lineRule="auto"/>
        <w:jc w:val="both"/>
        <w:rPr>
          <w:rFonts w:ascii="Arial" w:cs="Arial" w:eastAsia="Arial" w:hAnsi="Arial"/>
        </w:rPr>
      </w:pPr>
      <w:r w:rsidDel="00000000" w:rsidR="00000000" w:rsidRPr="00000000">
        <w:rPr>
          <w:rFonts w:ascii="Arial" w:cs="Arial" w:eastAsia="Arial" w:hAnsi="Arial"/>
          <w:rtl w:val="0"/>
        </w:rPr>
        <w:t xml:space="preserve">In order to be an effective practitioner and deliver the highest possible care and education for children, it is essential to be reflective of personal practice. According to Hargreaves &amp; Page (2013) reflection makes practice more ethical as practitioners have a duty to ensure the highes</w:t>
      </w:r>
      <w:r w:rsidDel="00000000" w:rsidR="00000000" w:rsidRPr="00000000">
        <w:rPr>
          <w:rFonts w:ascii="Arial" w:cs="Arial" w:eastAsia="Arial" w:hAnsi="Arial"/>
          <w:rtl w:val="0"/>
        </w:rPr>
        <w:t xml:space="preserve">t possible standards of learning is provided for children. Hargreaves &amp; Page (2013) also refer to Patricia Benner (1984) used Critical I</w:t>
      </w:r>
      <w:r w:rsidDel="00000000" w:rsidR="00000000" w:rsidRPr="00000000">
        <w:rPr>
          <w:rFonts w:ascii="Arial" w:cs="Arial" w:eastAsia="Arial" w:hAnsi="Arial"/>
          <w:rtl w:val="0"/>
        </w:rPr>
        <w:t xml:space="preserve">ncidents to identify strengths and weaknesses of Medical practice in order to recognise qualities and aspects needed for effective practice. When carrying out the observation discussed in this essay, it was crucial to complete an Assisted Reflective Conclusion (ARC) Model (</w:t>
      </w:r>
      <w:r w:rsidDel="00000000" w:rsidR="00000000" w:rsidRPr="00000000">
        <w:rPr>
          <w:rFonts w:ascii="Arial" w:cs="Arial" w:eastAsia="Arial" w:hAnsi="Arial"/>
          <w:i w:val="1"/>
          <w:rtl w:val="0"/>
        </w:rPr>
        <w:t xml:space="preserve">see appendices 5)</w:t>
      </w:r>
      <w:r w:rsidDel="00000000" w:rsidR="00000000" w:rsidRPr="00000000">
        <w:rPr>
          <w:rFonts w:ascii="Arial" w:cs="Arial" w:eastAsia="Arial" w:hAnsi="Arial"/>
          <w:rtl w:val="0"/>
        </w:rPr>
        <w:t xml:space="preserve"> to determine best possible practice for the future. The ARC made it clear to recognise effective aspects or any areas for improvement during the observation and the Critical Incident. </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The research discovered in the literature review supported the suggestions about the way in which the incident was handled. With that being said, it displays strong indications that the teacher was considering the interest of Child A as paramount, attending to his needs primarily before introducing the learning. However, as a reflective practitioner, it is important to discover additional methods to reach the best outcomes for the child. </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Ultimately, the most important outcome for Child A is the development of his confidence, well-being and social skills. By using the ARC model and relating to previous reading that has been discussed, I have reflected on the incident and would use this as a tool for my own professional development. I have explored ways that, as a practitioner, I would implement into my personal practice and development.  I believe that the teacher effectively supported Child A, I would continue to build the child’s confidence and self-esteem by utalising both one-to-one support with a teacher and subtly introducing collaborative work daily. The use of teacher support would be in aid of developing the English language and the child’s confidence to use it more regularly. It could be suggested that an introduction to the development of the language would be create actions with the child to use relating to key words commonly used throughout the school day. Therefore, this may allow the child to develop a sense of trust in myself as they are able to have ownership of creating the actions which may provide a deeper understanding of the word’s meaning. This may also establish a professional bond between teacher and pupil as the child could feel valued that they participated in creating the actions and also have a connection  with the teacher as it is a task they developed together, enabling the child to feel safe and a sense of belonging.</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Another way I could potentially use this in my own professional practice would be to recognise the friendships Child A has created with his peers and choose one to two children to be his ‘Working Partner/s’. When participating in discussions, the chosen child or children would always be sat next to Child A and be his partner. This could eliminate any anxiety of the child not feeling confident to speak to a peer he may not be entirely familiar with. In relation to this, Green (2000) mentions that Maslow (1943) stated that inconsistency can cause children to feel anxious and therefore perform better when they are in a stable environment with some form of routine. Therefore, incorporating a ‘Working Partner’ strategy could enable Child A have a sense of continuity as well as potentially improving his confidence working with a child he feels secure and comfortable with, ultimately encouraging the child to develop his social skills. </w:t>
      </w:r>
    </w:p>
    <w:p w:rsidR="00000000" w:rsidDel="00000000" w:rsidP="00000000" w:rsidRDefault="00000000" w:rsidRPr="00000000" w14:paraId="0000001C">
      <w:pPr>
        <w:spacing w:line="360" w:lineRule="auto"/>
        <w:jc w:val="both"/>
        <w:rPr>
          <w:rFonts w:ascii="Arial" w:cs="Arial" w:eastAsia="Arial" w:hAnsi="Arial"/>
        </w:rPr>
      </w:pPr>
      <w:r w:rsidDel="00000000" w:rsidR="00000000" w:rsidRPr="00000000">
        <w:rPr>
          <w:rFonts w:ascii="Arial" w:cs="Arial" w:eastAsia="Arial" w:hAnsi="Arial"/>
          <w:rtl w:val="0"/>
        </w:rPr>
        <w:t xml:space="preserve">To conclude this essay, it is evident that carrying out observations are beneficial to both children and practitioners in relation to the Professional Standards for Teaching and Leadership (2019). It has helped me to gain a further understanding of viewing a situation abstractly and delving deeper into the background of the factors that may have impacted an incident. In order to provide best practice for children, it has been displayed that all children are different, with various backgrounds, learning styles and individual needs that, primarily, should be catered for. The essay has discovered that observing a critical incident allows practitioners to view the ‘bigger picture’ in order to determine influencing factors and therefore deliver the highest standard of education. For example, understanding that a child from an EAL home is disengaged within a discussion, opened up various suggestions to the reasons behind it, including the possibility of PTSD and lack of confidence. Consequently, this allows practitioners to explore the individual needs of the child and produce ways in which they can support them. The Professional Standards for Teaching and Leadership (2019) state that Professional Learning, Innovation and Pedagogy are 3 of the 5 groups of standards that need to be considered when having a duty of care with children. It is evident throughout the essay that conducting observations enable teachers to identify strengths and weaknesses in the learning, improve their own professional development through reflection and furthermore, create and establish innovative ways to deliver the best possible care and education for children.  </w:t>
      </w:r>
    </w:p>
    <w:p w:rsidR="00000000" w:rsidDel="00000000" w:rsidP="00000000" w:rsidRDefault="00000000" w:rsidRPr="00000000" w14:paraId="0000001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E">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sectPr>
      <w:pgSz w:h="16839" w:w="11907"/>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