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pPr>
      <w:r>
        <w:rPr/>
        <w:drawing>
          <wp:inline distT="0" distB="0" distL="0" distR="0">
            <wp:extent cx="3209925" cy="1428750"/>
            <wp:effectExtent l="0" t="0" r="0" b="0"/>
            <wp:docPr id="1" name="Picture 63894244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38942447" descr=""/>
                    <pic:cNvPicPr>
                      <a:picLocks noChangeAspect="1" noChangeArrowheads="1"/>
                    </pic:cNvPicPr>
                  </pic:nvPicPr>
                  <pic:blipFill>
                    <a:blip r:embed="rId2"/>
                    <a:stretch>
                      <a:fillRect/>
                    </a:stretch>
                  </pic:blipFill>
                  <pic:spPr bwMode="auto">
                    <a:xfrm>
                      <a:off x="0" y="0"/>
                      <a:ext cx="3209925" cy="1428750"/>
                    </a:xfrm>
                    <a:prstGeom prst="rect">
                      <a:avLst/>
                    </a:prstGeom>
                  </pic:spPr>
                </pic:pic>
              </a:graphicData>
            </a:graphic>
          </wp:inline>
        </w:drawing>
      </w:r>
    </w:p>
    <w:p>
      <w:pPr>
        <w:pStyle w:val="Normal"/>
        <w:jc w:val="center"/>
        <w:rPr>
          <w:rFonts w:ascii="Arial Nova" w:hAnsi="Arial Nova" w:eastAsia="Arial Nova" w:cs="Arial Nova"/>
        </w:rPr>
      </w:pPr>
      <w:r>
        <w:rPr>
          <w:rFonts w:eastAsia="Arial Nova" w:cs="Arial Nova" w:ascii="Arial Nova" w:hAnsi="Arial Nova"/>
        </w:rPr>
      </w:r>
    </w:p>
    <w:p>
      <w:pPr>
        <w:pStyle w:val="Normal"/>
        <w:spacing w:lineRule="auto" w:line="360"/>
        <w:rPr>
          <w:rFonts w:ascii="Arial" w:hAnsi="Arial" w:eastAsia="Arial Nova" w:cs="Arial"/>
          <w:sz w:val="72"/>
          <w:szCs w:val="72"/>
        </w:rPr>
      </w:pPr>
      <w:r>
        <w:rPr>
          <w:rFonts w:eastAsia="Arial Nova" w:cs="Arial" w:ascii="Arial" w:hAnsi="Arial"/>
          <w:sz w:val="72"/>
          <w:szCs w:val="72"/>
        </w:rPr>
      </w:r>
    </w:p>
    <w:p>
      <w:pPr>
        <w:pStyle w:val="Normal"/>
        <w:spacing w:lineRule="auto" w:line="360"/>
        <w:jc w:val="center"/>
        <w:rPr>
          <w:rFonts w:ascii="Arial" w:hAnsi="Arial" w:cs="Arial"/>
          <w:sz w:val="28"/>
        </w:rPr>
      </w:pPr>
      <w:r>
        <w:rPr>
          <w:rFonts w:cs="Arial" w:ascii="Arial" w:hAnsi="Arial"/>
          <w:sz w:val="28"/>
        </w:rPr>
        <w:t>MODULE:</w:t>
      </w:r>
    </w:p>
    <w:p>
      <w:pPr>
        <w:pStyle w:val="Normal"/>
        <w:spacing w:lineRule="auto" w:line="360"/>
        <w:jc w:val="center"/>
        <w:rPr>
          <w:rFonts w:ascii="Arial" w:hAnsi="Arial" w:cs="Arial"/>
        </w:rPr>
      </w:pPr>
      <w:r>
        <w:rPr>
          <w:rFonts w:cs="Arial" w:ascii="Arial" w:hAnsi="Arial"/>
          <w:b/>
          <w:sz w:val="28"/>
        </w:rPr>
        <w:t>Introduction to Independent Research Skills</w:t>
      </w:r>
      <w:r>
        <w:rPr>
          <w:rFonts w:cs="Arial" w:ascii="Arial" w:hAnsi="Arial"/>
          <w:sz w:val="28"/>
        </w:rPr>
        <w:t xml:space="preserve"> (Code: BMHP5019)</w:t>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t xml:space="preserve">STUDENT: </w:t>
      </w:r>
      <w:r>
        <w:rPr>
          <w:rFonts w:cs="Arial" w:ascii="Arial" w:hAnsi="Arial"/>
          <w:b/>
          <w:i/>
        </w:rPr>
        <w:t>Manuela Mihaila</w:t>
      </w:r>
    </w:p>
    <w:p>
      <w:pPr>
        <w:pStyle w:val="Normal"/>
        <w:spacing w:lineRule="auto" w:line="360"/>
        <w:rPr>
          <w:rFonts w:ascii="Arial" w:hAnsi="Arial" w:cs="Arial"/>
        </w:rPr>
      </w:pPr>
      <w:r>
        <w:rPr>
          <w:rFonts w:cs="Arial" w:ascii="Arial" w:hAnsi="Arial"/>
        </w:rPr>
        <w:t>STUDENT NUMBER: 2223871</w:t>
      </w:r>
    </w:p>
    <w:p>
      <w:pPr>
        <w:pStyle w:val="Normal"/>
        <w:spacing w:lineRule="auto" w:line="360"/>
        <w:rPr>
          <w:rFonts w:ascii="Arial" w:hAnsi="Arial" w:cs="Arial"/>
          <w:b/>
          <w:b/>
          <w:i/>
          <w:i/>
        </w:rPr>
      </w:pPr>
      <w:r>
        <w:rPr>
          <w:rFonts w:cs="Arial" w:ascii="Arial" w:hAnsi="Arial"/>
        </w:rPr>
        <w:t xml:space="preserve">LECTURER: </w:t>
      </w:r>
      <w:r>
        <w:rPr>
          <w:rFonts w:cs="Arial" w:ascii="Arial" w:hAnsi="Arial"/>
        </w:rPr>
        <w:t>Rizwan Nadim</w:t>
      </w:r>
    </w:p>
    <w:p>
      <w:pPr>
        <w:pStyle w:val="Normal"/>
        <w:rPr>
          <w:rFonts w:ascii="Arial" w:hAnsi="Arial" w:eastAsia="Arial Nova" w:cs="Arial"/>
          <w:sz w:val="72"/>
          <w:szCs w:val="72"/>
        </w:rPr>
      </w:pPr>
      <w:r>
        <w:rPr>
          <w:rFonts w:eastAsia="Arial Nova" w:cs="Arial" w:ascii="Arial" w:hAnsi="Arial"/>
          <w:sz w:val="72"/>
          <w:szCs w:val="72"/>
        </w:rPr>
      </w:r>
      <w:bookmarkStart w:id="0" w:name="_GoBack"/>
      <w:bookmarkStart w:id="1" w:name="_GoBack"/>
      <w:bookmarkEnd w:id="1"/>
    </w:p>
    <w:p>
      <w:pPr>
        <w:pStyle w:val="Normal"/>
        <w:jc w:val="center"/>
        <w:rPr>
          <w:rFonts w:ascii="Arial" w:hAnsi="Arial" w:eastAsia="Arial Nova" w:cs="Arial"/>
          <w:sz w:val="72"/>
          <w:szCs w:val="72"/>
        </w:rPr>
      </w:pPr>
      <w:r>
        <w:rPr>
          <w:rFonts w:eastAsia="Arial Nova" w:cs="Arial" w:ascii="Arial" w:hAnsi="Arial"/>
          <w:sz w:val="72"/>
          <w:szCs w:val="72"/>
        </w:rPr>
      </w:r>
    </w:p>
    <w:p>
      <w:pPr>
        <w:pStyle w:val="Normal"/>
        <w:jc w:val="center"/>
        <w:rPr>
          <w:rFonts w:ascii="Arial" w:hAnsi="Arial" w:eastAsia="Arial Nova" w:cs="Arial"/>
          <w:sz w:val="144"/>
          <w:szCs w:val="72"/>
        </w:rPr>
      </w:pPr>
      <w:r>
        <w:rPr>
          <w:rFonts w:cs="Arial" w:ascii="Arial" w:hAnsi="Arial"/>
          <w:b/>
          <w:bCs/>
          <w:sz w:val="28"/>
          <w:szCs w:val="23"/>
        </w:rPr>
        <w:t>Component 2: Written Assignment (Research Report)</w:t>
      </w:r>
    </w:p>
    <w:p>
      <w:pPr>
        <w:pStyle w:val="Normal"/>
        <w:jc w:val="center"/>
        <w:rPr>
          <w:rFonts w:ascii="Arial" w:hAnsi="Arial" w:eastAsia="Arial Nova" w:cs="Arial"/>
          <w:sz w:val="72"/>
          <w:szCs w:val="72"/>
        </w:rPr>
      </w:pPr>
      <w:r>
        <w:rPr>
          <w:rFonts w:eastAsia="Arial Nova" w:cs="Arial" w:ascii="Arial" w:hAnsi="Arial"/>
          <w:sz w:val="72"/>
          <w:szCs w:val="72"/>
        </w:rPr>
      </w:r>
    </w:p>
    <w:p>
      <w:pPr>
        <w:pStyle w:val="Normal"/>
        <w:rPr>
          <w:rFonts w:ascii="Arial" w:hAnsi="Arial" w:eastAsia="Arial Nova" w:cs="Arial"/>
          <w:sz w:val="44"/>
          <w:szCs w:val="44"/>
        </w:rPr>
      </w:pPr>
      <w:r>
        <w:rPr>
          <w:rFonts w:eastAsia="Arial Nova" w:cs="Arial" w:ascii="Arial" w:hAnsi="Arial"/>
          <w:sz w:val="44"/>
          <w:szCs w:val="44"/>
        </w:rPr>
      </w:r>
    </w:p>
    <w:p>
      <w:pPr>
        <w:pStyle w:val="NormalWeb"/>
        <w:spacing w:lineRule="auto" w:line="360" w:beforeAutospacing="0" w:before="0" w:afterAutospacing="0" w:after="0"/>
        <w:jc w:val="both"/>
        <w:rPr>
          <w:rFonts w:ascii="Arial" w:hAnsi="Arial" w:eastAsia="Arial Nova" w:cs="Arial"/>
          <w:sz w:val="28"/>
          <w:szCs w:val="44"/>
          <w:lang w:val="en-US" w:eastAsia="ja-JP"/>
        </w:rPr>
      </w:pPr>
      <w:r>
        <w:rPr>
          <w:rFonts w:eastAsia="Arial Nova" w:cs="Arial" w:ascii="Arial" w:hAnsi="Arial"/>
          <w:sz w:val="28"/>
          <w:szCs w:val="44"/>
          <w:lang w:val="en-US" w:eastAsia="ja-JP"/>
        </w:rPr>
        <w:t>A Scoping Review of Adult Obesity Interventions in UK Primary Care and Community Health Settings</w:t>
      </w:r>
    </w:p>
    <w:p>
      <w:pPr>
        <w:pStyle w:val="NormalWeb"/>
        <w:spacing w:lineRule="auto" w:line="360" w:beforeAutospacing="0" w:before="240" w:afterAutospacing="0" w:after="240"/>
        <w:jc w:val="both"/>
        <w:rPr>
          <w:rStyle w:val="Strong"/>
          <w:rFonts w:ascii="Arial" w:hAnsi="Arial" w:eastAsia="宋体" w:cs="Arial" w:eastAsiaTheme="majorEastAsia"/>
        </w:rPr>
      </w:pPr>
      <w:r>
        <w:rPr>
          <w:rStyle w:val="Strong"/>
          <w:rFonts w:eastAsia="宋体" w:cs="Arial" w:ascii="Arial" w:hAnsi="Arial" w:eastAsiaTheme="majorEastAsia"/>
        </w:rPr>
        <w:t xml:space="preserve">1. Introduction </w:t>
      </w:r>
    </w:p>
    <w:p>
      <w:pPr>
        <w:pStyle w:val="NormalWeb"/>
        <w:spacing w:lineRule="auto" w:line="360" w:beforeAutospacing="0" w:before="0" w:afterAutospacing="0" w:after="0"/>
        <w:jc w:val="both"/>
        <w:rPr>
          <w:rFonts w:ascii="Arial" w:hAnsi="Arial" w:cs="Arial"/>
          <w:sz w:val="22"/>
        </w:rPr>
      </w:pPr>
      <w:r>
        <w:rPr>
          <w:rFonts w:cs="Arial" w:ascii="Arial" w:hAnsi="Arial"/>
          <w:sz w:val="22"/>
        </w:rPr>
        <w:t>Obesity is widely recognised as one of the most significant public health challenges of the 21st century. It is defined as abnormal or excessive fat accumulation that presents a risk to health, most commonly measured using Body Mass Index (BMI), with a BMI of 30 kg/m² or above indicating obesity (World Health Organization, 2023). However, while BMI provides a useful population-level indicator, it does not fully capture the complexity of obesity, which is increasingly understood as a chronic, relapsing condition influenced by a wide range of biological, behavioural, environmental and socio-economic factors.</w:t>
      </w:r>
    </w:p>
    <w:p>
      <w:pPr>
        <w:pStyle w:val="NormalWeb"/>
        <w:spacing w:lineRule="auto" w:line="360" w:beforeAutospacing="0" w:before="0" w:afterAutospacing="0" w:after="0"/>
        <w:jc w:val="both"/>
        <w:rPr>
          <w:rFonts w:ascii="Arial" w:hAnsi="Arial" w:cs="Arial"/>
          <w:sz w:val="22"/>
        </w:rPr>
      </w:pPr>
      <w:r>
        <w:rPr>
          <w:rFonts w:cs="Arial" w:ascii="Arial" w:hAnsi="Arial"/>
          <w:sz w:val="22"/>
        </w:rPr>
        <w:t>In the United Kingdom, obesity prevalence has risen substantially over recent decades, with current estimates indicating that approximately 26% of adults in England are classified as obese, and a further proportion are overweight (NHS Digital, 2023). This trend has significant implications for both individuals and healthcare systems. Obesity is strongly associated with an increased risk of non-communicable diseases, including type 2 diabetes, cardiovascular disease, musculoskeletal disorders and certain cancers. In addition to physical health impacts, obesity is also linked to reduced psychological wellbeing, stigma and decreased quality of life.</w:t>
      </w:r>
    </w:p>
    <w:p>
      <w:pPr>
        <w:pStyle w:val="NormalWeb"/>
        <w:spacing w:lineRule="auto" w:line="360" w:beforeAutospacing="0" w:before="0" w:afterAutospacing="0" w:after="0"/>
        <w:jc w:val="both"/>
        <w:rPr>
          <w:rFonts w:ascii="Arial" w:hAnsi="Arial" w:cs="Arial"/>
          <w:sz w:val="22"/>
        </w:rPr>
      </w:pPr>
      <w:r>
        <w:rPr>
          <w:rFonts w:cs="Arial" w:ascii="Arial" w:hAnsi="Arial"/>
          <w:sz w:val="22"/>
        </w:rPr>
        <w:t>The burden of obesity extends beyond individual health outcomes, placing considerable strain on health and social care systems. Increased demand for healthcare services, long-term condition management and associated economic costs make obesity a key priority for public health intervention. Importantly, obesity is not evenly distributed across the population. There is strong evidence of a social gradient, with higher prevalence observed among individuals living in more deprived areas (Marmot et al., 2020). This highlights the need for interventions that are not only effective but also equitable.</w:t>
      </w:r>
    </w:p>
    <w:p>
      <w:pPr>
        <w:pStyle w:val="NormalWeb"/>
        <w:spacing w:lineRule="auto" w:line="360" w:beforeAutospacing="0" w:before="0" w:afterAutospacing="0" w:after="0"/>
        <w:jc w:val="both"/>
        <w:rPr>
          <w:rFonts w:ascii="Arial" w:hAnsi="Arial" w:cs="Arial"/>
          <w:sz w:val="22"/>
        </w:rPr>
      </w:pPr>
      <w:r>
        <w:rPr>
          <w:rFonts w:cs="Arial" w:ascii="Arial" w:hAnsi="Arial"/>
          <w:sz w:val="22"/>
        </w:rPr>
        <w:t>Primary care and community health settings are central to the prevention and management of obesity in the UK. General practitioners (GPs), practice nurses and other primary care professionals are often the first point of contact for individuals seeking support. These settings provide opportunities for early identification, brief interventions and referral to more intensive services. Community-based interventions, including local authority programmes, commercial weight management services and voluntary sector initiatives, play a complementary role by supporting sustained behaviour change in real-world contexts.</w:t>
      </w:r>
    </w:p>
    <w:p>
      <w:pPr>
        <w:pStyle w:val="NormalWeb"/>
        <w:spacing w:lineRule="auto" w:line="360" w:beforeAutospacing="0" w:before="0" w:afterAutospacing="0" w:after="0"/>
        <w:jc w:val="both"/>
        <w:rPr>
          <w:rFonts w:ascii="Arial" w:hAnsi="Arial" w:cs="Arial"/>
          <w:sz w:val="22"/>
        </w:rPr>
      </w:pPr>
      <w:r>
        <w:rPr>
          <w:rFonts w:cs="Arial" w:ascii="Arial" w:hAnsi="Arial"/>
          <w:sz w:val="22"/>
        </w:rPr>
        <w:t>Given the complexity of obesity and the diversity of intervention approaches, there is a need to systematically map the existing evidence base. This scoping review addresses the following research question:</w:t>
      </w:r>
    </w:p>
    <w:p>
      <w:pPr>
        <w:pStyle w:val="NormalWeb"/>
        <w:spacing w:lineRule="auto" w:line="360" w:beforeAutospacing="0" w:before="240" w:afterAutospacing="0" w:after="240"/>
        <w:jc w:val="both"/>
        <w:rPr>
          <w:rFonts w:ascii="Arial" w:hAnsi="Arial" w:cs="Arial"/>
          <w:b/>
          <w:b/>
          <w:i/>
          <w:i/>
          <w:sz w:val="22"/>
        </w:rPr>
      </w:pPr>
      <w:r>
        <w:rPr>
          <w:rFonts w:cs="Arial" w:ascii="Arial" w:hAnsi="Arial"/>
          <w:b/>
          <w:i/>
          <w:sz w:val="22"/>
        </w:rPr>
        <w:t>What evidence exists on interventions used to prevent and manage adult obesity in UK primary care and community health settings?</w:t>
      </w:r>
    </w:p>
    <w:p>
      <w:pPr>
        <w:pStyle w:val="NormalWeb"/>
        <w:spacing w:lineRule="auto" w:line="360" w:beforeAutospacing="0" w:before="0" w:afterAutospacing="0" w:after="0"/>
        <w:jc w:val="both"/>
        <w:rPr>
          <w:rFonts w:ascii="Arial" w:hAnsi="Arial" w:cs="Arial"/>
          <w:sz w:val="22"/>
        </w:rPr>
      </w:pPr>
      <w:r>
        <w:rPr>
          <w:rFonts w:cs="Arial" w:ascii="Arial" w:hAnsi="Arial"/>
          <w:sz w:val="22"/>
        </w:rPr>
        <w:t>The objectives of the review are to identify and map the types of interventions currently used, to examine their characteristics and reported outcomes, and to identify gaps in the evidence that may inform future research, policy and professional practice.</w:t>
      </w:r>
    </w:p>
    <w:p>
      <w:pPr>
        <w:pStyle w:val="NormalWeb"/>
        <w:spacing w:lineRule="auto" w:line="360" w:beforeAutospacing="0" w:before="240" w:afterAutospacing="0" w:after="240"/>
        <w:jc w:val="both"/>
        <w:rPr>
          <w:rStyle w:val="Strong"/>
          <w:rFonts w:ascii="Arial" w:hAnsi="Arial" w:eastAsia="宋体" w:cs="Arial" w:eastAsiaTheme="majorEastAsia"/>
        </w:rPr>
      </w:pPr>
      <w:r>
        <w:rPr>
          <w:rStyle w:val="Strong"/>
          <w:rFonts w:eastAsia="宋体" w:cs="Arial" w:ascii="Arial" w:hAnsi="Arial" w:eastAsiaTheme="majorEastAsia"/>
        </w:rPr>
        <w:t xml:space="preserve">2. Background </w:t>
      </w:r>
    </w:p>
    <w:p>
      <w:pPr>
        <w:pStyle w:val="NormalWeb"/>
        <w:spacing w:lineRule="auto" w:line="360" w:beforeAutospacing="0" w:before="0" w:afterAutospacing="0" w:after="0"/>
        <w:jc w:val="both"/>
        <w:rPr>
          <w:rFonts w:ascii="Arial" w:hAnsi="Arial" w:cs="Arial"/>
          <w:sz w:val="22"/>
        </w:rPr>
      </w:pPr>
      <w:r>
        <w:rPr>
          <w:rFonts w:cs="Arial" w:ascii="Arial" w:hAnsi="Arial"/>
          <w:sz w:val="22"/>
        </w:rPr>
        <w:t>Obesity in the UK has developed within a broader context of societal and environmental change. Factors such as increased availability of high-calorie foods, sedentary lifestyles, urban design and socio-economic inequalities have contributed to what is often described as an “obesogenic environment.” These structural determinants mean that individual behaviour change alone is insufficient to address the issue, and interventions must be considered within a wider public health framework.</w:t>
      </w:r>
    </w:p>
    <w:p>
      <w:pPr>
        <w:pStyle w:val="NormalWeb"/>
        <w:spacing w:lineRule="auto" w:line="360" w:beforeAutospacing="0" w:before="0" w:afterAutospacing="0" w:after="0"/>
        <w:jc w:val="both"/>
        <w:rPr>
          <w:rFonts w:ascii="Arial" w:hAnsi="Arial" w:cs="Arial"/>
          <w:sz w:val="22"/>
        </w:rPr>
      </w:pPr>
      <w:r>
        <w:rPr>
          <w:rFonts w:cs="Arial" w:ascii="Arial" w:hAnsi="Arial"/>
          <w:sz w:val="22"/>
        </w:rPr>
        <w:t>The Marmot Review (2020) emphasises the role of social determinants in shaping health outcomes, including obesity. Individuals living in deprived areas are more likely to experience barriers to healthy eating and physical activity, such as limited access to affordable nutritious food, reduced opportunities for physical activity and higher levels of stress. As a result, obesity is both a cause and a consequence of health inequality.</w:t>
      </w:r>
    </w:p>
    <w:p>
      <w:pPr>
        <w:pStyle w:val="NormalWeb"/>
        <w:spacing w:lineRule="auto" w:line="360" w:beforeAutospacing="0" w:before="0" w:afterAutospacing="0" w:after="0"/>
        <w:jc w:val="both"/>
        <w:rPr>
          <w:rFonts w:ascii="Arial" w:hAnsi="Arial" w:cs="Arial"/>
          <w:sz w:val="22"/>
        </w:rPr>
      </w:pPr>
      <w:r>
        <w:rPr>
          <w:rFonts w:cs="Arial" w:ascii="Arial" w:hAnsi="Arial"/>
          <w:sz w:val="22"/>
        </w:rPr>
        <w:t>In response to rising obesity rates, UK policy has increasingly focused on prevention and early intervention. The Department of Health and Social Care (2020) strategy Tackling Obesity outlines a range of measures aimed at supporting healthier choices, including calorie labelling, restrictions on advertising unhealthy foods and expansion of weight management services. These initiatives are supported by NICE (2014) guidance, which recommends a tiered approach to obesity management. This model begins with universal interventions, such as public health campaigns, and progresses to more intensive support delivered through primary care and specialist services.</w:t>
      </w:r>
    </w:p>
    <w:p>
      <w:pPr>
        <w:pStyle w:val="NormalWeb"/>
        <w:spacing w:lineRule="auto" w:line="360" w:beforeAutospacing="0" w:before="0" w:afterAutospacing="0" w:after="0"/>
        <w:jc w:val="both"/>
        <w:rPr>
          <w:rFonts w:ascii="Arial" w:hAnsi="Arial" w:cs="Arial"/>
          <w:sz w:val="22"/>
        </w:rPr>
      </w:pPr>
      <w:r>
        <w:rPr>
          <w:rFonts w:cs="Arial" w:ascii="Arial" w:hAnsi="Arial"/>
          <w:sz w:val="22"/>
        </w:rPr>
        <w:t>Primary care is positioned as a key entry point within this system. Healthcare professionals are expected to identify individuals at risk, provide brief advice and facilitate access to appropriate interventions. However, the effectiveness of primary care interventions is influenced by factors such as time constraints, resource availability and practitioner confidence.</w:t>
      </w:r>
    </w:p>
    <w:p>
      <w:pPr>
        <w:pStyle w:val="NormalWeb"/>
        <w:spacing w:lineRule="auto" w:line="360" w:beforeAutospacing="0" w:before="0" w:afterAutospacing="0" w:after="0"/>
        <w:jc w:val="both"/>
        <w:rPr>
          <w:rFonts w:ascii="Arial" w:hAnsi="Arial" w:cs="Arial"/>
          <w:sz w:val="22"/>
        </w:rPr>
      </w:pPr>
      <w:r>
        <w:rPr>
          <w:rFonts w:cs="Arial" w:ascii="Arial" w:hAnsi="Arial"/>
          <w:sz w:val="22"/>
        </w:rPr>
        <w:t>Community-based services are intended to complement primary care by providing more intensive and sustained support. These services may include structured weight management programmes, group-based interventions and digital tools designed to support behaviour change. While these interventions are widely promoted, there is ongoing debate regarding their effectiveness, accessibility and long-term sustainability.</w:t>
      </w:r>
    </w:p>
    <w:p>
      <w:pPr>
        <w:pStyle w:val="NormalWeb"/>
        <w:spacing w:lineRule="auto" w:line="360" w:beforeAutospacing="0" w:before="0" w:afterAutospacing="0" w:after="0"/>
        <w:jc w:val="both"/>
        <w:rPr>
          <w:rFonts w:ascii="Arial" w:hAnsi="Arial" w:cs="Arial"/>
          <w:sz w:val="22"/>
        </w:rPr>
      </w:pPr>
      <w:r>
        <w:rPr>
          <w:rFonts w:cs="Arial" w:ascii="Arial" w:hAnsi="Arial"/>
          <w:sz w:val="22"/>
        </w:rPr>
        <w:t>Previous research suggests that while many interventions achieve modest short-term weight loss, maintaining these outcomes over time remains challenging. Furthermore, there is limited evidence regarding how interventions perform across different population groups, particularly those experiencing socio-economic disadvantage. This highlights the importance of mapping the existing evidence to better understand current practice and identify areas where further research is needed.</w:t>
      </w:r>
    </w:p>
    <w:p>
      <w:pPr>
        <w:pStyle w:val="NormalWeb"/>
        <w:spacing w:lineRule="auto" w:line="360" w:beforeAutospacing="0" w:before="240" w:afterAutospacing="0" w:after="240"/>
        <w:jc w:val="both"/>
        <w:rPr>
          <w:rStyle w:val="Strong"/>
          <w:rFonts w:ascii="Arial" w:hAnsi="Arial" w:eastAsia="宋体" w:cs="Arial" w:eastAsiaTheme="majorEastAsia"/>
        </w:rPr>
      </w:pPr>
      <w:r>
        <w:rPr>
          <w:rStyle w:val="Strong"/>
          <w:rFonts w:eastAsia="宋体" w:cs="Arial" w:ascii="Arial" w:hAnsi="Arial" w:eastAsiaTheme="majorEastAsia"/>
        </w:rPr>
        <w:t>3. Methods</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3.1. Study design</w:t>
      </w:r>
    </w:p>
    <w:p>
      <w:pPr>
        <w:pStyle w:val="NormalWeb"/>
        <w:spacing w:lineRule="auto" w:line="360" w:beforeAutospacing="0" w:before="0" w:afterAutospacing="0" w:after="0"/>
        <w:jc w:val="both"/>
        <w:rPr>
          <w:rFonts w:ascii="Arial" w:hAnsi="Arial" w:cs="Arial"/>
          <w:sz w:val="22"/>
        </w:rPr>
      </w:pPr>
      <w:r>
        <w:rPr>
          <w:rFonts w:cs="Arial" w:ascii="Arial" w:hAnsi="Arial"/>
          <w:sz w:val="22"/>
        </w:rPr>
        <w:t>This study adopts a scoping review methodology based on the framework proposed by Arksey and O’Malley (2005), with refinements from Levac et al. (2010). This approach is well suited to exploring complex and heterogeneous fields of research, where the aim is to map the extent and nature of evidence rather than to assess intervention effectiveness in a narrowly defined context.</w:t>
      </w:r>
    </w:p>
    <w:p>
      <w:pPr>
        <w:pStyle w:val="NormalWeb"/>
        <w:spacing w:lineRule="auto" w:line="360" w:beforeAutospacing="0" w:before="0" w:afterAutospacing="0" w:after="0"/>
        <w:jc w:val="both"/>
        <w:rPr>
          <w:rFonts w:ascii="Arial" w:hAnsi="Arial" w:cs="Arial"/>
          <w:sz w:val="22"/>
        </w:rPr>
      </w:pPr>
      <w:r>
        <w:rPr>
          <w:rFonts w:cs="Arial" w:ascii="Arial" w:hAnsi="Arial"/>
          <w:sz w:val="22"/>
        </w:rPr>
        <w:t>The review followed five key stages: identifying the research question, identifying relevant studies, selecting studies, charting the data, and collating and summarising the findings. Throughout the process, efforts were made to ensure transparency, consistency and methodological rigour.</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3.2 Search strategy</w:t>
      </w:r>
    </w:p>
    <w:p>
      <w:pPr>
        <w:pStyle w:val="NormalWeb"/>
        <w:spacing w:lineRule="auto" w:line="360" w:beforeAutospacing="0" w:before="0" w:afterAutospacing="0" w:after="0"/>
        <w:jc w:val="both"/>
        <w:rPr>
          <w:rFonts w:ascii="Arial" w:hAnsi="Arial" w:cs="Arial"/>
          <w:sz w:val="22"/>
        </w:rPr>
      </w:pPr>
      <w:r>
        <w:rPr>
          <w:rFonts w:cs="Arial" w:ascii="Arial" w:hAnsi="Arial"/>
          <w:sz w:val="22"/>
        </w:rPr>
        <w:t>A structured search of electronic databases was conducted to identify relevant peer-reviewed literature. The databases selected—PubMed, CINAHL and MEDLINE—were chosen for their comprehensive coverage of health and social care research.</w:t>
      </w:r>
    </w:p>
    <w:p>
      <w:pPr>
        <w:pStyle w:val="NormalWeb"/>
        <w:spacing w:lineRule="auto" w:line="360" w:beforeAutospacing="0" w:before="0" w:afterAutospacing="0" w:after="0"/>
        <w:jc w:val="both"/>
        <w:rPr>
          <w:rFonts w:ascii="Arial" w:hAnsi="Arial" w:cs="Arial"/>
          <w:sz w:val="22"/>
        </w:rPr>
      </w:pPr>
      <w:r>
        <w:rPr>
          <w:rFonts w:cs="Arial" w:ascii="Arial" w:hAnsi="Arial"/>
          <w:sz w:val="22"/>
        </w:rPr>
        <w:t>Search terms were developed iteratively to reflect the core components of the research question. These included terms related to obesity (“obesity”, “weight management”, “overweight”), healthcare setting (“primary care”, “community health”, “general practice”), population (“adult”) and geographical context (“UK”, “United Kingdom”, “England”). Boolean operators were used to combine these terms and refine the search.</w:t>
      </w:r>
    </w:p>
    <w:p>
      <w:pPr>
        <w:pStyle w:val="NormalWeb"/>
        <w:spacing w:lineRule="auto" w:line="360" w:beforeAutospacing="0" w:before="0" w:afterAutospacing="0" w:after="0"/>
        <w:jc w:val="both"/>
        <w:rPr>
          <w:rFonts w:ascii="Arial" w:hAnsi="Arial" w:cs="Arial"/>
          <w:sz w:val="22"/>
        </w:rPr>
      </w:pPr>
      <w:r>
        <w:rPr>
          <w:rFonts w:cs="Arial" w:ascii="Arial" w:hAnsi="Arial"/>
          <w:sz w:val="22"/>
        </w:rPr>
        <w:t>A typical search string took the following form:</w:t>
      </w:r>
    </w:p>
    <w:p>
      <w:pPr>
        <w:pStyle w:val="NormalWeb"/>
        <w:spacing w:lineRule="auto" w:line="360" w:beforeAutospacing="0" w:before="0" w:afterAutospacing="0" w:after="0"/>
        <w:jc w:val="both"/>
        <w:rPr>
          <w:rFonts w:ascii="Arial" w:hAnsi="Arial" w:cs="Arial"/>
          <w:i/>
          <w:i/>
          <w:sz w:val="22"/>
        </w:rPr>
      </w:pPr>
      <w:r>
        <w:rPr>
          <w:rFonts w:cs="Arial" w:ascii="Arial" w:hAnsi="Arial"/>
          <w:i/>
          <w:sz w:val="22"/>
        </w:rPr>
        <w:t>(“obesity” OR “weight management”) AND (“primary care” OR “community health”) AND (adult*) AND (“UK” OR “United Kingdom”)</w:t>
      </w:r>
    </w:p>
    <w:p>
      <w:pPr>
        <w:pStyle w:val="NormalWeb"/>
        <w:spacing w:lineRule="auto" w:line="360" w:beforeAutospacing="0" w:before="0" w:afterAutospacing="0" w:after="0"/>
        <w:jc w:val="both"/>
        <w:rPr>
          <w:b/>
          <w:b/>
          <w:bCs/>
          <w:sz w:val="22"/>
        </w:rPr>
      </w:pPr>
      <w:r>
        <w:rPr>
          <w:rFonts w:cs="Arial" w:ascii="Arial" w:hAnsi="Arial"/>
          <w:sz w:val="22"/>
        </w:rPr>
        <w:t>Searches were limited to studies published in English between 2010 and 2023, reflecting contemporary policy and practice in the UK. Only peer-reviewed journal articles were included to ensure academic quality,</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3.3 Study selection</w:t>
      </w:r>
    </w:p>
    <w:p>
      <w:pPr>
        <w:pStyle w:val="NormalWeb"/>
        <w:spacing w:lineRule="auto" w:line="360" w:beforeAutospacing="0" w:before="0" w:afterAutospacing="0" w:after="0"/>
        <w:jc w:val="both"/>
        <w:rPr>
          <w:rFonts w:ascii="Arial" w:hAnsi="Arial" w:cs="Arial"/>
          <w:sz w:val="22"/>
        </w:rPr>
      </w:pPr>
      <w:r>
        <w:rPr>
          <w:rFonts w:cs="Arial" w:ascii="Arial" w:hAnsi="Arial"/>
          <w:sz w:val="22"/>
        </w:rPr>
        <w:t xml:space="preserve">The initial search yielded </w:t>
      </w:r>
      <w:r>
        <w:rPr>
          <w:rFonts w:cs="Arial" w:ascii="Arial" w:hAnsi="Arial"/>
          <w:b/>
          <w:sz w:val="22"/>
        </w:rPr>
        <w:t>58 records</w:t>
      </w:r>
      <w:r>
        <w:rPr>
          <w:rFonts w:cs="Arial" w:ascii="Arial" w:hAnsi="Arial"/>
          <w:sz w:val="22"/>
        </w:rPr>
        <w:t xml:space="preserve">, which were exported for screening. After the removal of duplicates, </w:t>
      </w:r>
      <w:r>
        <w:rPr>
          <w:rFonts w:cs="Arial" w:ascii="Arial" w:hAnsi="Arial"/>
          <w:b/>
          <w:sz w:val="22"/>
        </w:rPr>
        <w:t>52 records</w:t>
      </w:r>
      <w:r>
        <w:rPr>
          <w:rFonts w:cs="Arial" w:ascii="Arial" w:hAnsi="Arial"/>
          <w:sz w:val="22"/>
        </w:rPr>
        <w:t xml:space="preserve"> remained. These were screened by title and abstract against the inclusion criteria, resulting in the exclusion of 32 studies that were not relevant to the research question.</w:t>
      </w:r>
    </w:p>
    <w:p>
      <w:pPr>
        <w:pStyle w:val="NormalWeb"/>
        <w:spacing w:lineRule="auto" w:line="360" w:beforeAutospacing="0" w:before="0" w:afterAutospacing="0" w:after="0"/>
        <w:jc w:val="both"/>
        <w:rPr>
          <w:rFonts w:ascii="Arial" w:hAnsi="Arial" w:cs="Arial"/>
          <w:sz w:val="22"/>
        </w:rPr>
      </w:pPr>
      <w:r>
        <w:rPr>
          <w:rFonts w:cs="Arial" w:ascii="Arial" w:hAnsi="Arial"/>
          <w:sz w:val="22"/>
        </w:rPr>
        <w:t xml:space="preserve">A total of </w:t>
      </w:r>
      <w:r>
        <w:rPr>
          <w:rFonts w:cs="Arial" w:ascii="Arial" w:hAnsi="Arial"/>
          <w:b/>
          <w:sz w:val="22"/>
        </w:rPr>
        <w:t>20 full-text articles</w:t>
      </w:r>
      <w:r>
        <w:rPr>
          <w:rFonts w:cs="Arial" w:ascii="Arial" w:hAnsi="Arial"/>
          <w:sz w:val="22"/>
        </w:rPr>
        <w:t xml:space="preserve"> were then assessed for eligibility. Of these, 15 were excluded for reasons including non-UK settings, focus on paediatric populations, or interventions delivered exclusively in hospital settings. Ultimately, </w:t>
      </w:r>
      <w:r>
        <w:rPr>
          <w:rFonts w:cs="Arial" w:ascii="Arial" w:hAnsi="Arial"/>
          <w:b/>
          <w:sz w:val="22"/>
        </w:rPr>
        <w:t>five studies</w:t>
      </w:r>
      <w:r>
        <w:rPr>
          <w:rFonts w:cs="Arial" w:ascii="Arial" w:hAnsi="Arial"/>
          <w:sz w:val="22"/>
        </w:rPr>
        <w:t xml:space="preserve"> were included in the final review.</w:t>
      </w:r>
    </w:p>
    <w:p>
      <w:pPr>
        <w:pStyle w:val="NormalWeb"/>
        <w:spacing w:lineRule="auto" w:line="360" w:beforeAutospacing="0" w:before="0" w:afterAutospacing="0" w:after="0"/>
        <w:jc w:val="both"/>
        <w:rPr>
          <w:rStyle w:val="Strong"/>
          <w:rFonts w:ascii="Arial" w:hAnsi="Arial" w:cs="Arial"/>
          <w:b w:val="false"/>
          <w:b w:val="false"/>
          <w:bCs w:val="false"/>
          <w:sz w:val="22"/>
        </w:rPr>
      </w:pPr>
      <w:r>
        <w:rPr>
          <w:rFonts w:cs="Arial" w:ascii="Arial" w:hAnsi="Arial"/>
          <w:sz w:val="22"/>
        </w:rPr>
        <w:t>This process is consistent with PRISMA guidance for transparent reporting of study selection.</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3.4 Inclusion and exclusion criteria</w:t>
      </w:r>
    </w:p>
    <w:p>
      <w:pPr>
        <w:pStyle w:val="NormalWeb"/>
        <w:spacing w:lineRule="auto" w:line="360" w:beforeAutospacing="0" w:before="0" w:afterAutospacing="0" w:after="0"/>
        <w:jc w:val="both"/>
        <w:rPr>
          <w:rFonts w:ascii="Arial" w:hAnsi="Arial" w:cs="Arial"/>
          <w:sz w:val="22"/>
        </w:rPr>
      </w:pPr>
      <w:r>
        <w:rPr>
          <w:rFonts w:cs="Arial" w:ascii="Arial" w:hAnsi="Arial"/>
          <w:sz w:val="22"/>
        </w:rPr>
        <w:t>Studies were included if they were peer-reviewed, UK-based, focused on adults aged 18 years and over, and examined interventions targeting obesity prevention or management within primary care or community settings. Studies were excluded if they were policy documents, editorials, or commentaries, or if they focused on non-UK populations or clinical settings outside the scope of primary care and community health.</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3.5 Data charting</w:t>
      </w:r>
    </w:p>
    <w:p>
      <w:pPr>
        <w:pStyle w:val="NormalWeb"/>
        <w:spacing w:lineRule="auto" w:line="360" w:beforeAutospacing="0" w:before="0" w:afterAutospacing="0" w:after="0"/>
        <w:jc w:val="both"/>
        <w:rPr>
          <w:rFonts w:ascii="Arial" w:hAnsi="Arial" w:cs="Arial"/>
          <w:sz w:val="22"/>
        </w:rPr>
      </w:pPr>
      <w:r>
        <w:rPr>
          <w:rFonts w:cs="Arial" w:ascii="Arial" w:hAnsi="Arial"/>
          <w:sz w:val="22"/>
        </w:rPr>
        <w:t>Data from the included studies were extracted using a structured approach. Key information included study design, setting, population characteristics, type of intervention, duration, and reported outcomes. This process enabled systematic comparison across studies and supported the identification of common themes.</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3.6 Data analysis</w:t>
      </w:r>
    </w:p>
    <w:p>
      <w:pPr>
        <w:pStyle w:val="NormalWeb"/>
        <w:spacing w:lineRule="auto" w:line="360" w:beforeAutospacing="0" w:before="0" w:afterAutospacing="0" w:after="0"/>
        <w:jc w:val="both"/>
        <w:rPr>
          <w:rFonts w:ascii="Arial" w:hAnsi="Arial" w:cs="Arial"/>
          <w:sz w:val="22"/>
        </w:rPr>
      </w:pPr>
      <w:r>
        <w:rPr>
          <w:rFonts w:cs="Arial" w:ascii="Arial" w:hAnsi="Arial"/>
          <w:sz w:val="22"/>
        </w:rPr>
        <w:t>The data were analysed using thematic analysis, allowing patterns and relationships to emerge across the included studies. This approach is consistent with scoping review methodology, which emphasises the identification of key concepts and themes rather than quantitative synthesis.</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3.7 Ethical considerations</w:t>
      </w:r>
    </w:p>
    <w:p>
      <w:pPr>
        <w:pStyle w:val="NormalWeb"/>
        <w:spacing w:lineRule="auto" w:line="360" w:beforeAutospacing="0" w:before="0" w:afterAutospacing="0" w:after="0"/>
        <w:jc w:val="both"/>
        <w:rPr>
          <w:rFonts w:ascii="Arial" w:hAnsi="Arial" w:cs="Arial"/>
          <w:sz w:val="22"/>
        </w:rPr>
      </w:pPr>
      <w:r>
        <w:rPr>
          <w:rFonts w:cs="Arial" w:ascii="Arial" w:hAnsi="Arial"/>
          <w:sz w:val="22"/>
        </w:rPr>
        <w:t>As this study involved the analysis of publicly available research, formal ethical approval was not required. Nevertheless, ethical principles were upheld through accurate reporting, appropriate referencing and efforts to minimise bias in study selection and interpretation.</w:t>
      </w:r>
    </w:p>
    <w:p>
      <w:pPr>
        <w:pStyle w:val="NormalWeb"/>
        <w:spacing w:lineRule="auto" w:line="360" w:beforeAutospacing="0" w:before="240" w:afterAutospacing="0" w:after="240"/>
        <w:jc w:val="both"/>
        <w:rPr>
          <w:rStyle w:val="Strong"/>
          <w:rFonts w:ascii="Arial" w:hAnsi="Arial" w:eastAsia="宋体" w:cs="Arial" w:eastAsiaTheme="majorEastAsia"/>
        </w:rPr>
      </w:pPr>
      <w:r>
        <w:rPr>
          <w:rStyle w:val="Strong"/>
          <w:rFonts w:eastAsia="宋体" w:cs="Arial" w:ascii="Arial" w:hAnsi="Arial" w:eastAsiaTheme="majorEastAsia"/>
        </w:rPr>
        <w:t>4. Results</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4.1 Characteristics of included studies</w:t>
      </w:r>
    </w:p>
    <w:p>
      <w:pPr>
        <w:pStyle w:val="NormalWeb"/>
        <w:spacing w:lineRule="auto" w:line="360" w:beforeAutospacing="0" w:before="0" w:afterAutospacing="0" w:after="0"/>
        <w:jc w:val="both"/>
        <w:rPr>
          <w:rFonts w:ascii="Arial" w:hAnsi="Arial" w:cs="Arial"/>
          <w:sz w:val="22"/>
        </w:rPr>
      </w:pPr>
      <w:r>
        <w:rPr>
          <w:rFonts w:cs="Arial" w:ascii="Arial" w:hAnsi="Arial"/>
          <w:sz w:val="22"/>
        </w:rPr>
        <w:t>The five studies included in this scoping review provide a focused yet methodologically diverse representation of adult obesity interventions delivered within UK primary care and community health settings. Although limited in number, the selected studies capture a range of intervention types, delivery models and research designs, enabling a meaningful exploration of current practice. A summary of the key characteristics of the included studies is presented in Table 1.</w:t>
      </w:r>
    </w:p>
    <w:p>
      <w:pPr>
        <w:pStyle w:val="NormalWeb"/>
        <w:spacing w:lineRule="auto" w:line="360" w:beforeAutospacing="0" w:before="240" w:afterAutospacing="0" w:after="240"/>
        <w:jc w:val="both"/>
        <w:rPr>
          <w:bCs/>
        </w:rPr>
      </w:pPr>
      <w:r>
        <w:rPr>
          <w:bCs/>
        </w:rPr>
        <w:t>Table 1: Summary of included studies</w:t>
      </w:r>
    </w:p>
    <w:tbl>
      <w:tblPr>
        <w:tblStyle w:val="TableGrid"/>
        <w:tblW w:w="9350"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2337"/>
        <w:gridCol w:w="1627"/>
        <w:gridCol w:w="2694"/>
        <w:gridCol w:w="2691"/>
      </w:tblGrid>
      <w:tr>
        <w:trPr/>
        <w:tc>
          <w:tcPr>
            <w:tcW w:w="2337" w:type="dxa"/>
            <w:tcBorders>
              <w:top w:val="nil"/>
              <w:left w:val="nil"/>
            </w:tcBorders>
          </w:tcPr>
          <w:p>
            <w:pPr>
              <w:pStyle w:val="NormalWeb"/>
              <w:widowControl/>
              <w:spacing w:beforeAutospacing="0" w:before="0" w:afterAutospacing="0" w:after="0"/>
              <w:jc w:val="left"/>
              <w:rPr>
                <w:rFonts w:ascii="Arial" w:hAnsi="Arial" w:cs="Arial"/>
                <w:b/>
                <w:b/>
                <w:sz w:val="22"/>
              </w:rPr>
            </w:pPr>
            <w:r>
              <w:rPr>
                <w:rFonts w:cs="Arial" w:ascii="Arial" w:hAnsi="Arial"/>
                <w:b/>
                <w:kern w:val="0"/>
                <w:sz w:val="22"/>
                <w:szCs w:val="24"/>
                <w:lang w:bidi="ar-SA"/>
              </w:rPr>
              <w:t>Study</w:t>
            </w:r>
          </w:p>
        </w:tc>
        <w:tc>
          <w:tcPr>
            <w:tcW w:w="1627" w:type="dxa"/>
            <w:tcBorders>
              <w:top w:val="nil"/>
            </w:tcBorders>
          </w:tcPr>
          <w:p>
            <w:pPr>
              <w:pStyle w:val="NormalWeb"/>
              <w:widowControl/>
              <w:spacing w:beforeAutospacing="0" w:before="0" w:afterAutospacing="0" w:after="0"/>
              <w:jc w:val="left"/>
              <w:rPr>
                <w:rFonts w:ascii="Arial" w:hAnsi="Arial" w:cs="Arial"/>
                <w:b/>
                <w:b/>
                <w:sz w:val="22"/>
              </w:rPr>
            </w:pPr>
            <w:r>
              <w:rPr>
                <w:rFonts w:cs="Arial" w:ascii="Arial" w:hAnsi="Arial"/>
                <w:b/>
                <w:kern w:val="0"/>
                <w:sz w:val="22"/>
                <w:szCs w:val="24"/>
                <w:lang w:bidi="ar-SA"/>
              </w:rPr>
              <w:t>Design</w:t>
            </w:r>
          </w:p>
        </w:tc>
        <w:tc>
          <w:tcPr>
            <w:tcW w:w="2694" w:type="dxa"/>
            <w:tcBorders>
              <w:top w:val="nil"/>
            </w:tcBorders>
          </w:tcPr>
          <w:p>
            <w:pPr>
              <w:pStyle w:val="NormalWeb"/>
              <w:widowControl/>
              <w:spacing w:beforeAutospacing="0" w:before="0" w:afterAutospacing="0" w:after="0"/>
              <w:jc w:val="left"/>
              <w:rPr>
                <w:rFonts w:ascii="Arial" w:hAnsi="Arial" w:cs="Arial"/>
                <w:b/>
                <w:b/>
                <w:sz w:val="22"/>
              </w:rPr>
            </w:pPr>
            <w:r>
              <w:rPr>
                <w:rFonts w:cs="Arial" w:ascii="Arial" w:hAnsi="Arial"/>
                <w:b/>
                <w:kern w:val="0"/>
                <w:sz w:val="22"/>
                <w:szCs w:val="24"/>
                <w:lang w:bidi="ar-SA"/>
              </w:rPr>
              <w:t>Intervention</w:t>
            </w:r>
          </w:p>
        </w:tc>
        <w:tc>
          <w:tcPr>
            <w:tcW w:w="2691" w:type="dxa"/>
            <w:tcBorders>
              <w:top w:val="nil"/>
              <w:right w:val="nil"/>
            </w:tcBorders>
          </w:tcPr>
          <w:p>
            <w:pPr>
              <w:pStyle w:val="NormalWeb"/>
              <w:widowControl/>
              <w:spacing w:beforeAutospacing="0" w:before="0" w:afterAutospacing="0" w:after="240"/>
              <w:jc w:val="left"/>
              <w:rPr>
                <w:rFonts w:ascii="Arial" w:hAnsi="Arial" w:cs="Arial"/>
                <w:b/>
                <w:b/>
                <w:sz w:val="22"/>
              </w:rPr>
            </w:pPr>
            <w:r>
              <w:rPr>
                <w:rFonts w:cs="Arial" w:ascii="Arial" w:hAnsi="Arial"/>
                <w:b/>
                <w:kern w:val="0"/>
                <w:sz w:val="22"/>
                <w:szCs w:val="24"/>
                <w:lang w:bidi="ar-SA"/>
              </w:rPr>
              <w:t>Key findings</w:t>
            </w:r>
          </w:p>
        </w:tc>
      </w:tr>
      <w:tr>
        <w:trPr/>
        <w:tc>
          <w:tcPr>
            <w:tcW w:w="2337" w:type="dxa"/>
            <w:tcBorders>
              <w:lef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Ahern et al. (2017)</w:t>
            </w:r>
          </w:p>
        </w:tc>
        <w:tc>
          <w:tcPr>
            <w:tcW w:w="1627"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Randomised controlled trial</w:t>
            </w:r>
          </w:p>
        </w:tc>
        <w:tc>
          <w:tcPr>
            <w:tcW w:w="2694"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Referral to weight management programmes</w:t>
            </w:r>
          </w:p>
        </w:tc>
        <w:tc>
          <w:tcPr>
            <w:tcW w:w="2691" w:type="dxa"/>
            <w:tcBorders>
              <w:righ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Significant weight loss</w:t>
            </w:r>
          </w:p>
        </w:tc>
      </w:tr>
      <w:tr>
        <w:trPr/>
        <w:tc>
          <w:tcPr>
            <w:tcW w:w="2337" w:type="dxa"/>
            <w:tcBorders>
              <w:lef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Jolly et al. (2011)</w:t>
            </w:r>
          </w:p>
        </w:tc>
        <w:tc>
          <w:tcPr>
            <w:tcW w:w="1627"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Randomised controlled trial</w:t>
            </w:r>
          </w:p>
        </w:tc>
        <w:tc>
          <w:tcPr>
            <w:tcW w:w="2694"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Commercial vs GP-led programmes</w:t>
            </w:r>
          </w:p>
        </w:tc>
        <w:tc>
          <w:tcPr>
            <w:tcW w:w="2691" w:type="dxa"/>
            <w:tcBorders>
              <w:righ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Commercial more effective</w:t>
            </w:r>
          </w:p>
        </w:tc>
      </w:tr>
      <w:tr>
        <w:trPr/>
        <w:tc>
          <w:tcPr>
            <w:tcW w:w="2337" w:type="dxa"/>
            <w:tcBorders>
              <w:lef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Yardley et al. (2014)</w:t>
            </w:r>
          </w:p>
        </w:tc>
        <w:tc>
          <w:tcPr>
            <w:tcW w:w="1627"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Randomised controlled trial</w:t>
            </w:r>
          </w:p>
        </w:tc>
        <w:tc>
          <w:tcPr>
            <w:tcW w:w="2694"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Digital intervention</w:t>
            </w:r>
          </w:p>
        </w:tc>
        <w:tc>
          <w:tcPr>
            <w:tcW w:w="2691" w:type="dxa"/>
            <w:tcBorders>
              <w:righ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Modest sustained outcomes</w:t>
            </w:r>
          </w:p>
        </w:tc>
      </w:tr>
      <w:tr>
        <w:trPr/>
        <w:tc>
          <w:tcPr>
            <w:tcW w:w="2337" w:type="dxa"/>
            <w:tcBorders>
              <w:lef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Loveman et al. (2011)</w:t>
            </w:r>
          </w:p>
        </w:tc>
        <w:tc>
          <w:tcPr>
            <w:tcW w:w="1627"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Systematic Review</w:t>
            </w:r>
          </w:p>
        </w:tc>
        <w:tc>
          <w:tcPr>
            <w:tcW w:w="2694" w:type="dxa"/>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Behavioural programmes</w:t>
            </w:r>
          </w:p>
        </w:tc>
        <w:tc>
          <w:tcPr>
            <w:tcW w:w="2691" w:type="dxa"/>
            <w:tcBorders>
              <w:righ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Short-term effectiveness</w:t>
            </w:r>
          </w:p>
        </w:tc>
      </w:tr>
      <w:tr>
        <w:trPr/>
        <w:tc>
          <w:tcPr>
            <w:tcW w:w="2337" w:type="dxa"/>
            <w:tcBorders>
              <w:left w:val="nil"/>
              <w:bottom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Greaves et al. (2011)</w:t>
            </w:r>
          </w:p>
        </w:tc>
        <w:tc>
          <w:tcPr>
            <w:tcW w:w="1627" w:type="dxa"/>
            <w:tcBorders>
              <w:bottom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Systematic Review</w:t>
            </w:r>
          </w:p>
        </w:tc>
        <w:tc>
          <w:tcPr>
            <w:tcW w:w="2694" w:type="dxa"/>
            <w:tcBorders>
              <w:bottom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Lifestyle interventions</w:t>
            </w:r>
          </w:p>
        </w:tc>
        <w:tc>
          <w:tcPr>
            <w:tcW w:w="2691" w:type="dxa"/>
            <w:tcBorders>
              <w:bottom w:val="nil"/>
              <w:right w:val="nil"/>
            </w:tcBorders>
          </w:tcPr>
          <w:p>
            <w:pPr>
              <w:pStyle w:val="NormalWeb"/>
              <w:widowControl/>
              <w:spacing w:beforeAutospacing="0" w:before="0" w:afterAutospacing="0" w:after="0"/>
              <w:jc w:val="left"/>
              <w:rPr>
                <w:rFonts w:ascii="Arial" w:hAnsi="Arial" w:cs="Arial"/>
                <w:sz w:val="20"/>
              </w:rPr>
            </w:pPr>
            <w:r>
              <w:rPr>
                <w:rFonts w:cs="Arial" w:ascii="Arial" w:hAnsi="Arial"/>
                <w:kern w:val="0"/>
                <w:sz w:val="20"/>
                <w:szCs w:val="24"/>
                <w:lang w:bidi="ar-SA"/>
              </w:rPr>
              <w:t>Intensity linked to success</w:t>
            </w:r>
          </w:p>
        </w:tc>
      </w:tr>
    </w:tbl>
    <w:p>
      <w:pPr>
        <w:pStyle w:val="NormalWeb"/>
        <w:spacing w:lineRule="auto" w:line="360" w:beforeAutospacing="0" w:before="0" w:afterAutospacing="0" w:after="0"/>
        <w:jc w:val="both"/>
        <w:rPr>
          <w:rFonts w:ascii="Arial" w:hAnsi="Arial" w:cs="Arial"/>
          <w:sz w:val="22"/>
        </w:rPr>
      </w:pPr>
      <w:r>
        <w:rPr>
          <w:rFonts w:cs="Arial" w:ascii="Arial" w:hAnsi="Arial"/>
          <w:sz w:val="22"/>
        </w:rPr>
      </w:r>
    </w:p>
    <w:p>
      <w:pPr>
        <w:pStyle w:val="NormalWeb"/>
        <w:spacing w:lineRule="auto" w:line="360" w:beforeAutospacing="0" w:before="0" w:afterAutospacing="0" w:after="0"/>
        <w:jc w:val="both"/>
        <w:rPr>
          <w:rFonts w:ascii="Arial" w:hAnsi="Arial" w:cs="Arial"/>
          <w:sz w:val="22"/>
        </w:rPr>
      </w:pPr>
      <w:r>
        <w:rPr>
          <w:rFonts w:cs="Arial" w:ascii="Arial" w:hAnsi="Arial"/>
          <w:sz w:val="22"/>
        </w:rPr>
        <w:t>In terms of study design, the evidence base consists of two randomised controlled trials, two systematic reviews and one study evaluating a digital intervention. This combination reflects both primary research assessing the effectiveness of specific interventions and secondary research synthesising findings across multiple studies. The inclusion of randomised controlled trials enhances the robustness of the evidence, as these studies are designed to minimise bias and establish causal relationships between interventions and outcomes. Meanwhile, the systematic reviews provide a broader perspective, identifying common features associated with successful interventions.</w:t>
      </w:r>
    </w:p>
    <w:p>
      <w:pPr>
        <w:pStyle w:val="NormalWeb"/>
        <w:spacing w:lineRule="auto" w:line="360" w:beforeAutospacing="0" w:before="0" w:afterAutospacing="0" w:after="0"/>
        <w:jc w:val="both"/>
        <w:rPr>
          <w:rFonts w:ascii="Arial" w:hAnsi="Arial" w:cs="Arial"/>
          <w:sz w:val="22"/>
        </w:rPr>
      </w:pPr>
      <w:r>
        <w:rPr>
          <w:rFonts w:cs="Arial" w:ascii="Arial" w:hAnsi="Arial"/>
          <w:sz w:val="22"/>
        </w:rPr>
        <w:t>All studies were conducted within the United Kingdom and focused exclusively on adult populations, typically defined as individuals aged 18 years and over. The settings varied across general practice and wider community environments, including structured weight management programmes and digital platforms. This reflects the integrated nature of obesity management within the UK, where primary care often functions as the initial point of contact, with subsequent referral to community-based services.</w:t>
      </w:r>
    </w:p>
    <w:p>
      <w:pPr>
        <w:pStyle w:val="NormalWeb"/>
        <w:spacing w:lineRule="auto" w:line="360" w:beforeAutospacing="0" w:before="0" w:afterAutospacing="0" w:after="0"/>
        <w:jc w:val="both"/>
        <w:rPr>
          <w:rFonts w:ascii="Arial" w:hAnsi="Arial" w:cs="Arial"/>
          <w:sz w:val="22"/>
        </w:rPr>
      </w:pPr>
      <w:r>
        <w:rPr>
          <w:rFonts w:cs="Arial" w:ascii="Arial" w:hAnsi="Arial"/>
          <w:sz w:val="22"/>
        </w:rPr>
        <w:t>Across the studies, there is a consistent emphasis on behavioural and lifestyle interventions. These interventions typically involve dietary modification, increased physical activity and the application of behaviour change techniques such as goal setting, self-monitoring and feedback. However, the way in which these components are delivered differs considerably. Some interventions are highly structured, involving regular group sessions and ongoing professional support, while others adopt a more flexible or self-directed approach, particularly in the case of digital interventions.</w:t>
      </w:r>
    </w:p>
    <w:p>
      <w:pPr>
        <w:pStyle w:val="NormalWeb"/>
        <w:spacing w:lineRule="auto" w:line="360" w:beforeAutospacing="0" w:before="0" w:afterAutospacing="0" w:after="0"/>
        <w:jc w:val="both"/>
        <w:rPr>
          <w:rFonts w:ascii="Arial" w:hAnsi="Arial" w:cs="Arial"/>
          <w:sz w:val="22"/>
        </w:rPr>
      </w:pPr>
      <w:r>
        <w:rPr>
          <w:rFonts w:cs="Arial" w:ascii="Arial" w:hAnsi="Arial"/>
          <w:sz w:val="22"/>
        </w:rPr>
        <w:t>The duration and intensity of interventions also vary significantly. Some programmes involve frequent contact over extended periods, while others are shorter or less intensive. This variation is likely to influence both participant engagement and outcomes, and it reflects the diversity of approaches currently used in practice. In terms of outcomes, all studies report measures of weight loss, typically expressed as changes in body weight or BMI. Some studies also include behavioural outcomes, such as changes in diet and physical activity, as well as measures of adherence and engagement.</w:t>
      </w:r>
    </w:p>
    <w:p>
      <w:pPr>
        <w:pStyle w:val="NormalWeb"/>
        <w:spacing w:lineRule="auto" w:line="360" w:beforeAutospacing="0" w:before="0" w:afterAutospacing="0" w:after="0"/>
        <w:jc w:val="both"/>
        <w:rPr>
          <w:rFonts w:eastAsia="宋体" w:eastAsiaTheme="majorEastAsia"/>
        </w:rPr>
      </w:pPr>
      <w:r>
        <w:rPr>
          <w:rFonts w:cs="Arial" w:ascii="Arial" w:hAnsi="Arial"/>
          <w:sz w:val="22"/>
        </w:rPr>
        <w:t>Overall, the characteristics of the included studies highlight a consistent reliance on behavioural approaches, delivered through a variety of formats and intensities. This suggests that while there is a shared conceptual foundation underpinning obesity intervention, there is considerable variation in how these interventions are implemented in practice.</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4.2 Types of interventions and delivery models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Building on the characteristics outlined above, a clearer pattern emerges when the interventions are considered collectively rather than at the level of individual studies. The included evidence suggests that obesity interventions in UK primary care and community settings can be broadly understood through three dominant delivery models: structured behavioural programmes, primary care-initiated interventions and digitally mediated approaches.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Structured behavioural programmes represent the most intensive and consistently supported model across the evidence base. These interventions are typically characterised by predefined curricula, regular participant contact and the integration of behavioural techniques such as goal setting, self-monitoring and feedback. Rather than focusing on individual clinical encounters, these programmes operate as sustained interventions designed to support behaviour change over time. Their prominence across the included studies suggests that they form a central component of current obesity management pathways in the UK.</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In contrast, primary care-initiated interventions appear to function primarily as entry points into the system rather than as standalone solutions. These interventions are generally less intensive and are often constrained by the time and resource limitations inherent in routine clinical practice. While they play an essential role in identifying individuals and initiating conversations around weight management, the evidence indicates that their impact is limited when not supported by more structured follow-on interventions. This highlights an important distinction between identification and sustained management within obesity care pathways.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Digitally mediated interventions introduce a different model of delivery, characterised by flexibility and scalability. These approaches shift the responsibility for engagement more directly onto the individual, often relying on self-directed use of web-based platforms or applications. While this model offers clear advantages in terms of reach and cost-effectiveness, it also introduces variability in engagement and outcomes. The evidence suggests that digital interventions may be most effective when integrated with other forms of support rather than used in isolation.</w:t>
      </w:r>
    </w:p>
    <w:p>
      <w:pPr>
        <w:pStyle w:val="NormalWeb"/>
        <w:spacing w:lineRule="auto" w:line="360" w:beforeAutospacing="0" w:before="0" w:afterAutospacing="0" w:after="0"/>
        <w:jc w:val="both"/>
        <w:rPr>
          <w:rFonts w:ascii="Arial" w:hAnsi="Arial" w:cs="Arial"/>
          <w:b/>
          <w:b/>
          <w:bCs/>
          <w:sz w:val="22"/>
        </w:rPr>
      </w:pPr>
      <w:r>
        <w:rPr>
          <w:rFonts w:cs="Arial" w:ascii="Arial" w:hAnsi="Arial"/>
          <w:bCs/>
          <w:sz w:val="22"/>
        </w:rPr>
        <w:t>Taken together, these models illustrate that obesity interventions are not discrete or mutually exclusive but rather form part of a broader continuum of care. Primary care provides initial access, structured programmes deliver intensive support and digital tools offer ongoing or supplementary engagement. This layered approach reflects the complexity of obesity as a condition and suggests that effective management is likely to depend on the integration of multiple intervention types rather than reliance on any single model.</w:t>
      </w:r>
    </w:p>
    <w:p>
      <w:pPr>
        <w:pStyle w:val="NormalWeb"/>
        <w:spacing w:lineRule="auto" w:line="360" w:beforeAutospacing="0" w:before="240" w:afterAutospacing="0" w:after="240"/>
        <w:jc w:val="both"/>
        <w:rPr>
          <w:rStyle w:val="Strong"/>
          <w:rFonts w:ascii="Arial" w:hAnsi="Arial" w:eastAsia="宋体" w:cs="Arial" w:eastAsiaTheme="majorEastAsia"/>
          <w:sz w:val="22"/>
        </w:rPr>
      </w:pPr>
      <w:r>
        <w:rPr>
          <w:rStyle w:val="Strong"/>
          <w:rFonts w:eastAsia="宋体" w:cs="Arial" w:ascii="Arial" w:hAnsi="Arial" w:eastAsiaTheme="majorEastAsia"/>
          <w:sz w:val="22"/>
        </w:rPr>
        <w:t>4.3 Thematic analysis of outcomes and effectiveness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A central finding across all included studies is the dominance of behavioural and lifestyle interventions. These typically involve dietary modification, increased physical activity and behaviour change techniques. While such interventions consistently demonstrate modest weight loss, their effectiveness appears to depend heavily on sustained engagement and adherence.</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Thematic analysis of the included studies identified several key factors influencing the outcomes of obesity interventions in UK primary care and community settings. These themes relate to intervention effectiveness, participant engagement, and broader contextual considerations.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A central finding across all studies is that behavioural and lifestyle interventions can lead to modest weight loss, particularly in the short term. However, the magnitude of weight loss varies, and achieving clinically significant outcomes often requires sustained engagement over time. This highlights the importance of intervention design in supporting long-term behaviour change.</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Intervention intensity emerged as a critical factor influencing effectiveness. Studies consistently demonstrate that interventions involving more frequent contact, longer duration and greater levels of support are associated with better outcomes. This suggests that ongoing engagement is essential for maintaining motivation and reinforcing behaviour change. However, high-intensity interventions may also be more resource-intensive, raising questions about their scalability and sustainability within the healthcare system.</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Participant engagement is another key determinant of success. Interventions that incorporate elements such as goal setting, self-monitoring and feedback appear to be more effective in promoting adherence. Group-based programmes may also enhance engagement by providing social support and accountability. In contrast, digital interventions, while more accessible, may face challenges related to sustained user engagement, particularly over longer periods.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A further theme relates to the sustainability of outcomes. While many interventions demonstrate short-term weight loss, there is limited evidence regarding long-term maintenance. This reflects a broader challenge in obesity management, where relapse is common and sustained behaviour change is difficult to achieve. The lack of long-term data represents a significant gap in the evidence base and limits the ability to draw conclusions about the enduring impact of interventions.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Finally, the analysis highlights a limited focus on health inequalities. Despite the strong association between obesity and socio-economic factors, few studies explicitly address how interventions can be adapted to meet the needs of disadvantaged populations. This suggests that current evidence may not fully capture the effectiveness of interventions across diverse groups, and it raises concerns about the potential for existing approaches to inadvertently widen health inequalities.</w:t>
      </w:r>
    </w:p>
    <w:p>
      <w:pPr>
        <w:pStyle w:val="NormalWeb"/>
        <w:spacing w:lineRule="auto" w:line="360" w:beforeAutospacing="0" w:before="0" w:afterAutospacing="0" w:after="0"/>
        <w:jc w:val="both"/>
        <w:rPr>
          <w:rFonts w:ascii="Arial" w:hAnsi="Arial" w:cs="Arial"/>
          <w:sz w:val="22"/>
        </w:rPr>
      </w:pPr>
      <w:r>
        <w:rPr>
          <w:rFonts w:cs="Arial" w:ascii="Arial" w:hAnsi="Arial"/>
          <w:bCs/>
          <w:sz w:val="22"/>
        </w:rPr>
        <w:t>Overall, the thematic analysis indicates that while a range of interventions are available, their effectiveness is influenced by multiple interacting factors, including intensity, engagement and contextual relevance. These findings underscore the complexity of obesity management and the need for multifaceted approaches that address both individual behaviour and broader determinants of health.</w:t>
      </w:r>
    </w:p>
    <w:p>
      <w:pPr>
        <w:pStyle w:val="NormalWeb"/>
        <w:spacing w:lineRule="auto" w:line="360" w:beforeAutospacing="0" w:before="240" w:afterAutospacing="0" w:after="240"/>
        <w:jc w:val="both"/>
        <w:rPr>
          <w:rStyle w:val="Strong"/>
          <w:rFonts w:ascii="Arial" w:hAnsi="Arial" w:eastAsia="宋体" w:cs="Arial" w:eastAsiaTheme="majorEastAsia"/>
        </w:rPr>
      </w:pPr>
      <w:r>
        <w:rPr>
          <w:rStyle w:val="Strong"/>
          <w:rFonts w:eastAsia="宋体" w:cs="Arial" w:ascii="Arial" w:hAnsi="Arial" w:eastAsiaTheme="majorEastAsia"/>
        </w:rPr>
        <w:t>5. Discussion</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The findings of this scoping review highlight both the strengths and limitations of current approaches to obesity management within UK primary care and community settings. The predominance of behavioural interventions reflects established clinical guidance, which emphasises lifestyle modification as the foundation of treatment. However, the modest outcomes observed across studies suggest that behaviour change alone may be insufficient to address the complexity of obesity.</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One of the most significant findings is the relative effectiveness of structured weight management programmes compared to standard primary care interventions. This raises important questions about the role of primary care in obesity management. While primary care is well positioned to identify individuals and initiate intervention, it may lack the capacity to provide the level of ongoing support required for sustained behaviour change. As such, referral pathways to community-based programmes appear to be a critical component of effective service delivery.</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At the same time, reliance on external programmes introduces potential challenges related to accessibility and equity. Commercial programmes may not be equally accessible to all individuals, particularly those from lower socio-economic backgrounds. This highlights a potential tension between effectiveness and equity, which must be considered in policy and practice.</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Digital interventions offer a potential solution to some of these challenges by providing scalable and potentially cost-effective support. However, their effectiveness appears to depend on user engagement, which can be variable. Furthermore, digital interventions may inadvertently exacerbate inequalities if certain groups have limited access to technology or lower levels of digital literacy.</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A key limitation of the existing evidence is the lack of long-term follow-up. Obesity is a chronic condition, and short-term weight loss does not necessarily translate into sustained health benefits. The absence of long-term data makes it difficult to assess the true effectiveness of interventions and highlights the need for further research in this area.</w:t>
      </w:r>
    </w:p>
    <w:p>
      <w:pPr>
        <w:pStyle w:val="NormalWeb"/>
        <w:spacing w:lineRule="auto" w:line="360" w:beforeAutospacing="0" w:before="0" w:afterAutospacing="0" w:after="0"/>
        <w:jc w:val="both"/>
        <w:rPr>
          <w:rFonts w:ascii="Arial" w:hAnsi="Arial" w:cs="Arial"/>
          <w:sz w:val="22"/>
        </w:rPr>
      </w:pPr>
      <w:r>
        <w:rPr>
          <w:rFonts w:cs="Arial" w:ascii="Arial" w:hAnsi="Arial"/>
          <w:bCs/>
          <w:sz w:val="22"/>
        </w:rPr>
        <w:t>Another important consideration is the limited focus on social determinants of health. While individual-level interventions are important, they must be complemented by broader strategies that address the environmental and structural factors contributing to obesity. Without such an approach, there is a risk that interventions will have limited impact at the population level.</w:t>
      </w:r>
    </w:p>
    <w:p>
      <w:pPr>
        <w:pStyle w:val="NormalWeb"/>
        <w:spacing w:lineRule="auto" w:line="360" w:beforeAutospacing="0" w:before="240" w:afterAutospacing="0" w:after="240"/>
        <w:jc w:val="both"/>
        <w:rPr>
          <w:rStyle w:val="Strong"/>
          <w:rFonts w:ascii="Arial" w:hAnsi="Arial" w:eastAsia="宋体" w:cs="Arial" w:eastAsiaTheme="majorEastAsia"/>
        </w:rPr>
      </w:pPr>
      <w:r>
        <w:rPr>
          <w:rStyle w:val="Strong"/>
          <w:rFonts w:eastAsia="宋体" w:cs="Arial" w:ascii="Arial" w:hAnsi="Arial" w:eastAsiaTheme="majorEastAsia"/>
        </w:rPr>
        <w:t>6. Conclusion</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This scoping review has demonstrated that a wide range of interventions are currently used to address adult obesity within UK primary care and community health settings. While behavioural interventions remain central, their effectiveness is influenced by factors such as intervention intensity, structure and participant engagement.</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Structured programmes and digital tools offer promising avenues for intervention, but significant gaps remain in relation to long-term outcomes and health inequalities. Addressing these gaps will be essential for improving the effectiveness and equity of obesity interventions in the UK.</w:t>
      </w:r>
    </w:p>
    <w:p>
      <w:pPr>
        <w:pStyle w:val="NormalWeb"/>
        <w:spacing w:lineRule="auto" w:line="360" w:beforeAutospacing="0" w:before="240" w:afterAutospacing="0" w:after="240"/>
        <w:jc w:val="both"/>
        <w:rPr>
          <w:rStyle w:val="Strong"/>
          <w:rFonts w:ascii="Arial" w:hAnsi="Arial" w:eastAsia="宋体" w:cs="Arial" w:eastAsiaTheme="majorEastAsia"/>
        </w:rPr>
      </w:pPr>
      <w:r>
        <w:rPr>
          <w:rStyle w:val="Strong"/>
          <w:rFonts w:eastAsia="宋体" w:cs="Arial" w:ascii="Arial" w:hAnsi="Arial" w:eastAsiaTheme="majorEastAsia"/>
        </w:rPr>
        <w:t>7. Recommendations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Future research should prioritise longitudinal studies that examine the sustainability of weight loss over time, as well as the effectiveness of interventions across diverse population groups. There is also a need to explore how different intervention components can be combined to maximise effectiveness.</w:t>
      </w:r>
    </w:p>
    <w:p>
      <w:pPr>
        <w:pStyle w:val="NormalWeb"/>
        <w:spacing w:lineRule="auto" w:line="360" w:beforeAutospacing="0" w:before="0" w:afterAutospacing="0" w:after="0"/>
        <w:jc w:val="both"/>
        <w:rPr>
          <w:rFonts w:ascii="Arial" w:hAnsi="Arial" w:cs="Arial"/>
          <w:bCs/>
          <w:sz w:val="22"/>
        </w:rPr>
      </w:pPr>
      <w:r>
        <w:rPr>
          <w:rFonts w:cs="Arial" w:ascii="Arial" w:hAnsi="Arial"/>
          <w:bCs/>
          <w:sz w:val="22"/>
        </w:rPr>
        <w:t>From a policy perspective, efforts should focus on improving access to effective interventions, particularly for disadvantaged populations. This may involve increased investment in community-based services and the development of integrated care pathways that link primary care with specialist support.</w:t>
      </w:r>
    </w:p>
    <w:p>
      <w:pPr>
        <w:pStyle w:val="NormalWeb"/>
        <w:spacing w:lineRule="auto" w:line="360" w:beforeAutospacing="0" w:before="0" w:afterAutospacing="0" w:after="0"/>
        <w:jc w:val="both"/>
        <w:rPr>
          <w:rStyle w:val="Strong"/>
          <w:bCs w:val="false"/>
          <w:sz w:val="22"/>
        </w:rPr>
      </w:pPr>
      <w:r>
        <w:rPr>
          <w:rFonts w:cs="Arial" w:ascii="Arial" w:hAnsi="Arial"/>
          <w:bCs/>
          <w:sz w:val="22"/>
        </w:rPr>
        <w:t>In practice, healthcare professionals should adopt a holistic and person-centred approach to obesity management, recognising the complex interplay of factors that influence behaviour. This includes addressing not only individual lifestyle factors but also the broader social and environmental context.</w:t>
      </w:r>
    </w:p>
    <w:p>
      <w:pPr>
        <w:pStyle w:val="NormalWeb"/>
        <w:spacing w:lineRule="auto" w:line="360" w:beforeAutospacing="0" w:before="240" w:afterAutospacing="0" w:after="240"/>
        <w:jc w:val="both"/>
        <w:rPr>
          <w:rStyle w:val="Strong"/>
          <w:rFonts w:eastAsia="宋体" w:eastAsiaTheme="majorEastAsia"/>
          <w:b w:val="false"/>
          <w:b w:val="false"/>
          <w:bCs w:val="false"/>
        </w:rPr>
      </w:pPr>
      <w:r>
        <w:rPr>
          <w:rStyle w:val="Strong"/>
          <w:rFonts w:eastAsia="宋体" w:cs="Arial" w:ascii="Arial" w:hAnsi="Arial" w:eastAsiaTheme="majorEastAsia"/>
        </w:rPr>
        <w:t xml:space="preserve">References </w:t>
      </w:r>
    </w:p>
    <w:p>
      <w:pPr>
        <w:pStyle w:val="Normal"/>
        <w:spacing w:lineRule="auto" w:line="360" w:before="0" w:after="0"/>
        <w:ind w:firstLine="720"/>
        <w:jc w:val="both"/>
        <w:rPr>
          <w:rFonts w:ascii="Arial" w:hAnsi="Arial" w:cs="Arial"/>
          <w:sz w:val="22"/>
          <w:szCs w:val="44"/>
        </w:rPr>
      </w:pPr>
      <w:r>
        <w:rPr>
          <w:rFonts w:cs="Arial" w:ascii="Arial" w:hAnsi="Arial"/>
          <w:sz w:val="22"/>
          <w:szCs w:val="44"/>
        </w:rPr>
        <w:t>Ahern, A.L., Wheeler, G.M., Aveyard, P., Boyland, E.J., Halford, J.C.G., Mander, A.P., Woolston, J. and Jebb, S.A. (2017) ‘</w:t>
      </w:r>
      <w:r>
        <w:rPr>
          <w:rFonts w:cs="Arial" w:ascii="Arial" w:hAnsi="Arial"/>
          <w:i/>
          <w:sz w:val="22"/>
          <w:szCs w:val="44"/>
        </w:rPr>
        <w:t>Extended and standard duration weight-loss programme referrals for adults in primary care (WRAP): a randomised controlled trial’</w:t>
      </w:r>
      <w:r>
        <w:rPr>
          <w:rFonts w:cs="Arial" w:ascii="Arial" w:hAnsi="Arial"/>
          <w:sz w:val="22"/>
          <w:szCs w:val="44"/>
        </w:rPr>
        <w:t>, The Lancet, 389(10085), pp. 2214–2225.</w:t>
      </w:r>
    </w:p>
    <w:p>
      <w:pPr>
        <w:pStyle w:val="Normal"/>
        <w:spacing w:lineRule="auto" w:line="360" w:before="0" w:after="0"/>
        <w:ind w:firstLine="720"/>
        <w:jc w:val="both"/>
        <w:rPr>
          <w:rFonts w:ascii="Arial" w:hAnsi="Arial" w:cs="Arial"/>
          <w:sz w:val="22"/>
          <w:szCs w:val="44"/>
        </w:rPr>
      </w:pPr>
      <w:r>
        <w:rPr>
          <w:rFonts w:cs="Arial" w:ascii="Arial" w:hAnsi="Arial"/>
          <w:sz w:val="22"/>
          <w:szCs w:val="44"/>
        </w:rPr>
        <w:t>Arksey, H. and O’Malley, L. (2005) ‘</w:t>
      </w:r>
      <w:r>
        <w:rPr>
          <w:rFonts w:cs="Arial" w:ascii="Arial" w:hAnsi="Arial"/>
          <w:i/>
          <w:sz w:val="22"/>
          <w:szCs w:val="44"/>
        </w:rPr>
        <w:t>Scoping studies: towards a methodological framework’</w:t>
      </w:r>
      <w:r>
        <w:rPr>
          <w:rFonts w:cs="Arial" w:ascii="Arial" w:hAnsi="Arial"/>
          <w:sz w:val="22"/>
          <w:szCs w:val="44"/>
        </w:rPr>
        <w:t>, International Journal of Social Research Methodology, 8(1), pp. 19–32.</w:t>
      </w:r>
    </w:p>
    <w:p>
      <w:pPr>
        <w:pStyle w:val="Normal"/>
        <w:spacing w:lineRule="auto" w:line="360" w:before="0" w:after="0"/>
        <w:ind w:firstLine="720"/>
        <w:jc w:val="both"/>
        <w:rPr>
          <w:rFonts w:ascii="Arial" w:hAnsi="Arial" w:cs="Arial"/>
          <w:sz w:val="22"/>
          <w:szCs w:val="44"/>
        </w:rPr>
      </w:pPr>
      <w:r>
        <w:rPr>
          <w:rFonts w:cs="Arial" w:ascii="Arial" w:hAnsi="Arial"/>
          <w:sz w:val="22"/>
          <w:szCs w:val="44"/>
        </w:rPr>
        <w:t xml:space="preserve">Department of Health and Social Care (2020) </w:t>
      </w:r>
      <w:r>
        <w:rPr>
          <w:rFonts w:cs="Arial" w:ascii="Arial" w:hAnsi="Arial"/>
          <w:i/>
          <w:sz w:val="22"/>
          <w:szCs w:val="44"/>
        </w:rPr>
        <w:t>Tackling obesity: empowering adults and children to live healthier lives</w:t>
      </w:r>
      <w:r>
        <w:rPr>
          <w:rFonts w:cs="Arial" w:ascii="Arial" w:hAnsi="Arial"/>
          <w:sz w:val="22"/>
          <w:szCs w:val="44"/>
        </w:rPr>
        <w:t>. London: DHSC.</w:t>
      </w:r>
    </w:p>
    <w:p>
      <w:pPr>
        <w:pStyle w:val="Normal"/>
        <w:spacing w:lineRule="auto" w:line="360" w:before="0" w:after="0"/>
        <w:ind w:firstLine="720"/>
        <w:jc w:val="both"/>
        <w:rPr>
          <w:rFonts w:ascii="Arial" w:hAnsi="Arial" w:cs="Arial"/>
          <w:sz w:val="22"/>
          <w:szCs w:val="44"/>
        </w:rPr>
      </w:pPr>
      <w:r>
        <w:rPr>
          <w:rFonts w:cs="Arial" w:ascii="Arial" w:hAnsi="Arial"/>
          <w:sz w:val="22"/>
          <w:szCs w:val="44"/>
        </w:rPr>
        <w:t>Greaves, C.J., Sheppard, K.E., Abraham, C., Hardeman, W., Roden, M., Evans, P.H. and Schwarz, P. (2011) ‘</w:t>
      </w:r>
      <w:r>
        <w:rPr>
          <w:rFonts w:cs="Arial" w:ascii="Arial" w:hAnsi="Arial"/>
          <w:i/>
          <w:sz w:val="22"/>
          <w:szCs w:val="44"/>
        </w:rPr>
        <w:t>Systematic review of reviews of intervention components associated with increased effectiveness in dietary and physical activity interventions’</w:t>
      </w:r>
      <w:r>
        <w:rPr>
          <w:rFonts w:cs="Arial" w:ascii="Arial" w:hAnsi="Arial"/>
          <w:sz w:val="22"/>
          <w:szCs w:val="44"/>
        </w:rPr>
        <w:t>, BMC Public Health, 11, p. 119.</w:t>
      </w:r>
    </w:p>
    <w:p>
      <w:pPr>
        <w:pStyle w:val="Normal"/>
        <w:spacing w:lineRule="auto" w:line="360" w:before="0" w:after="0"/>
        <w:ind w:firstLine="720"/>
        <w:jc w:val="both"/>
        <w:rPr>
          <w:rFonts w:ascii="Arial" w:hAnsi="Arial" w:cs="Arial"/>
          <w:sz w:val="22"/>
          <w:szCs w:val="44"/>
        </w:rPr>
      </w:pPr>
      <w:r>
        <w:rPr>
          <w:rFonts w:cs="Arial" w:ascii="Arial" w:hAnsi="Arial"/>
          <w:sz w:val="22"/>
          <w:szCs w:val="44"/>
        </w:rPr>
        <w:t>Jolly, K., Lewis, A., Beach, J., Denley, J., Adab, P., Deeks, J.J., Daley, A., Aveyard, P., Jebb, S.A. and Moore, L. (2011) ‘</w:t>
      </w:r>
      <w:r>
        <w:rPr>
          <w:rFonts w:cs="Arial" w:ascii="Arial" w:hAnsi="Arial"/>
          <w:i/>
          <w:sz w:val="22"/>
          <w:szCs w:val="44"/>
        </w:rPr>
        <w:t>Comparison of range of commercial or primary care led weight reduction programmes with minimal intervention control in obese adults: lighten up randomised controlled trial</w:t>
      </w:r>
      <w:r>
        <w:rPr>
          <w:rFonts w:cs="Arial" w:ascii="Arial" w:hAnsi="Arial"/>
          <w:sz w:val="22"/>
          <w:szCs w:val="44"/>
        </w:rPr>
        <w:t>’, BMJ, 343, d6500.</w:t>
      </w:r>
    </w:p>
    <w:p>
      <w:pPr>
        <w:pStyle w:val="Normal"/>
        <w:spacing w:lineRule="auto" w:line="360" w:before="0" w:after="0"/>
        <w:ind w:firstLine="720"/>
        <w:jc w:val="both"/>
        <w:rPr>
          <w:rFonts w:ascii="Arial" w:hAnsi="Arial" w:cs="Arial"/>
          <w:sz w:val="22"/>
          <w:szCs w:val="44"/>
        </w:rPr>
      </w:pPr>
      <w:r>
        <w:rPr>
          <w:rFonts w:cs="Arial" w:ascii="Arial" w:hAnsi="Arial"/>
          <w:sz w:val="22"/>
          <w:szCs w:val="44"/>
        </w:rPr>
        <w:t>Levac, D., Colquhoun, H. and O’Brien, K.K. (2010) ‘</w:t>
      </w:r>
      <w:r>
        <w:rPr>
          <w:rFonts w:cs="Arial" w:ascii="Arial" w:hAnsi="Arial"/>
          <w:i/>
          <w:sz w:val="22"/>
          <w:szCs w:val="44"/>
        </w:rPr>
        <w:t>Scoping studies: advancing the methodology</w:t>
      </w:r>
      <w:r>
        <w:rPr>
          <w:rFonts w:cs="Arial" w:ascii="Arial" w:hAnsi="Arial"/>
          <w:sz w:val="22"/>
          <w:szCs w:val="44"/>
        </w:rPr>
        <w:t>’, Implementation Science, 5(1), p. 69.</w:t>
      </w:r>
    </w:p>
    <w:p>
      <w:pPr>
        <w:pStyle w:val="Normal"/>
        <w:spacing w:lineRule="auto" w:line="360" w:before="0" w:after="0"/>
        <w:ind w:firstLine="720"/>
        <w:jc w:val="both"/>
        <w:rPr>
          <w:rFonts w:ascii="Arial" w:hAnsi="Arial" w:cs="Arial"/>
          <w:sz w:val="22"/>
          <w:szCs w:val="44"/>
        </w:rPr>
      </w:pPr>
      <w:r>
        <w:rPr>
          <w:rFonts w:cs="Arial" w:ascii="Arial" w:hAnsi="Arial"/>
          <w:sz w:val="22"/>
          <w:szCs w:val="44"/>
        </w:rPr>
        <w:t>Loveman, E., Frampton, G.K., Shepherd, J., Picot, J., Cooper, K., Bryant, J., Welch, K. and Clegg, A.J. (2011) ‘</w:t>
      </w:r>
      <w:r>
        <w:rPr>
          <w:rFonts w:cs="Arial" w:ascii="Arial" w:hAnsi="Arial"/>
          <w:i/>
          <w:sz w:val="22"/>
          <w:szCs w:val="44"/>
        </w:rPr>
        <w:t>The clinical effectiveness and cost-effectiveness of long-term weight management schemes for adults: a systematic review’</w:t>
      </w:r>
      <w:r>
        <w:rPr>
          <w:rFonts w:cs="Arial" w:ascii="Arial" w:hAnsi="Arial"/>
          <w:sz w:val="22"/>
          <w:szCs w:val="44"/>
        </w:rPr>
        <w:t>, Health Technology Assessment, 15(2), pp. 1–182.</w:t>
      </w:r>
    </w:p>
    <w:p>
      <w:pPr>
        <w:pStyle w:val="Normal"/>
        <w:spacing w:lineRule="auto" w:line="360" w:before="0" w:after="0"/>
        <w:ind w:firstLine="720"/>
        <w:jc w:val="both"/>
        <w:rPr>
          <w:rFonts w:ascii="Arial" w:hAnsi="Arial" w:cs="Arial"/>
          <w:sz w:val="22"/>
          <w:szCs w:val="44"/>
        </w:rPr>
      </w:pPr>
      <w:r>
        <w:rPr>
          <w:rFonts w:cs="Arial" w:ascii="Arial" w:hAnsi="Arial"/>
          <w:sz w:val="22"/>
          <w:szCs w:val="44"/>
        </w:rPr>
        <w:t xml:space="preserve">Marmot, M. et al. (2020) </w:t>
      </w:r>
      <w:r>
        <w:rPr>
          <w:rFonts w:cs="Arial" w:ascii="Arial" w:hAnsi="Arial"/>
          <w:i/>
          <w:sz w:val="22"/>
          <w:szCs w:val="44"/>
        </w:rPr>
        <w:t>Health equity in England: The Marmot Review 10 years on</w:t>
      </w:r>
      <w:r>
        <w:rPr>
          <w:rFonts w:cs="Arial" w:ascii="Arial" w:hAnsi="Arial"/>
          <w:sz w:val="22"/>
          <w:szCs w:val="44"/>
        </w:rPr>
        <w:t>. London: Institute of Health Equity.</w:t>
      </w:r>
    </w:p>
    <w:p>
      <w:pPr>
        <w:pStyle w:val="Normal"/>
        <w:spacing w:lineRule="auto" w:line="360" w:before="0" w:after="0"/>
        <w:ind w:firstLine="720"/>
        <w:jc w:val="both"/>
        <w:rPr>
          <w:rFonts w:ascii="Arial" w:hAnsi="Arial" w:cs="Arial"/>
          <w:sz w:val="22"/>
          <w:szCs w:val="44"/>
        </w:rPr>
      </w:pPr>
      <w:r>
        <w:rPr>
          <w:rFonts w:cs="Arial" w:ascii="Arial" w:hAnsi="Arial"/>
          <w:sz w:val="22"/>
          <w:szCs w:val="44"/>
        </w:rPr>
        <w:t xml:space="preserve">NHS Digital (2023) </w:t>
      </w:r>
      <w:r>
        <w:rPr>
          <w:rFonts w:cs="Arial" w:ascii="Arial" w:hAnsi="Arial"/>
          <w:i/>
          <w:sz w:val="22"/>
          <w:szCs w:val="44"/>
        </w:rPr>
        <w:t>Statistics on obesity, physical activity and diet</w:t>
      </w:r>
      <w:r>
        <w:rPr>
          <w:rFonts w:cs="Arial" w:ascii="Arial" w:hAnsi="Arial"/>
          <w:sz w:val="22"/>
          <w:szCs w:val="44"/>
        </w:rPr>
        <w:t>, England. London: NHS Digital.</w:t>
      </w:r>
    </w:p>
    <w:p>
      <w:pPr>
        <w:pStyle w:val="Normal"/>
        <w:spacing w:lineRule="auto" w:line="360" w:before="0" w:after="0"/>
        <w:ind w:firstLine="720"/>
        <w:jc w:val="both"/>
        <w:rPr>
          <w:rFonts w:ascii="Arial" w:hAnsi="Arial" w:cs="Arial"/>
          <w:sz w:val="22"/>
          <w:szCs w:val="44"/>
        </w:rPr>
      </w:pPr>
      <w:r>
        <w:rPr>
          <w:rFonts w:cs="Arial" w:ascii="Arial" w:hAnsi="Arial"/>
          <w:sz w:val="22"/>
          <w:szCs w:val="44"/>
        </w:rPr>
        <w:t xml:space="preserve">NICE (2014) </w:t>
      </w:r>
      <w:r>
        <w:rPr>
          <w:rFonts w:cs="Arial" w:ascii="Arial" w:hAnsi="Arial"/>
          <w:i/>
          <w:sz w:val="22"/>
          <w:szCs w:val="44"/>
        </w:rPr>
        <w:t>Obesity: identification, assessment and management (CG189)</w:t>
      </w:r>
      <w:r>
        <w:rPr>
          <w:rFonts w:cs="Arial" w:ascii="Arial" w:hAnsi="Arial"/>
          <w:sz w:val="22"/>
          <w:szCs w:val="44"/>
        </w:rPr>
        <w:t>. London: NICE.</w:t>
      </w:r>
    </w:p>
    <w:p>
      <w:pPr>
        <w:pStyle w:val="Normal"/>
        <w:spacing w:lineRule="auto" w:line="360" w:before="0" w:after="0"/>
        <w:ind w:firstLine="720"/>
        <w:jc w:val="both"/>
        <w:rPr>
          <w:rFonts w:ascii="Arial" w:hAnsi="Arial" w:cs="Arial"/>
          <w:sz w:val="22"/>
          <w:szCs w:val="44"/>
        </w:rPr>
      </w:pPr>
      <w:r>
        <w:rPr>
          <w:rFonts w:cs="Arial" w:ascii="Arial" w:hAnsi="Arial"/>
          <w:sz w:val="22"/>
          <w:szCs w:val="44"/>
        </w:rPr>
        <w:t xml:space="preserve">World Health Organization (2023) </w:t>
      </w:r>
      <w:r>
        <w:rPr>
          <w:rFonts w:cs="Arial" w:ascii="Arial" w:hAnsi="Arial"/>
          <w:i/>
          <w:sz w:val="22"/>
          <w:szCs w:val="44"/>
        </w:rPr>
        <w:t>Obesity and overweight</w:t>
      </w:r>
      <w:r>
        <w:rPr>
          <w:rFonts w:cs="Arial" w:ascii="Arial" w:hAnsi="Arial"/>
          <w:sz w:val="22"/>
          <w:szCs w:val="44"/>
        </w:rPr>
        <w:t>. Geneva: World Health Organization.</w:t>
      </w:r>
    </w:p>
    <w:p>
      <w:pPr>
        <w:pStyle w:val="Normal"/>
        <w:spacing w:lineRule="auto" w:line="360" w:before="0" w:after="0"/>
        <w:ind w:firstLine="720"/>
        <w:jc w:val="both"/>
        <w:rPr>
          <w:rFonts w:ascii="Arial" w:hAnsi="Arial" w:cs="Arial"/>
          <w:sz w:val="22"/>
          <w:szCs w:val="44"/>
        </w:rPr>
      </w:pPr>
      <w:r>
        <w:rPr>
          <w:rFonts w:cs="Arial" w:ascii="Arial" w:hAnsi="Arial"/>
          <w:sz w:val="22"/>
          <w:szCs w:val="44"/>
        </w:rPr>
        <w:t>Yardley, L., Ware, L.J., Smith, E.R., Williams, S., Bradbury, K.J., Arden-Close, E., Little, P., Muller, I. and Hobbs, F.D.R. (2014) ‘</w:t>
      </w:r>
      <w:r>
        <w:rPr>
          <w:rFonts w:cs="Arial" w:ascii="Arial" w:hAnsi="Arial"/>
          <w:i/>
          <w:sz w:val="22"/>
          <w:szCs w:val="44"/>
        </w:rPr>
        <w:t>Randomised controlled trial of an internet-based weight management intervention (POWeR+) in primary care</w:t>
      </w:r>
      <w:r>
        <w:rPr>
          <w:rFonts w:cs="Arial" w:ascii="Arial" w:hAnsi="Arial"/>
          <w:sz w:val="22"/>
          <w:szCs w:val="44"/>
        </w:rPr>
        <w:t>’, The Lancet Diabetes &amp; Endocrinology, 2(4), pp. 319–328.</w:t>
      </w:r>
    </w:p>
    <w:sectPr>
      <w:footerReference w:type="default" r:id="rId3"/>
      <w:type w:val="nextPage"/>
      <w:pgSz w:w="12240" w:h="15840"/>
      <w:pgMar w:left="1440" w:right="1440" w:gutter="0" w:header="0" w:top="1440" w:footer="720" w:bottom="1440"/>
      <w:pgNumType w:start="1"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Nova">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936733708"/>
    </w:sdtPr>
    <w:sdtContent>
      <w:p>
        <w:pPr>
          <w:pStyle w:val="Footer"/>
          <w:jc w:val="center"/>
          <w:rPr/>
        </w:pPr>
        <w:r>
          <w:rPr/>
          <w:fldChar w:fldCharType="begin"/>
        </w:r>
        <w:r>
          <w:rPr/>
          <w:instrText xml:space="preserve"> PAGE </w:instrText>
        </w:r>
        <w:r>
          <w:rPr/>
          <w:fldChar w:fldCharType="separate"/>
        </w:r>
        <w:r>
          <w:rPr/>
          <w:t>12</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宋体" w:cs="Arial" w:asciiTheme="minorHAnsi" w:cstheme="minorBidi" w:eastAsiaTheme="minorEastAsia" w:hAnsiTheme="minorHAnsi"/>
        <w:sz w:val="24"/>
        <w:szCs w:val="24"/>
        <w:lang w:val="en-US" w:eastAsia="ja-JP" w:bidi="ar-SA"/>
      </w:rPr>
    </w:rPrDefault>
    <w:pPrDefault>
      <w:pPr>
        <w:suppressAutoHyphens w:val="true"/>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78" w:before="0" w:after="160"/>
      <w:jc w:val="left"/>
    </w:pPr>
    <w:rPr>
      <w:rFonts w:ascii="Aptos" w:hAnsi="Aptos" w:eastAsia="宋体" w:cs="Arial" w:asciiTheme="minorHAnsi" w:cstheme="minorBidi" w:eastAsiaTheme="minorEastAsia" w:hAnsiTheme="minorHAnsi"/>
      <w:color w:val="auto"/>
      <w:kern w:val="0"/>
      <w:sz w:val="24"/>
      <w:szCs w:val="24"/>
      <w:lang w:val="en-US" w:eastAsia="ja-JP" w:bidi="ar-SA"/>
    </w:rPr>
  </w:style>
  <w:style w:type="paragraph" w:styleId="Heading1">
    <w:name w:val="Heading 1"/>
    <w:basedOn w:val="Normal"/>
    <w:next w:val="Normal"/>
    <w:link w:val="Heading1Char"/>
    <w:uiPriority w:val="9"/>
    <w:qFormat/>
    <w:pPr>
      <w:keepNext w:val="true"/>
      <w:keepLines/>
      <w:spacing w:before="360" w:after="80"/>
      <w:outlineLvl w:val="0"/>
    </w:pPr>
    <w:rPr>
      <w:rFonts w:ascii="Aptos Display" w:hAnsi="Aptos Display" w:eastAsia="宋体"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unhideWhenUsed/>
    <w:qFormat/>
    <w:pPr>
      <w:keepNext w:val="true"/>
      <w:keepLines/>
      <w:spacing w:before="160" w:after="80"/>
      <w:outlineLvl w:val="1"/>
    </w:pPr>
    <w:rPr>
      <w:rFonts w:ascii="Aptos Display" w:hAnsi="Aptos Display" w:eastAsia="宋体"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unhideWhenUsed/>
    <w:qFormat/>
    <w:pPr>
      <w:keepNext w:val="true"/>
      <w:keepLines/>
      <w:spacing w:before="160" w:after="80"/>
      <w:outlineLvl w:val="2"/>
    </w:pPr>
    <w:rPr>
      <w:rFonts w:eastAsia="宋体"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unhideWhenUsed/>
    <w:qFormat/>
    <w:pPr>
      <w:keepNext w:val="true"/>
      <w:keepLines/>
      <w:spacing w:before="80" w:after="40"/>
      <w:outlineLvl w:val="3"/>
    </w:pPr>
    <w:rPr>
      <w:rFonts w:eastAsia="宋体" w:cs="Times New Roman" w:cstheme="majorBidi" w:eastAsiaTheme="majorEastAsia"/>
      <w:i/>
      <w:iCs/>
      <w:color w:val="0F4761" w:themeColor="accent1" w:themeShade="bf"/>
    </w:rPr>
  </w:style>
  <w:style w:type="paragraph" w:styleId="Heading5">
    <w:name w:val="Heading 5"/>
    <w:basedOn w:val="Normal"/>
    <w:next w:val="Normal"/>
    <w:link w:val="Heading5Char"/>
    <w:uiPriority w:val="9"/>
    <w:unhideWhenUsed/>
    <w:qFormat/>
    <w:pPr>
      <w:keepNext w:val="true"/>
      <w:keepLines/>
      <w:spacing w:before="80" w:after="40"/>
      <w:outlineLvl w:val="4"/>
    </w:pPr>
    <w:rPr>
      <w:rFonts w:eastAsia="宋体" w:cs="Times New Roman" w:cstheme="majorBidi" w:eastAsiaTheme="majorEastAsia"/>
      <w:color w:val="0F4761" w:themeColor="accent1" w:themeShade="bf"/>
    </w:rPr>
  </w:style>
  <w:style w:type="paragraph" w:styleId="Heading6">
    <w:name w:val="Heading 6"/>
    <w:basedOn w:val="Normal"/>
    <w:next w:val="Normal"/>
    <w:link w:val="Heading6Char"/>
    <w:uiPriority w:val="9"/>
    <w:unhideWhenUsed/>
    <w:qFormat/>
    <w:pPr>
      <w:keepNext w:val="true"/>
      <w:keepLines/>
      <w:spacing w:before="40" w:after="0"/>
      <w:outlineLvl w:val="5"/>
    </w:pPr>
    <w:rPr>
      <w:rFonts w:eastAsia="宋体" w:cs="Times New Roman" w:cstheme="majorBidi" w:eastAsiaTheme="majorEastAsia"/>
      <w:i/>
      <w:iCs/>
      <w:color w:val="595959" w:themeColor="text1" w:themeTint="a6"/>
    </w:rPr>
  </w:style>
  <w:style w:type="paragraph" w:styleId="Heading7">
    <w:name w:val="Heading 7"/>
    <w:basedOn w:val="Normal"/>
    <w:next w:val="Normal"/>
    <w:link w:val="Heading7Char"/>
    <w:uiPriority w:val="9"/>
    <w:unhideWhenUsed/>
    <w:qFormat/>
    <w:pPr>
      <w:keepNext w:val="true"/>
      <w:keepLines/>
      <w:spacing w:before="40" w:after="0"/>
      <w:outlineLvl w:val="6"/>
    </w:pPr>
    <w:rPr>
      <w:rFonts w:eastAsia="宋体" w:cs="Times New Roman" w:cstheme="majorBidi" w:eastAsiaTheme="majorEastAsia"/>
      <w:color w:val="595959" w:themeColor="text1" w:themeTint="a6"/>
    </w:rPr>
  </w:style>
  <w:style w:type="paragraph" w:styleId="Heading8">
    <w:name w:val="Heading 8"/>
    <w:basedOn w:val="Normal"/>
    <w:next w:val="Normal"/>
    <w:link w:val="Heading8Char"/>
    <w:uiPriority w:val="9"/>
    <w:unhideWhenUsed/>
    <w:qFormat/>
    <w:pPr>
      <w:keepNext w:val="true"/>
      <w:keepLines/>
      <w:spacing w:before="0" w:after="0"/>
      <w:outlineLvl w:val="7"/>
    </w:pPr>
    <w:rPr>
      <w:rFonts w:eastAsia="宋体" w:cs="Times New Roman" w:cstheme="majorBidi" w:eastAsiaTheme="majorEastAsia"/>
      <w:i/>
      <w:iCs/>
      <w:color w:val="272727" w:themeColor="text1" w:themeTint="d8"/>
    </w:rPr>
  </w:style>
  <w:style w:type="paragraph" w:styleId="Heading9">
    <w:name w:val="Heading 9"/>
    <w:basedOn w:val="Normal"/>
    <w:next w:val="Normal"/>
    <w:link w:val="Heading9Char"/>
    <w:uiPriority w:val="9"/>
    <w:unhideWhenUsed/>
    <w:qFormat/>
    <w:pPr>
      <w:keepNext w:val="true"/>
      <w:keepLines/>
      <w:spacing w:before="0" w:after="0"/>
      <w:outlineLvl w:val="8"/>
    </w:pPr>
    <w:rPr>
      <w:rFonts w:eastAsia="宋体" w:cs="Times New Roman" w:cstheme="majorBidi" w:eastAsiaTheme="majorEastAsia"/>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Pr>
      <w:rFonts w:ascii="Aptos Display" w:hAnsi="Aptos Display" w:eastAsia="宋体"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qFormat/>
    <w:rPr>
      <w:rFonts w:ascii="Aptos Display" w:hAnsi="Aptos Display" w:eastAsia="宋体"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qFormat/>
    <w:rPr>
      <w:rFonts w:eastAsia="宋体"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qFormat/>
    <w:rPr>
      <w:rFonts w:eastAsia="宋体"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qFormat/>
    <w:rPr>
      <w:rFonts w:eastAsia="宋体"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qFormat/>
    <w:rPr>
      <w:rFonts w:eastAsia="宋体"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qFormat/>
    <w:rPr>
      <w:rFonts w:eastAsia="宋体"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qFormat/>
    <w:rPr>
      <w:rFonts w:eastAsia="宋体"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qFormat/>
    <w:rPr>
      <w:rFonts w:eastAsia="宋体"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Pr>
      <w:rFonts w:ascii="Aptos Display" w:hAnsi="Aptos Display" w:eastAsia="宋体"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Pr>
      <w:rFonts w:eastAsia="宋体" w:cs="Times New Roman" w:cstheme="majorBidi" w:eastAsiaTheme="majorEastAsia"/>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qFormat/>
    <w:rPr>
      <w:i/>
      <w:iCs/>
      <w:color w:val="404040" w:themeColor="text1" w:themeTint="bf"/>
    </w:rPr>
  </w:style>
  <w:style w:type="character" w:styleId="IntenseQuoteChar" w:customStyle="1">
    <w:name w:val="Intense Quote Char"/>
    <w:basedOn w:val="DefaultParagraphFont"/>
    <w:link w:val="IntenseQuote"/>
    <w:uiPriority w:val="30"/>
    <w:qFormat/>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InternetLink">
    <w:name w:val="Hyperlink"/>
    <w:basedOn w:val="DefaultParagraphFont"/>
    <w:uiPriority w:val="99"/>
    <w:unhideWhenUsed/>
    <w:rPr>
      <w:color w:val="467886" w:themeColor="hyperlink"/>
      <w:u w:val="single"/>
    </w:rPr>
  </w:style>
  <w:style w:type="character" w:styleId="HeaderChar" w:customStyle="1">
    <w:name w:val="Header Char"/>
    <w:basedOn w:val="DefaultParagraphFont"/>
    <w:link w:val="Header"/>
    <w:uiPriority w:val="99"/>
    <w:qFormat/>
    <w:rsid w:val="00255a0d"/>
    <w:rPr/>
  </w:style>
  <w:style w:type="character" w:styleId="FooterChar" w:customStyle="1">
    <w:name w:val="Footer Char"/>
    <w:basedOn w:val="DefaultParagraphFont"/>
    <w:link w:val="Footer"/>
    <w:uiPriority w:val="99"/>
    <w:qFormat/>
    <w:rsid w:val="00255a0d"/>
    <w:rPr/>
  </w:style>
  <w:style w:type="character" w:styleId="VisitedInternetLink">
    <w:name w:val="FollowedHyperlink"/>
    <w:basedOn w:val="DefaultParagraphFont"/>
    <w:uiPriority w:val="99"/>
    <w:semiHidden/>
    <w:unhideWhenUsed/>
    <w:rsid w:val="00255a0d"/>
    <w:rPr>
      <w:color w:val="96607D" w:themeColor="followedHyperlink"/>
      <w:u w:val="single"/>
    </w:rPr>
  </w:style>
  <w:style w:type="character" w:styleId="Strong">
    <w:name w:val="Strong"/>
    <w:basedOn w:val="DefaultParagraphFont"/>
    <w:uiPriority w:val="22"/>
    <w:qFormat/>
    <w:rsid w:val="00043545"/>
    <w:rPr>
      <w:b/>
      <w:bCs/>
    </w:rPr>
  </w:style>
  <w:style w:type="character" w:styleId="Emphasis">
    <w:name w:val="Emphasis"/>
    <w:basedOn w:val="DefaultParagraphFont"/>
    <w:uiPriority w:val="20"/>
    <w:qFormat/>
    <w:rsid w:val="00043545"/>
    <w:rPr>
      <w:i/>
      <w:iC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Title">
    <w:name w:val="Title"/>
    <w:basedOn w:val="Normal"/>
    <w:next w:val="Normal"/>
    <w:link w:val="TitleChar"/>
    <w:uiPriority w:val="10"/>
    <w:qFormat/>
    <w:pPr>
      <w:spacing w:lineRule="auto" w:line="240" w:before="0" w:after="80"/>
      <w:contextualSpacing/>
    </w:pPr>
    <w:rPr>
      <w:rFonts w:ascii="Aptos Display" w:hAnsi="Aptos Display" w:eastAsia="宋体"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pPr/>
    <w:rPr>
      <w:rFonts w:eastAsia="宋体"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ListParagraph">
    <w:name w:val="List Paragraph"/>
    <w:basedOn w:val="Normal"/>
    <w:uiPriority w:val="34"/>
    <w:qFormat/>
    <w:pPr>
      <w:spacing w:before="0" w:after="160"/>
      <w:ind w:left="720" w:hanging="0"/>
      <w:contextualSpacing/>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255a0d"/>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255a0d"/>
    <w:pPr>
      <w:tabs>
        <w:tab w:val="clear" w:pos="720"/>
        <w:tab w:val="center" w:pos="4513" w:leader="none"/>
        <w:tab w:val="right" w:pos="9026" w:leader="none"/>
      </w:tabs>
      <w:spacing w:lineRule="auto" w:line="240" w:before="0" w:after="0"/>
    </w:pPr>
    <w:rPr/>
  </w:style>
  <w:style w:type="paragraph" w:styleId="ListBullet">
    <w:name w:val="List Bullet"/>
    <w:basedOn w:val="Normal"/>
    <w:uiPriority w:val="99"/>
    <w:unhideWhenUsed/>
    <w:qFormat/>
    <w:rsid w:val="00353f9b"/>
    <w:pPr>
      <w:numPr>
        <w:ilvl w:val="0"/>
        <w:numId w:val="1"/>
      </w:numPr>
      <w:spacing w:lineRule="auto" w:line="276" w:before="0" w:after="200"/>
      <w:contextualSpacing/>
    </w:pPr>
    <w:rPr>
      <w:sz w:val="22"/>
      <w:szCs w:val="22"/>
      <w:lang w:eastAsia="en-US"/>
    </w:rPr>
  </w:style>
  <w:style w:type="paragraph" w:styleId="NormalWeb">
    <w:name w:val="Normal (Web)"/>
    <w:basedOn w:val="Normal"/>
    <w:uiPriority w:val="99"/>
    <w:unhideWhenUsed/>
    <w:qFormat/>
    <w:rsid w:val="00043545"/>
    <w:pPr>
      <w:spacing w:lineRule="auto" w:line="240" w:beforeAutospacing="1" w:afterAutospacing="1"/>
    </w:pPr>
    <w:rPr>
      <w:rFonts w:ascii="Times New Roman" w:hAnsi="Times New Roman" w:eastAsia="Times New Roman" w:cs="Times New Roman"/>
      <w:lang w:val="en-GB" w:eastAsia="en-GB"/>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4c529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679E74-CEE6-4E9B-91E9-33A555D3E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Application>Edit_Docx_PLUS/7.4.0.3$Windows_X86_64 LibreOffice_project/</Application>
  <AppVersion>15.0000</AppVersion>
  <Pages>12</Pages>
  <Words>3634</Words>
  <Characters>22977</Characters>
  <CharactersWithSpaces>26487</CharactersWithSpaces>
  <Paragraphs>121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2025-10-01T14:27:00Z</dcterms:created>
  <dc:creator>Parese Ahmed</dc:creator>
  <dc:description/>
  <dc:language>en-GB</dc:language>
  <cp:lastModifiedBy/>
  <dcterms:modified xsi:type="dcterms:W3CDTF">2026-03-25T10:11:29Z</dcterms:modified>
  <cp:revision>12</cp:revision>
  <dc:subject/>
  <dc:title/>
</cp:coreProperties>
</file>

<file path=docProps/custom.xml><?xml version="1.0" encoding="utf-8"?>
<Properties xmlns="http://schemas.openxmlformats.org/officeDocument/2006/custom-properties" xmlns:vt="http://schemas.openxmlformats.org/officeDocument/2006/docPropsVTypes"/>
</file>