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22086B" w14:textId="77777777" w:rsidR="00545A09" w:rsidRPr="000B3653" w:rsidRDefault="00545A09" w:rsidP="00545A09">
      <w:pPr>
        <w:rPr>
          <w:rFonts w:cs="Times New Roman"/>
          <w:b/>
          <w:bCs/>
          <w:sz w:val="44"/>
          <w:szCs w:val="44"/>
        </w:rPr>
      </w:pPr>
      <w:r w:rsidRPr="000B3653">
        <w:rPr>
          <w:rFonts w:cs="Times New Roman"/>
          <w:b/>
          <w:bCs/>
          <w:sz w:val="44"/>
          <w:szCs w:val="44"/>
        </w:rPr>
        <w:t>A critical evaluation of The Relative Judgment Theory and how decision-making bias can influence eyewitness decision-making during a police lineup</w:t>
      </w:r>
      <w:r w:rsidRPr="000B3653">
        <w:rPr>
          <w:rFonts w:cs="Times New Roman"/>
          <w:b/>
          <w:bCs/>
          <w:sz w:val="44"/>
          <w:szCs w:val="44"/>
        </w:rPr>
        <w:br w:type="page"/>
      </w:r>
    </w:p>
    <w:p w14:paraId="04A9B223" w14:textId="77777777" w:rsidR="00545A09" w:rsidRPr="002728A1" w:rsidRDefault="00545A09" w:rsidP="00545A09">
      <w:pPr>
        <w:jc w:val="center"/>
        <w:rPr>
          <w:rFonts w:cs="Times New Roman"/>
          <w:b/>
          <w:bCs/>
          <w:sz w:val="24"/>
          <w:szCs w:val="24"/>
        </w:rPr>
      </w:pPr>
      <w:r w:rsidRPr="002728A1">
        <w:rPr>
          <w:rFonts w:cs="Times New Roman"/>
          <w:b/>
          <w:bCs/>
          <w:sz w:val="24"/>
          <w:szCs w:val="24"/>
        </w:rPr>
        <w:lastRenderedPageBreak/>
        <w:t>AI Acknowledgement</w:t>
      </w:r>
    </w:p>
    <w:p w14:paraId="701DE639" w14:textId="05C0FAEA" w:rsidR="002728A1" w:rsidRPr="002728A1" w:rsidRDefault="002728A1" w:rsidP="002728A1">
      <w:pPr>
        <w:rPr>
          <w:rFonts w:cs="Times New Roman"/>
          <w:sz w:val="24"/>
          <w:szCs w:val="24"/>
        </w:rPr>
      </w:pPr>
      <w:r w:rsidRPr="002728A1">
        <w:rPr>
          <w:rFonts w:cs="Times New Roman"/>
          <w:sz w:val="24"/>
          <w:szCs w:val="24"/>
        </w:rPr>
        <w:t>I acknowledge the use of Grammarly (https://www.grammarly.com/) on </w:t>
      </w:r>
      <w:r>
        <w:rPr>
          <w:rFonts w:cs="Times New Roman"/>
          <w:sz w:val="24"/>
          <w:szCs w:val="24"/>
        </w:rPr>
        <w:t>1 April</w:t>
      </w:r>
      <w:r w:rsidRPr="002728A1">
        <w:rPr>
          <w:rFonts w:cs="Times New Roman"/>
          <w:sz w:val="24"/>
          <w:szCs w:val="24"/>
        </w:rPr>
        <w:t xml:space="preserve"> 2025 to check my work using the prompt(s):</w:t>
      </w:r>
    </w:p>
    <w:p w14:paraId="46161204" w14:textId="77777777" w:rsidR="002728A1" w:rsidRPr="002728A1" w:rsidRDefault="002728A1" w:rsidP="002728A1">
      <w:pPr>
        <w:rPr>
          <w:rFonts w:cs="Times New Roman"/>
          <w:sz w:val="24"/>
          <w:szCs w:val="24"/>
        </w:rPr>
      </w:pPr>
      <w:r w:rsidRPr="002728A1">
        <w:rPr>
          <w:rFonts w:cs="Times New Roman"/>
          <w:sz w:val="24"/>
          <w:szCs w:val="24"/>
        </w:rPr>
        <w:t>1. Please check the following text for readability, grammar and spelling.</w:t>
      </w:r>
    </w:p>
    <w:p w14:paraId="57BE004A" w14:textId="77777777" w:rsidR="002728A1" w:rsidRPr="002728A1" w:rsidRDefault="002728A1" w:rsidP="002728A1">
      <w:pPr>
        <w:rPr>
          <w:rFonts w:cs="Times New Roman"/>
          <w:sz w:val="24"/>
          <w:szCs w:val="24"/>
        </w:rPr>
      </w:pPr>
      <w:r w:rsidRPr="002728A1">
        <w:rPr>
          <w:rFonts w:cs="Times New Roman"/>
          <w:sz w:val="24"/>
          <w:szCs w:val="24"/>
        </w:rPr>
        <w:t>I confirm that I have not presented any AI-generated text as my own work. I confirm I</w:t>
      </w:r>
    </w:p>
    <w:p w14:paraId="2F1DF2BF" w14:textId="77777777" w:rsidR="002728A1" w:rsidRPr="002728A1" w:rsidRDefault="002728A1" w:rsidP="002728A1">
      <w:pPr>
        <w:rPr>
          <w:rFonts w:cs="Times New Roman"/>
          <w:sz w:val="24"/>
          <w:szCs w:val="24"/>
        </w:rPr>
      </w:pPr>
      <w:r w:rsidRPr="002728A1">
        <w:rPr>
          <w:rFonts w:cs="Times New Roman"/>
          <w:sz w:val="24"/>
          <w:szCs w:val="24"/>
        </w:rPr>
        <w:t>have copies of my drafts, notes, and other resources I used before and after the use of</w:t>
      </w:r>
    </w:p>
    <w:p w14:paraId="2AF65764" w14:textId="77777777" w:rsidR="002728A1" w:rsidRPr="002728A1" w:rsidRDefault="002728A1" w:rsidP="002728A1">
      <w:pPr>
        <w:rPr>
          <w:rFonts w:cs="Times New Roman"/>
          <w:sz w:val="24"/>
          <w:szCs w:val="24"/>
        </w:rPr>
      </w:pPr>
      <w:r w:rsidRPr="002728A1">
        <w:rPr>
          <w:rFonts w:cs="Times New Roman"/>
          <w:sz w:val="24"/>
          <w:szCs w:val="24"/>
        </w:rPr>
        <w:t>AI tools which I may be asked to provide in evidence</w:t>
      </w:r>
    </w:p>
    <w:p w14:paraId="47834E2D" w14:textId="77777777" w:rsidR="002728A1" w:rsidRPr="002728A1" w:rsidRDefault="002728A1" w:rsidP="002728A1">
      <w:pPr>
        <w:rPr>
          <w:rFonts w:cs="Times New Roman"/>
          <w:sz w:val="24"/>
          <w:szCs w:val="24"/>
        </w:rPr>
      </w:pPr>
      <w:r w:rsidRPr="002728A1">
        <w:rPr>
          <w:rFonts w:cs="Times New Roman"/>
          <w:sz w:val="24"/>
          <w:szCs w:val="24"/>
        </w:rPr>
        <w:t> </w:t>
      </w:r>
    </w:p>
    <w:p w14:paraId="135AECB1" w14:textId="77777777" w:rsidR="002728A1" w:rsidRPr="002728A1" w:rsidRDefault="002728A1" w:rsidP="002728A1">
      <w:pPr>
        <w:rPr>
          <w:rFonts w:cs="Times New Roman"/>
          <w:sz w:val="24"/>
          <w:szCs w:val="24"/>
        </w:rPr>
      </w:pPr>
      <w:r w:rsidRPr="002728A1">
        <w:rPr>
          <w:rFonts w:cs="Times New Roman"/>
          <w:sz w:val="24"/>
          <w:szCs w:val="24"/>
        </w:rPr>
        <w:t>I acknowledge the use of Google Scholar </w:t>
      </w:r>
      <w:hyperlink r:id="rId4" w:tooltip="Original URL: https://scholar.google.com/. Click or tap if you trust this link." w:history="1">
        <w:r w:rsidRPr="002728A1">
          <w:rPr>
            <w:rStyle w:val="Hyperlink"/>
            <w:rFonts w:cs="Times New Roman"/>
            <w:sz w:val="24"/>
            <w:szCs w:val="24"/>
          </w:rPr>
          <w:t>https://scholar.google.com</w:t>
        </w:r>
      </w:hyperlink>
      <w:r w:rsidRPr="002728A1">
        <w:rPr>
          <w:rFonts w:cs="Times New Roman"/>
          <w:sz w:val="24"/>
          <w:szCs w:val="24"/>
        </w:rPr>
        <w:t> on throughout to support my research using the prompt(s):</w:t>
      </w:r>
    </w:p>
    <w:p w14:paraId="2236FBB3" w14:textId="64E03C1F" w:rsidR="002728A1" w:rsidRPr="002728A1" w:rsidRDefault="002728A1" w:rsidP="002728A1">
      <w:pPr>
        <w:rPr>
          <w:rFonts w:cs="Times New Roman"/>
          <w:sz w:val="24"/>
          <w:szCs w:val="24"/>
        </w:rPr>
      </w:pPr>
      <w:r w:rsidRPr="002728A1">
        <w:rPr>
          <w:rFonts w:cs="Times New Roman"/>
          <w:sz w:val="24"/>
          <w:szCs w:val="24"/>
        </w:rPr>
        <w:t>1. Please provide me with materials on</w:t>
      </w:r>
      <w:r>
        <w:rPr>
          <w:rFonts w:cs="Times New Roman"/>
          <w:sz w:val="24"/>
          <w:szCs w:val="24"/>
        </w:rPr>
        <w:t xml:space="preserve"> eye</w:t>
      </w:r>
      <w:r w:rsidR="00B74559">
        <w:rPr>
          <w:rFonts w:cs="Times New Roman"/>
          <w:sz w:val="24"/>
          <w:szCs w:val="24"/>
        </w:rPr>
        <w:t>witness decision making</w:t>
      </w:r>
    </w:p>
    <w:p w14:paraId="3262BAC0" w14:textId="6C9FB35D" w:rsidR="002728A1" w:rsidRPr="002728A1" w:rsidRDefault="002728A1" w:rsidP="002728A1">
      <w:pPr>
        <w:rPr>
          <w:rFonts w:cs="Times New Roman"/>
          <w:sz w:val="24"/>
          <w:szCs w:val="24"/>
        </w:rPr>
      </w:pPr>
      <w:r w:rsidRPr="002728A1">
        <w:rPr>
          <w:rFonts w:cs="Times New Roman"/>
          <w:sz w:val="24"/>
          <w:szCs w:val="24"/>
        </w:rPr>
        <w:t xml:space="preserve">2. Please provide me with materials on </w:t>
      </w:r>
      <w:r w:rsidR="00B74559">
        <w:rPr>
          <w:rFonts w:cs="Times New Roman"/>
          <w:sz w:val="24"/>
          <w:szCs w:val="24"/>
        </w:rPr>
        <w:t>relative judgement theory eyewitness</w:t>
      </w:r>
      <w:r w:rsidR="007E6321">
        <w:rPr>
          <w:rFonts w:cs="Times New Roman"/>
          <w:sz w:val="24"/>
          <w:szCs w:val="24"/>
        </w:rPr>
        <w:t xml:space="preserve"> testimony</w:t>
      </w:r>
    </w:p>
    <w:p w14:paraId="10A31E7C" w14:textId="77D36AA9" w:rsidR="002728A1" w:rsidRPr="002728A1" w:rsidRDefault="002728A1" w:rsidP="002728A1">
      <w:pPr>
        <w:rPr>
          <w:rFonts w:cs="Times New Roman"/>
          <w:sz w:val="24"/>
          <w:szCs w:val="24"/>
        </w:rPr>
      </w:pPr>
      <w:r w:rsidRPr="002728A1">
        <w:rPr>
          <w:rFonts w:cs="Times New Roman"/>
          <w:sz w:val="24"/>
          <w:szCs w:val="24"/>
        </w:rPr>
        <w:t xml:space="preserve">3. Please provide me with materials on </w:t>
      </w:r>
      <w:r w:rsidR="00B74559">
        <w:rPr>
          <w:rFonts w:cs="Times New Roman"/>
          <w:sz w:val="24"/>
          <w:szCs w:val="24"/>
        </w:rPr>
        <w:t xml:space="preserve">relative judgement theory </w:t>
      </w:r>
      <w:r w:rsidR="003C1D60">
        <w:rPr>
          <w:rFonts w:cs="Times New Roman"/>
          <w:sz w:val="24"/>
          <w:szCs w:val="24"/>
        </w:rPr>
        <w:t xml:space="preserve">eyewitness </w:t>
      </w:r>
      <w:r w:rsidR="007E6321">
        <w:rPr>
          <w:rFonts w:cs="Times New Roman"/>
          <w:sz w:val="24"/>
          <w:szCs w:val="24"/>
        </w:rPr>
        <w:t xml:space="preserve">testimony </w:t>
      </w:r>
      <w:r w:rsidR="003C1D60">
        <w:rPr>
          <w:rFonts w:cs="Times New Roman"/>
          <w:sz w:val="24"/>
          <w:szCs w:val="24"/>
        </w:rPr>
        <w:t>police line</w:t>
      </w:r>
    </w:p>
    <w:p w14:paraId="5CD54081" w14:textId="23339ECD" w:rsidR="002728A1" w:rsidRDefault="003C1D60" w:rsidP="002728A1">
      <w:pPr>
        <w:rPr>
          <w:rFonts w:cs="Times New Roman"/>
          <w:sz w:val="24"/>
          <w:szCs w:val="24"/>
        </w:rPr>
      </w:pPr>
      <w:r>
        <w:rPr>
          <w:rFonts w:cs="Times New Roman"/>
          <w:sz w:val="24"/>
          <w:szCs w:val="24"/>
        </w:rPr>
        <w:t>4</w:t>
      </w:r>
      <w:r w:rsidR="002728A1" w:rsidRPr="002728A1">
        <w:rPr>
          <w:rFonts w:cs="Times New Roman"/>
          <w:sz w:val="24"/>
          <w:szCs w:val="24"/>
        </w:rPr>
        <w:t xml:space="preserve">. Please provide me with materials on </w:t>
      </w:r>
      <w:r>
        <w:rPr>
          <w:rFonts w:cs="Times New Roman"/>
          <w:sz w:val="24"/>
          <w:szCs w:val="24"/>
        </w:rPr>
        <w:t>Decision making bias eyewitness</w:t>
      </w:r>
      <w:r w:rsidR="007E6321">
        <w:rPr>
          <w:rFonts w:cs="Times New Roman"/>
          <w:sz w:val="24"/>
          <w:szCs w:val="24"/>
        </w:rPr>
        <w:t xml:space="preserve"> testimony</w:t>
      </w:r>
    </w:p>
    <w:p w14:paraId="1831A58C" w14:textId="41C83E5A" w:rsidR="003C1D60" w:rsidRPr="003C1D60" w:rsidRDefault="003C51E2" w:rsidP="003C1D60">
      <w:pPr>
        <w:rPr>
          <w:rFonts w:cs="Times New Roman"/>
          <w:sz w:val="24"/>
          <w:szCs w:val="24"/>
        </w:rPr>
      </w:pPr>
      <w:r>
        <w:rPr>
          <w:rFonts w:cs="Times New Roman"/>
          <w:sz w:val="24"/>
          <w:szCs w:val="24"/>
        </w:rPr>
        <w:t>5</w:t>
      </w:r>
      <w:r w:rsidR="003C1D60" w:rsidRPr="003C1D60">
        <w:rPr>
          <w:rFonts w:cs="Times New Roman"/>
          <w:sz w:val="24"/>
          <w:szCs w:val="24"/>
        </w:rPr>
        <w:t xml:space="preserve">. Please provide me with materials on </w:t>
      </w:r>
      <w:r>
        <w:rPr>
          <w:rFonts w:cs="Times New Roman"/>
          <w:sz w:val="24"/>
          <w:szCs w:val="24"/>
        </w:rPr>
        <w:t>memory conformity eyewitness</w:t>
      </w:r>
      <w:r w:rsidR="007E6321">
        <w:rPr>
          <w:rFonts w:cs="Times New Roman"/>
          <w:sz w:val="24"/>
          <w:szCs w:val="24"/>
        </w:rPr>
        <w:t xml:space="preserve"> testimony</w:t>
      </w:r>
    </w:p>
    <w:p w14:paraId="23DC0A30" w14:textId="77777777" w:rsidR="003C1D60" w:rsidRPr="002728A1" w:rsidRDefault="003C1D60" w:rsidP="002728A1">
      <w:pPr>
        <w:rPr>
          <w:rFonts w:cs="Times New Roman"/>
          <w:sz w:val="24"/>
          <w:szCs w:val="24"/>
        </w:rPr>
      </w:pPr>
    </w:p>
    <w:p w14:paraId="7C187D4F" w14:textId="77777777" w:rsidR="002728A1" w:rsidRPr="002728A1" w:rsidRDefault="002728A1" w:rsidP="002728A1">
      <w:pPr>
        <w:rPr>
          <w:rFonts w:cs="Times New Roman"/>
          <w:sz w:val="24"/>
          <w:szCs w:val="24"/>
        </w:rPr>
      </w:pPr>
      <w:r w:rsidRPr="002728A1">
        <w:rPr>
          <w:rFonts w:cs="Times New Roman"/>
          <w:sz w:val="24"/>
          <w:szCs w:val="24"/>
        </w:rPr>
        <w:t>I confirm that I have not presented any AI generated text as my own work. I confirm I</w:t>
      </w:r>
    </w:p>
    <w:p w14:paraId="528C47D8" w14:textId="77777777" w:rsidR="002728A1" w:rsidRPr="002728A1" w:rsidRDefault="002728A1" w:rsidP="002728A1">
      <w:pPr>
        <w:rPr>
          <w:rFonts w:cs="Times New Roman"/>
          <w:sz w:val="24"/>
          <w:szCs w:val="24"/>
        </w:rPr>
      </w:pPr>
      <w:r w:rsidRPr="002728A1">
        <w:rPr>
          <w:rFonts w:cs="Times New Roman"/>
          <w:sz w:val="24"/>
          <w:szCs w:val="24"/>
        </w:rPr>
        <w:t>have copies of my drafts, notes, and other resources I used before, and after the use of</w:t>
      </w:r>
    </w:p>
    <w:p w14:paraId="6AAD04F4" w14:textId="77777777" w:rsidR="002728A1" w:rsidRPr="002728A1" w:rsidRDefault="002728A1" w:rsidP="002728A1">
      <w:pPr>
        <w:rPr>
          <w:rFonts w:cs="Times New Roman"/>
          <w:sz w:val="24"/>
          <w:szCs w:val="24"/>
        </w:rPr>
      </w:pPr>
      <w:r w:rsidRPr="002728A1">
        <w:rPr>
          <w:rFonts w:cs="Times New Roman"/>
          <w:sz w:val="24"/>
          <w:szCs w:val="24"/>
        </w:rPr>
        <w:t>AI tools which I may be asked to provide in evidence.</w:t>
      </w:r>
    </w:p>
    <w:p w14:paraId="6245E498" w14:textId="77777777" w:rsidR="00834250" w:rsidRDefault="002728A1" w:rsidP="002728A1">
      <w:pPr>
        <w:rPr>
          <w:rFonts w:cs="Times New Roman"/>
          <w:sz w:val="24"/>
          <w:szCs w:val="24"/>
        </w:rPr>
      </w:pPr>
      <w:r w:rsidRPr="002728A1">
        <w:rPr>
          <w:rFonts w:cs="Times New Roman"/>
          <w:sz w:val="24"/>
          <w:szCs w:val="24"/>
        </w:rPr>
        <w:t> </w:t>
      </w:r>
    </w:p>
    <w:p w14:paraId="3FFFB032" w14:textId="69CC6B86" w:rsidR="002728A1" w:rsidRPr="002728A1" w:rsidRDefault="002728A1" w:rsidP="002728A1">
      <w:pPr>
        <w:rPr>
          <w:rFonts w:cs="Times New Roman"/>
          <w:sz w:val="24"/>
          <w:szCs w:val="24"/>
        </w:rPr>
      </w:pPr>
      <w:r w:rsidRPr="002728A1">
        <w:rPr>
          <w:rFonts w:cs="Times New Roman"/>
          <w:sz w:val="24"/>
          <w:szCs w:val="24"/>
        </w:rPr>
        <w:t>I confirm that I have not presented any AI-generated text as my own work. I confirm I</w:t>
      </w:r>
    </w:p>
    <w:p w14:paraId="4F1740A9" w14:textId="77777777" w:rsidR="002728A1" w:rsidRPr="002728A1" w:rsidRDefault="002728A1" w:rsidP="002728A1">
      <w:pPr>
        <w:rPr>
          <w:rFonts w:cs="Times New Roman"/>
          <w:sz w:val="24"/>
          <w:szCs w:val="24"/>
        </w:rPr>
      </w:pPr>
      <w:r w:rsidRPr="002728A1">
        <w:rPr>
          <w:rFonts w:cs="Times New Roman"/>
          <w:sz w:val="24"/>
          <w:szCs w:val="24"/>
        </w:rPr>
        <w:t>have copies of my drafts, notes, and other resources I used before, and after the use of</w:t>
      </w:r>
    </w:p>
    <w:p w14:paraId="4A186CB5" w14:textId="77777777" w:rsidR="002728A1" w:rsidRPr="002728A1" w:rsidRDefault="002728A1" w:rsidP="002728A1">
      <w:pPr>
        <w:rPr>
          <w:rFonts w:cs="Times New Roman"/>
          <w:sz w:val="24"/>
          <w:szCs w:val="24"/>
        </w:rPr>
      </w:pPr>
      <w:r w:rsidRPr="002728A1">
        <w:rPr>
          <w:rFonts w:cs="Times New Roman"/>
          <w:sz w:val="24"/>
          <w:szCs w:val="24"/>
        </w:rPr>
        <w:t>AI tools which I may be asked to provide in evidence.</w:t>
      </w:r>
    </w:p>
    <w:p w14:paraId="6CC61512" w14:textId="77777777" w:rsidR="002728A1" w:rsidRPr="002728A1" w:rsidRDefault="002728A1" w:rsidP="002728A1">
      <w:pPr>
        <w:jc w:val="both"/>
        <w:rPr>
          <w:rFonts w:cs="Times New Roman"/>
          <w:b/>
          <w:bCs/>
          <w:sz w:val="24"/>
          <w:szCs w:val="24"/>
        </w:rPr>
      </w:pPr>
    </w:p>
    <w:p w14:paraId="7D23A434" w14:textId="77777777" w:rsidR="00545A09" w:rsidRPr="002728A1" w:rsidRDefault="00545A09" w:rsidP="00545A09">
      <w:pPr>
        <w:rPr>
          <w:rFonts w:cs="Times New Roman"/>
          <w:sz w:val="24"/>
          <w:szCs w:val="24"/>
        </w:rPr>
      </w:pPr>
    </w:p>
    <w:p w14:paraId="5B5F67A2" w14:textId="77777777" w:rsidR="00545A09" w:rsidRPr="002728A1" w:rsidRDefault="00545A09" w:rsidP="00545A09">
      <w:pPr>
        <w:rPr>
          <w:rFonts w:cs="Times New Roman"/>
          <w:sz w:val="24"/>
          <w:szCs w:val="24"/>
        </w:rPr>
        <w:sectPr w:rsidR="00545A09" w:rsidRPr="002728A1" w:rsidSect="00545A09">
          <w:pgSz w:w="11906" w:h="16838"/>
          <w:pgMar w:top="1440" w:right="1440" w:bottom="1440" w:left="1440" w:header="708" w:footer="708" w:gutter="0"/>
          <w:cols w:space="708"/>
          <w:docGrid w:linePitch="360"/>
        </w:sectPr>
      </w:pPr>
    </w:p>
    <w:p w14:paraId="76179EB8" w14:textId="724E0D66" w:rsidR="00545A09" w:rsidRPr="002728A1" w:rsidRDefault="00545A09" w:rsidP="00545A09">
      <w:pPr>
        <w:spacing w:line="480" w:lineRule="auto"/>
        <w:ind w:firstLine="720"/>
        <w:rPr>
          <w:rFonts w:cs="Times New Roman"/>
          <w:sz w:val="24"/>
          <w:szCs w:val="24"/>
        </w:rPr>
      </w:pPr>
      <w:r w:rsidRPr="002728A1">
        <w:rPr>
          <w:rFonts w:cs="Times New Roman"/>
          <w:sz w:val="24"/>
          <w:szCs w:val="24"/>
        </w:rPr>
        <w:lastRenderedPageBreak/>
        <w:t xml:space="preserve">Eyewitness testimony is a vital component of criminal investigations, and inaccuracies in such accounts can result in wrongful convictions (Wise et al., 2014). Eyewitness testimony is defined as an individual's retrospective recounting of an event, particularly in the context of criminal enquiries or legal proceedings (Loftus, 2019). It serves as a form of evidence within judicial settings, often utilised to identify suspects or elucidate details related to an incident or a crime scene (Loftus, 1979) through a police lineup (Wells &amp; Olson, 2003). </w:t>
      </w:r>
      <w:r w:rsidR="000B3653">
        <w:rPr>
          <w:rFonts w:cs="Times New Roman"/>
          <w:sz w:val="24"/>
          <w:szCs w:val="24"/>
        </w:rPr>
        <w:t xml:space="preserve">This </w:t>
      </w:r>
      <w:r w:rsidRPr="002728A1">
        <w:rPr>
          <w:rFonts w:cs="Times New Roman"/>
          <w:sz w:val="24"/>
          <w:szCs w:val="24"/>
        </w:rPr>
        <w:t xml:space="preserve">essay will explore the cognitive and situational factors that influence </w:t>
      </w:r>
      <w:r w:rsidR="000B3653">
        <w:rPr>
          <w:rFonts w:cs="Times New Roman"/>
          <w:sz w:val="24"/>
          <w:szCs w:val="24"/>
        </w:rPr>
        <w:t>eyewitness testimony</w:t>
      </w:r>
      <w:r w:rsidR="007E6321">
        <w:rPr>
          <w:rFonts w:cs="Times New Roman"/>
          <w:sz w:val="24"/>
          <w:szCs w:val="24"/>
        </w:rPr>
        <w:t xml:space="preserve"> accuracy</w:t>
      </w:r>
      <w:r w:rsidRPr="002728A1">
        <w:rPr>
          <w:rFonts w:cs="Times New Roman"/>
          <w:sz w:val="24"/>
          <w:szCs w:val="24"/>
        </w:rPr>
        <w:t>. Some of these factors include decision-making bias, memory processes, and environmental conditions such as stress (</w:t>
      </w:r>
      <w:proofErr w:type="spellStart"/>
      <w:r w:rsidRPr="002728A1">
        <w:rPr>
          <w:rFonts w:cs="Times New Roman"/>
          <w:sz w:val="24"/>
          <w:szCs w:val="24"/>
        </w:rPr>
        <w:t>Deffenbacher</w:t>
      </w:r>
      <w:proofErr w:type="spellEnd"/>
      <w:r w:rsidRPr="002728A1">
        <w:rPr>
          <w:rFonts w:cs="Times New Roman"/>
          <w:sz w:val="24"/>
          <w:szCs w:val="24"/>
        </w:rPr>
        <w:t xml:space="preserve"> et al., 2004; Wells &amp; Olson, 2003). </w:t>
      </w:r>
    </w:p>
    <w:p w14:paraId="0330F621"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A significant psychological explanation for errors in eyewitness identification is the Relative Judgment Theory, proposed by Wells in 1984. This theory posits that witnesses are more likely to select the individual who most closely resembles the perpetrator among the others in a lineup, rather than relying on a direct match with their memory. A police lineup is a systematic identification procedure used in criminal investigations, wherein a witness is presented with a group of individuals who exhibit similar physical characteristics to the suspect (Fitzgerald et al., 2018). This controlled environment aims to facilitate the witness's selection of the perpetrator while minimising the risk of misidentification. Various protocols, including the composition of the lineup and the method of presentation, are carefully designed to maintain the integrity of the identification process (Wells et al., 1998). </w:t>
      </w:r>
    </w:p>
    <w:p w14:paraId="085EF814" w14:textId="3C3BB68B"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Lineups can be conducted in various formats, including live presentations, photographs, or video-based methods, with the objective of assessing a witness's </w:t>
      </w:r>
      <w:r w:rsidRPr="002728A1">
        <w:rPr>
          <w:rFonts w:cs="Times New Roman"/>
          <w:sz w:val="24"/>
          <w:szCs w:val="24"/>
        </w:rPr>
        <w:lastRenderedPageBreak/>
        <w:t xml:space="preserve">capacity to accurately identify the perpetrator. However, substantial psychological research indicates that the processes of memory and decision-making involved in eyewitness identification are prone to errors, which can result in misidentification and, in certain cases, wrongful convictions (Wells &amp; Olson, 2003). </w:t>
      </w:r>
    </w:p>
    <w:p w14:paraId="3E5FD190"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While police lineups rely on a witness’s memory to identify the perpetrator, the process of selection for the eyewitness is not always based on accurate recall. Several factors can influence an eyewitness's decision about who the suspect is. One influential factor in the eyewitness's final decision is decision-making bias, which refers to systematic errors or unconscious heuristics that affect an individual's judgment. In the context of a lineup, this may manifest as a decision to select someone who resembles the perpetrator or to choose an individual even when the actual perpetrator is not present (Tversky &amp; Kahneman, 1974).</w:t>
      </w:r>
    </w:p>
    <w:p w14:paraId="7CF757EB"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This essay will critically evaluate the strengths and limitations of Relative Judgment Theory as an explanation for decision-making errors, drawing from psychological research and evidence. The evaluation will reference an on-campus mock eyewitness interview scenario, where the class was divided into two groups: investigators and eyewitnesses, and further segmented into four pairs, each comprising one investigator and one eyewitness. The eyewitness group viewed a video depicting a scene involving a potential suspect while the investigators waited outside the room. Following the video presentation, the investigators re-entered the room and received specific instructions from the lecturer to avoid asking leading questions or prompting the eyewitness for further details or clarification. Each eyewitness provided their account, which was then compiled to examine the variations in their observations </w:t>
      </w:r>
      <w:r w:rsidRPr="002728A1">
        <w:rPr>
          <w:rFonts w:cs="Times New Roman"/>
          <w:sz w:val="24"/>
          <w:szCs w:val="24"/>
        </w:rPr>
        <w:lastRenderedPageBreak/>
        <w:t>regarding the scene and the suspect's details. In the subsequent week's session, a mock police lineup was presented to the class, and the eyewitnesses were asked to identify the suspect. All but one individual correctly identified the suspect. The investigators were also asked to select the suspect based on the eyewitness accounts provided to them.</w:t>
      </w:r>
    </w:p>
    <w:p w14:paraId="37F4C264" w14:textId="7108267D"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The eyewitnesses all viewed the same video, yet their accounts of the scene and descriptions of the suspect differed significantly. While most of them accurately described the room and its contents, their depictions of the suspect's facial features, hair, and clothing colours varied. Some described the suspect’s facial features as having a sharp jaw and being clean-shaven, while others provided a different account of key details, such as the colour of the suspect’s clothing, for example, whether the t-shirt was grey or blue, or whether the jeans were light or dark. These distinctions underscore a crucial aspect of eyewitness memory: individuals can witness the same event yet recall it in notably different ways. </w:t>
      </w:r>
      <w:r w:rsidR="001F1D1C">
        <w:rPr>
          <w:rFonts w:cs="Times New Roman"/>
          <w:sz w:val="24"/>
          <w:szCs w:val="24"/>
        </w:rPr>
        <w:t>Reconstructive Memory Theory, introduced by Bartlett in 1932, posits that memory functions not as a mere static recording of events but as an active, dynamic process of reconstruction. This theory highlights the fluid nature of memory, where individuals reconstruct their recollections based on various influences, rather than just recalling them verbatim.</w:t>
      </w:r>
      <w:r w:rsidR="006429FE">
        <w:rPr>
          <w:rFonts w:cs="Times New Roman"/>
          <w:sz w:val="24"/>
          <w:szCs w:val="24"/>
        </w:rPr>
        <w:t xml:space="preserve"> </w:t>
      </w:r>
      <w:proofErr w:type="gramStart"/>
      <w:r w:rsidRPr="002728A1">
        <w:rPr>
          <w:rFonts w:cs="Times New Roman"/>
          <w:sz w:val="24"/>
          <w:szCs w:val="24"/>
        </w:rPr>
        <w:t>When</w:t>
      </w:r>
      <w:proofErr w:type="gramEnd"/>
      <w:r w:rsidRPr="002728A1">
        <w:rPr>
          <w:rFonts w:cs="Times New Roman"/>
          <w:sz w:val="24"/>
          <w:szCs w:val="24"/>
        </w:rPr>
        <w:t xml:space="preserve"> people encounter an event, they retain fragments of their observations, and during later recollection, they unconsciously fill in the missing blanks using their prior knowledge, expectations, or assumptions. In this scenario</w:t>
      </w:r>
      <w:r w:rsidR="00A04AB8">
        <w:rPr>
          <w:rFonts w:cs="Times New Roman"/>
          <w:sz w:val="24"/>
          <w:szCs w:val="24"/>
        </w:rPr>
        <w:t xml:space="preserve"> (Bartlett, 1932</w:t>
      </w:r>
      <w:r w:rsidR="00050B13">
        <w:rPr>
          <w:rFonts w:cs="Times New Roman"/>
          <w:sz w:val="24"/>
          <w:szCs w:val="24"/>
        </w:rPr>
        <w:t>)</w:t>
      </w:r>
      <w:r w:rsidRPr="002728A1">
        <w:rPr>
          <w:rFonts w:cs="Times New Roman"/>
          <w:sz w:val="24"/>
          <w:szCs w:val="24"/>
        </w:rPr>
        <w:t xml:space="preserve">, some students may have concentrated on the suspect’s clothing, while others focused more on facial features or actions. As a result of these differences in attention and perception, their reconstructions of memory also varied. Chrobak and Zaragoza (2013) found that minor pieces of wrong information or details </w:t>
      </w:r>
      <w:r w:rsidRPr="002728A1">
        <w:rPr>
          <w:rFonts w:cs="Times New Roman"/>
          <w:sz w:val="24"/>
          <w:szCs w:val="24"/>
        </w:rPr>
        <w:lastRenderedPageBreak/>
        <w:t xml:space="preserve">can lead to memories that are strong but also false. This is especially likely to occur when witnesses </w:t>
      </w:r>
      <w:proofErr w:type="gramStart"/>
      <w:r w:rsidRPr="002728A1">
        <w:rPr>
          <w:rFonts w:cs="Times New Roman"/>
          <w:sz w:val="24"/>
          <w:szCs w:val="24"/>
        </w:rPr>
        <w:t>have to</w:t>
      </w:r>
      <w:proofErr w:type="gramEnd"/>
      <w:r w:rsidRPr="002728A1">
        <w:rPr>
          <w:rFonts w:cs="Times New Roman"/>
          <w:sz w:val="24"/>
          <w:szCs w:val="24"/>
        </w:rPr>
        <w:t xml:space="preserve"> recount the event themselves. Similarly, Fitzgerald et al. (2018) showed that time influences how the witness remembers the details of faces and showed that eyewitness descriptions of faces, with differences in attention, can also play a role in the accuracy of the memory. According to Tversky and Kahneman (1974), people use mental shortcuts when they are unsure of the details and may attempt to guess the most likely probability or something with which they are familiar. In addition to reconstructive memory, decision-making bias also plays a role. If a witness is unsure of what they saw, they may make an educated guess based on what seems most likely or familiar. For example, if they are unsure of the colour, like grey or blue, they might choose a colour based on their assumption of what a suspect might wear. This form of bias operates unconsciously, reflecting the brain's instinctive approach to making decisions with insufficient information. It illustrates how our mental processes can simplify complexities, often leading us to automatic assumptions rather than deliberate conclusions</w:t>
      </w:r>
      <w:r w:rsidR="00022235">
        <w:rPr>
          <w:rFonts w:cs="Times New Roman"/>
          <w:sz w:val="24"/>
          <w:szCs w:val="24"/>
        </w:rPr>
        <w:t xml:space="preserve"> (Tversky </w:t>
      </w:r>
      <w:r w:rsidR="00423FFE">
        <w:rPr>
          <w:rFonts w:cs="Times New Roman"/>
          <w:sz w:val="24"/>
          <w:szCs w:val="24"/>
        </w:rPr>
        <w:t>&amp; Kahneman,1974)</w:t>
      </w:r>
      <w:r w:rsidRPr="002728A1">
        <w:rPr>
          <w:rFonts w:cs="Times New Roman"/>
          <w:sz w:val="24"/>
          <w:szCs w:val="24"/>
        </w:rPr>
        <w:t>.</w:t>
      </w:r>
    </w:p>
    <w:p w14:paraId="43D23F15" w14:textId="5AB6913A" w:rsidR="00545A09" w:rsidRPr="002728A1" w:rsidRDefault="00545A09" w:rsidP="00545A09">
      <w:pPr>
        <w:spacing w:line="480" w:lineRule="auto"/>
        <w:ind w:firstLine="720"/>
        <w:rPr>
          <w:rFonts w:cs="Times New Roman"/>
          <w:sz w:val="24"/>
          <w:szCs w:val="24"/>
        </w:rPr>
      </w:pPr>
      <w:r w:rsidRPr="002728A1">
        <w:rPr>
          <w:rFonts w:cs="Times New Roman"/>
          <w:sz w:val="24"/>
          <w:szCs w:val="24"/>
        </w:rPr>
        <w:t>The inconsistency in memory plays a significant role during the lineup process, according to the relative judgment theory (Wells, 1984) when a person’s memory is not clear they are more likely to compare the individuals in the lineup to each other and then choose the one that matches the one they remember even if the actual suspect is not in the lineup. Wells describes this as a relative judgment, which can lead to incorrect identification. In the classroom scenario, one eyewitness misidentified the suspect. This may have occurred because their original memory was already biased or incomplete, causing them to rely on visual similarity instead of confidence in their ability to remember exactly, described as absolute judgment.</w:t>
      </w:r>
    </w:p>
    <w:p w14:paraId="73CAF0C7"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lastRenderedPageBreak/>
        <w:t>Recent research conducted by Wixted and Wells (2017) indicates that eyewitnesses tend to make relative judgments when their memory strength is weak, and that confidence in these fragile memories does not reliably predict accuracy. Their findings underscore the notion that when memories are vague or reconstructed, witnesses often depend more on visual comparisons rather than on actual recall.</w:t>
      </w:r>
    </w:p>
    <w:p w14:paraId="4B83EE90" w14:textId="00F13A21"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During the on-campus session, the four eyewitnesses provided their accounts sequentially, while the remaining participants listened as </w:t>
      </w:r>
      <w:proofErr w:type="gramStart"/>
      <w:r w:rsidRPr="002728A1">
        <w:rPr>
          <w:rFonts w:cs="Times New Roman"/>
          <w:sz w:val="24"/>
          <w:szCs w:val="24"/>
        </w:rPr>
        <w:t>each individual</w:t>
      </w:r>
      <w:proofErr w:type="gramEnd"/>
      <w:r w:rsidRPr="002728A1">
        <w:rPr>
          <w:rFonts w:cs="Times New Roman"/>
          <w:sz w:val="24"/>
          <w:szCs w:val="24"/>
        </w:rPr>
        <w:t xml:space="preserve"> described what they had observed. This approach inadvertently created an opportunity for memory conformity</w:t>
      </w:r>
      <w:r w:rsidR="00FE4C73">
        <w:rPr>
          <w:rFonts w:cs="Times New Roman"/>
          <w:sz w:val="24"/>
          <w:szCs w:val="24"/>
        </w:rPr>
        <w:t xml:space="preserve"> </w:t>
      </w:r>
      <w:r w:rsidR="00FE4C73" w:rsidRPr="00FE4C73">
        <w:rPr>
          <w:rFonts w:cs="Times New Roman"/>
          <w:sz w:val="24"/>
          <w:szCs w:val="24"/>
        </w:rPr>
        <w:t>(Gabbert et al., 2003)</w:t>
      </w:r>
      <w:r w:rsidRPr="002728A1">
        <w:rPr>
          <w:rFonts w:cs="Times New Roman"/>
          <w:sz w:val="24"/>
          <w:szCs w:val="24"/>
        </w:rPr>
        <w:t>, whereby subsequent eyewitnesses could be influenced by the statements of those who went first. For instance, if the initial eyewitness claimed that the suspect was wearing a grey t-shirt and had short dark hair, the following eyewitnesses might adopt those details, even if they were uncertain or had witnessed something different. This form of memory influence is often subtle and typically unconscious, yet it can significantly impact the accuracy of later testimonies (Gabbert et al., 2003). The authors' study found that 71% of the participants included false details when discussing the events with other witnesses due to the accounts of other witnesses.</w:t>
      </w:r>
    </w:p>
    <w:p w14:paraId="1F63F649"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Hope et al. (2007) found that the likelihood of memory conformity is high when witnesses trust their co-witnesses or when the co-witnesses appear confident in their account of events. Skagerberg and Wright (2008) found that individuals not only incorporate details from others' accounts into their memories but may also create blended memories, combinations of their recollections and information obtained from </w:t>
      </w:r>
      <w:r w:rsidRPr="002728A1">
        <w:rPr>
          <w:rFonts w:cs="Times New Roman"/>
          <w:sz w:val="24"/>
          <w:szCs w:val="24"/>
        </w:rPr>
        <w:lastRenderedPageBreak/>
        <w:t>others. This blending can further distort the original memories, resulting in accounts that are more confident yet less accurate.</w:t>
      </w:r>
    </w:p>
    <w:p w14:paraId="58EC1E8B"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Wright et al. (2000) discovered that some individuals resisted external influence, especially if they had confidence in their memories or possessed a personality that prioritised independence. This finding suggests that individual differences have a significant impact on the occurrence of memory conformity. In a mock set-up, this explains why not all eyewitnesses reported identical details or made the same identifications during a subsequent line-up.</w:t>
      </w:r>
    </w:p>
    <w:p w14:paraId="755C9408"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Memory conformity (Gabbert et al., 2003) primarily influences the recall process prior to a lineup, but it also carries significant implications for decision-making during eyewitness identification. When a witness incorporates another person's description of a suspect into their memory, this can fundamentally alter their mental image of the suspect. As a result, when they later view the line-up, they may be more inclined to engage in relative judgment, selecting the individual who most closely resembles that modified image rather than someone they genuinely recognise from their memory (Wells, 1984). Such memory distortion, coupled with decision-making biases, underscores the complex interplay between witness accounts and identification outcomes, potentially leading to misidentifications that can have significant legal consequences. </w:t>
      </w:r>
    </w:p>
    <w:p w14:paraId="7BA7F96E"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 xml:space="preserve">Relative Judgment Theory has had a significant impact on real-world policing procedures, particularly in the handling of eyewitness identification. Research has shown that eyewitnesses often feel pressured to choose someone from a line-up, even when they are unsure. When memory is unclear, individuals tend to compare the </w:t>
      </w:r>
      <w:r w:rsidRPr="002728A1">
        <w:rPr>
          <w:rFonts w:cs="Times New Roman"/>
          <w:sz w:val="24"/>
          <w:szCs w:val="24"/>
        </w:rPr>
        <w:lastRenderedPageBreak/>
        <w:t>presented individuals and select the one who most closely resembles their mental image of the perpetrator (Wells, 1984). This bias increases the risk of misidentification, particularly when the actual suspect is not included in the lineup.</w:t>
      </w:r>
    </w:p>
    <w:p w14:paraId="7618DAFB" w14:textId="1C660374" w:rsidR="00545A09" w:rsidRPr="002728A1" w:rsidRDefault="00545A09" w:rsidP="00545A09">
      <w:pPr>
        <w:spacing w:line="480" w:lineRule="auto"/>
        <w:ind w:firstLine="720"/>
        <w:rPr>
          <w:rFonts w:cs="Times New Roman"/>
          <w:sz w:val="24"/>
          <w:szCs w:val="24"/>
        </w:rPr>
      </w:pPr>
      <w:r w:rsidRPr="002728A1">
        <w:rPr>
          <w:rFonts w:cs="Times New Roman"/>
          <w:sz w:val="24"/>
          <w:szCs w:val="24"/>
        </w:rPr>
        <w:t>In the on-campus activity, this process was clearly illustrated. An eyewitness misidentified the suspect, likely due to a combination of memory decay over time and a reliance on visual similarity rather than confident recognition. This aligns with the findings of Wells and Olson (2003), who posited that as time elapses, eyewitnesses become increasingly susceptible to decision-making bias and transition from absolute to relative judgment. As a result of this research, significant changes have been implemented in law enforcement procedures both in the UK and internationally. For instance, sequential line-ups where witnesses view one individual at a time are now commonly employed to mitigate the tendency for relative judgments (</w:t>
      </w:r>
      <w:proofErr w:type="spellStart"/>
      <w:r w:rsidRPr="002728A1">
        <w:rPr>
          <w:rFonts w:cs="Times New Roman"/>
          <w:sz w:val="24"/>
          <w:szCs w:val="24"/>
        </w:rPr>
        <w:t>Steblay</w:t>
      </w:r>
      <w:proofErr w:type="spellEnd"/>
      <w:r w:rsidRPr="002728A1">
        <w:rPr>
          <w:rFonts w:cs="Times New Roman"/>
          <w:sz w:val="24"/>
          <w:szCs w:val="24"/>
        </w:rPr>
        <w:t xml:space="preserve"> et al., 2001). Furthermore, police are trained to provide neutral instructions, </w:t>
      </w:r>
      <w:r w:rsidR="005E3A25">
        <w:rPr>
          <w:rFonts w:cs="Times New Roman"/>
          <w:sz w:val="24"/>
          <w:szCs w:val="24"/>
        </w:rPr>
        <w:t>such as</w:t>
      </w:r>
      <w:r w:rsidRPr="002728A1">
        <w:rPr>
          <w:rFonts w:cs="Times New Roman"/>
          <w:sz w:val="24"/>
          <w:szCs w:val="24"/>
        </w:rPr>
        <w:t xml:space="preserve"> informing </w:t>
      </w:r>
      <w:r w:rsidR="005E3A25">
        <w:rPr>
          <w:rFonts w:cs="Times New Roman"/>
          <w:sz w:val="24"/>
          <w:szCs w:val="24"/>
        </w:rPr>
        <w:t xml:space="preserve">the </w:t>
      </w:r>
      <w:r w:rsidRPr="002728A1">
        <w:rPr>
          <w:rFonts w:cs="Times New Roman"/>
          <w:sz w:val="24"/>
          <w:szCs w:val="24"/>
        </w:rPr>
        <w:t>witnesses that the lineup</w:t>
      </w:r>
      <w:r w:rsidR="005E3A25">
        <w:rPr>
          <w:rFonts w:cs="Times New Roman"/>
          <w:sz w:val="24"/>
          <w:szCs w:val="24"/>
        </w:rPr>
        <w:t xml:space="preserve"> may or may not include the perpetrator</w:t>
      </w:r>
      <w:r w:rsidR="0076651C">
        <w:rPr>
          <w:rFonts w:cs="Times New Roman"/>
          <w:sz w:val="24"/>
          <w:szCs w:val="24"/>
        </w:rPr>
        <w:t xml:space="preserve">, to reduce decision-making bias (Malpass &amp; Devine, </w:t>
      </w:r>
      <w:r w:rsidR="001C05C8">
        <w:rPr>
          <w:rFonts w:cs="Times New Roman"/>
          <w:sz w:val="24"/>
          <w:szCs w:val="24"/>
        </w:rPr>
        <w:t>1981)</w:t>
      </w:r>
      <w:r w:rsidRPr="002728A1">
        <w:rPr>
          <w:rFonts w:cs="Times New Roman"/>
          <w:sz w:val="24"/>
          <w:szCs w:val="24"/>
        </w:rPr>
        <w:t>. A study by Malpass and Devine (1981) found that eyewitness identifications rise significantly when lineup instructions imply the suspect's presence. In the study, half of the eyewitnesses received biased instructions suggesting the suspect was present, while the other half received unbiased instructions, allowing them to indicate if the suspect was absent. When the perpetrator was in the lineup, 100% of those given biased instructions identified someone, resulting in a 75% hit rate, which included both correct identifications and false alarms and in the unbiased condition, the hit rate was 83%. This approach lessens the pressure to make a choice and enhances the accuracy of identifications.</w:t>
      </w:r>
    </w:p>
    <w:p w14:paraId="3295D049"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lastRenderedPageBreak/>
        <w:t>Guest et al. (2016) identified several limitations of relative judgment theory in explaining absolute identification performance. Their study found that participants struggled with the relative judgment task, suggesting that this process is more complex and less reliable than previously assumed. These findings are relevant to eyewitness identification, as they emphasise the importance of memory processes in recognising individuals. Guest et al. (2016) suggest that absolute identification relies more on exemplar comparison than on relative judgment, meaning that witnesses may recall stored representations of the studied image rather than comparing lineup suspects to each other in real-time.</w:t>
      </w:r>
    </w:p>
    <w:p w14:paraId="38645929" w14:textId="77777777" w:rsidR="00545A09" w:rsidRPr="002728A1" w:rsidRDefault="00545A09" w:rsidP="00545A09">
      <w:pPr>
        <w:spacing w:line="480" w:lineRule="auto"/>
        <w:ind w:firstLine="720"/>
        <w:rPr>
          <w:rFonts w:cs="Times New Roman"/>
          <w:sz w:val="24"/>
          <w:szCs w:val="24"/>
        </w:rPr>
      </w:pPr>
      <w:r w:rsidRPr="002728A1">
        <w:rPr>
          <w:rFonts w:cs="Times New Roman"/>
          <w:sz w:val="24"/>
          <w:szCs w:val="24"/>
        </w:rPr>
        <w:t>Meisters et al. (2018) challenge the relative judgment theory by comparing simultaneous and sequential lineups through ROC curve analysis, challenging the prevailing notion that sequential lineups are inherently superior. It finds that sequential lineups are susceptible to position effects, where the placement of the suspect may influence decision-making, a flaw not present in simultaneous lineups. Additionally, respondents exhibit shifts in their decision criteria, adopting a stricter approach for options presented earlier and a more lenient one for those presented later, which may impact the accuracy of identification. These findings suggest that lineup procedures should take these cognitive biases into account to enhance the reliability of eyewitness identifications, calling into question the exclusive reliance on relative judgment theory.</w:t>
      </w:r>
    </w:p>
    <w:p w14:paraId="7CBD4F29" w14:textId="1022E86B" w:rsidR="00545A09" w:rsidRPr="002728A1" w:rsidRDefault="00545A09" w:rsidP="00545A09">
      <w:pPr>
        <w:spacing w:line="480" w:lineRule="auto"/>
        <w:ind w:firstLine="720"/>
        <w:rPr>
          <w:rFonts w:cs="Times New Roman"/>
          <w:sz w:val="24"/>
          <w:szCs w:val="24"/>
        </w:rPr>
      </w:pPr>
      <w:r w:rsidRPr="002728A1">
        <w:rPr>
          <w:rFonts w:cs="Times New Roman"/>
          <w:sz w:val="24"/>
          <w:szCs w:val="24"/>
        </w:rPr>
        <w:t>Relative Judgment Theory has enhanced our understanding of the mechanisms behind eyewitness errors. Its implementation has resulted in tangible improvements in investigative practices, decreasing the likelihood of innocent individuals being wrongfully accused</w:t>
      </w:r>
      <w:r w:rsidR="00884696">
        <w:rPr>
          <w:rFonts w:cs="Times New Roman"/>
          <w:sz w:val="24"/>
          <w:szCs w:val="24"/>
        </w:rPr>
        <w:t xml:space="preserve"> (Wells, 1984)</w:t>
      </w:r>
      <w:r w:rsidRPr="002728A1">
        <w:rPr>
          <w:rFonts w:cs="Times New Roman"/>
          <w:sz w:val="24"/>
          <w:szCs w:val="24"/>
        </w:rPr>
        <w:t xml:space="preserve">. Nonetheless, as illustrated in the on-campus </w:t>
      </w:r>
      <w:r w:rsidRPr="002728A1">
        <w:rPr>
          <w:rFonts w:cs="Times New Roman"/>
          <w:sz w:val="24"/>
          <w:szCs w:val="24"/>
        </w:rPr>
        <w:lastRenderedPageBreak/>
        <w:t xml:space="preserve">example, errors can still arise even with neutral procedures in place. This underscores the importance of recognising that, while procedural changes are beneficial, it is also crucial to comprehend and address psychological biases through proper training and increased awareness. Empirical research, notably the studies conducted by Wells (1984) and </w:t>
      </w:r>
      <w:proofErr w:type="spellStart"/>
      <w:r w:rsidRPr="002728A1">
        <w:rPr>
          <w:rFonts w:cs="Times New Roman"/>
          <w:sz w:val="24"/>
          <w:szCs w:val="24"/>
        </w:rPr>
        <w:t>Steblay</w:t>
      </w:r>
      <w:proofErr w:type="spellEnd"/>
      <w:r w:rsidRPr="002728A1">
        <w:rPr>
          <w:rFonts w:cs="Times New Roman"/>
          <w:sz w:val="24"/>
          <w:szCs w:val="24"/>
        </w:rPr>
        <w:t xml:space="preserve"> et al. (2001), provides strong support for the Relative Judgment theory and has led to significant changes in policing practices. These advancements include the implementation of sequential line-ups, the provision of neutral instructions, and the adoption of systems like Video Identification Parade Electronic Recording VIPER in the UK, all of which aim to alleviate the pressure to </w:t>
      </w:r>
      <w:proofErr w:type="gramStart"/>
      <w:r w:rsidRPr="002728A1">
        <w:rPr>
          <w:rFonts w:cs="Times New Roman"/>
          <w:sz w:val="24"/>
          <w:szCs w:val="24"/>
        </w:rPr>
        <w:t>make a selection</w:t>
      </w:r>
      <w:proofErr w:type="gramEnd"/>
      <w:r w:rsidRPr="002728A1">
        <w:rPr>
          <w:rFonts w:cs="Times New Roman"/>
          <w:sz w:val="24"/>
          <w:szCs w:val="24"/>
        </w:rPr>
        <w:t xml:space="preserve"> and promote more accurate, memory-based decisions. Nonetheless, decision-making bias continues to exert a substantial influence, particularly in situations where memory is compromised or contaminated by external information (Memon et al., 2011).</w:t>
      </w:r>
    </w:p>
    <w:p w14:paraId="0592CCDD" w14:textId="4006D70F" w:rsidR="00545A09" w:rsidRPr="002728A1" w:rsidRDefault="00545A09" w:rsidP="00545A09">
      <w:pPr>
        <w:spacing w:line="480" w:lineRule="auto"/>
        <w:ind w:firstLine="720"/>
        <w:rPr>
          <w:rFonts w:cs="Times New Roman"/>
          <w:sz w:val="24"/>
          <w:szCs w:val="24"/>
        </w:rPr>
      </w:pPr>
      <w:r w:rsidRPr="002728A1">
        <w:rPr>
          <w:rFonts w:cs="Times New Roman"/>
          <w:sz w:val="24"/>
          <w:szCs w:val="24"/>
        </w:rPr>
        <w:t>This was clearly illustrated in the classroom scenario, where eyewitnesses provided differing accounts of the same event, with one individual misidentifying the suspect during the line-up. These discrepancies can be attributed to factors such as reconstructive memory, decision-making bias, and the possibility of memory conformity, particularly after witnesses were exposed to one another's accounts. The misidentification observed in the exercise closely resembles real-world situations, highlighting how even well-intentioned witnesses can make errors under pressure.</w:t>
      </w:r>
    </w:p>
    <w:p w14:paraId="52B059CE" w14:textId="77777777" w:rsidR="00A42B57" w:rsidRDefault="00545A09" w:rsidP="00545A09">
      <w:pPr>
        <w:spacing w:line="480" w:lineRule="auto"/>
        <w:ind w:firstLine="720"/>
        <w:rPr>
          <w:rFonts w:cs="Times New Roman"/>
          <w:sz w:val="24"/>
          <w:szCs w:val="24"/>
        </w:rPr>
        <w:sectPr w:rsidR="00A42B57">
          <w:pgSz w:w="11906" w:h="16838"/>
          <w:pgMar w:top="1440" w:right="1440" w:bottom="1440" w:left="1440" w:header="708" w:footer="708" w:gutter="0"/>
          <w:cols w:space="708"/>
          <w:docGrid w:linePitch="360"/>
        </w:sectPr>
      </w:pPr>
      <w:r w:rsidRPr="002728A1">
        <w:rPr>
          <w:rFonts w:cs="Times New Roman"/>
          <w:sz w:val="24"/>
          <w:szCs w:val="24"/>
        </w:rPr>
        <w:t xml:space="preserve">In conclusion, while Relative Judgement Theory may not account for every aspect of eyewitness error, it offers an essential framework for understanding the psychological processes that influence decision-making in line-ups. Leveraging this </w:t>
      </w:r>
      <w:r w:rsidRPr="002728A1">
        <w:rPr>
          <w:rFonts w:cs="Times New Roman"/>
          <w:sz w:val="24"/>
          <w:szCs w:val="24"/>
        </w:rPr>
        <w:lastRenderedPageBreak/>
        <w:t>knowledge in policing can promote fairer and more accurate outcomes, thereby minimising the risk of wrongfully convicting innocent individuals.</w:t>
      </w:r>
    </w:p>
    <w:p w14:paraId="6BC9DC3A" w14:textId="6B7F4EBC" w:rsidR="00545A09" w:rsidRDefault="00A42B57" w:rsidP="00A42B57">
      <w:pPr>
        <w:spacing w:line="480" w:lineRule="auto"/>
        <w:ind w:firstLine="720"/>
        <w:jc w:val="center"/>
        <w:rPr>
          <w:rFonts w:cs="Times New Roman"/>
          <w:b/>
          <w:bCs/>
          <w:sz w:val="24"/>
          <w:szCs w:val="24"/>
        </w:rPr>
      </w:pPr>
      <w:r w:rsidRPr="00A42B57">
        <w:rPr>
          <w:rFonts w:cs="Times New Roman"/>
          <w:b/>
          <w:bCs/>
          <w:sz w:val="24"/>
          <w:szCs w:val="24"/>
        </w:rPr>
        <w:lastRenderedPageBreak/>
        <w:t>References</w:t>
      </w:r>
    </w:p>
    <w:p w14:paraId="6350869D"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Fitzgerald, R. J., Price, H. L., &amp; Valentine, T. (2018). Eyewitness identification: Live, photo, and video lineups. </w:t>
      </w:r>
      <w:r>
        <w:rPr>
          <w:rFonts w:ascii="Calibri" w:hAnsi="Calibri" w:cs="Calibri"/>
          <w:i/>
          <w:iCs/>
        </w:rPr>
        <w:t>Psychology Public Policy and Law</w:t>
      </w:r>
      <w:r>
        <w:rPr>
          <w:rFonts w:ascii="Calibri" w:hAnsi="Calibri" w:cs="Calibri"/>
        </w:rPr>
        <w:t xml:space="preserve">, </w:t>
      </w:r>
      <w:r>
        <w:rPr>
          <w:rFonts w:ascii="Calibri" w:hAnsi="Calibri" w:cs="Calibri"/>
          <w:i/>
          <w:iCs/>
        </w:rPr>
        <w:t>24</w:t>
      </w:r>
      <w:r>
        <w:rPr>
          <w:rFonts w:ascii="Calibri" w:hAnsi="Calibri" w:cs="Calibri"/>
        </w:rPr>
        <w:t xml:space="preserve">(3), 307–325. </w:t>
      </w:r>
      <w:r>
        <w:rPr>
          <w:rStyle w:val="url"/>
          <w:rFonts w:ascii="Calibri" w:eastAsiaTheme="majorEastAsia" w:hAnsi="Calibri" w:cs="Calibri"/>
        </w:rPr>
        <w:t>https://doi.org/10.1037/law0000164</w:t>
      </w:r>
    </w:p>
    <w:p w14:paraId="2349255B"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Gabbert, F., Memon, A., &amp; Allan, K. (2003). Memory conformity: can eyewitnesses influence each other’s memories for an event? </w:t>
      </w:r>
      <w:r>
        <w:rPr>
          <w:rFonts w:ascii="Calibri" w:hAnsi="Calibri" w:cs="Calibri"/>
          <w:i/>
          <w:iCs/>
        </w:rPr>
        <w:t>Applied Cognitive Psychology</w:t>
      </w:r>
      <w:r>
        <w:rPr>
          <w:rFonts w:ascii="Calibri" w:hAnsi="Calibri" w:cs="Calibri"/>
        </w:rPr>
        <w:t xml:space="preserve">, </w:t>
      </w:r>
      <w:r>
        <w:rPr>
          <w:rFonts w:ascii="Calibri" w:hAnsi="Calibri" w:cs="Calibri"/>
          <w:i/>
          <w:iCs/>
        </w:rPr>
        <w:t>17</w:t>
      </w:r>
      <w:r>
        <w:rPr>
          <w:rFonts w:ascii="Calibri" w:hAnsi="Calibri" w:cs="Calibri"/>
        </w:rPr>
        <w:t xml:space="preserve">(5), 533–543. </w:t>
      </w:r>
      <w:r>
        <w:rPr>
          <w:rStyle w:val="url"/>
          <w:rFonts w:ascii="Calibri" w:eastAsiaTheme="majorEastAsia" w:hAnsi="Calibri" w:cs="Calibri"/>
        </w:rPr>
        <w:t>https://doi.org/10.1002/acp.885</w:t>
      </w:r>
    </w:p>
    <w:p w14:paraId="482AD240"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Guest, D., Adelman, J. S., &amp; Kent, C. (2015). Relative judgement is relatively difficult: Evidence against the role of relative judgement in absolute identification. </w:t>
      </w:r>
      <w:r>
        <w:rPr>
          <w:rFonts w:ascii="Calibri" w:hAnsi="Calibri" w:cs="Calibri"/>
          <w:i/>
          <w:iCs/>
        </w:rPr>
        <w:t>Psychonomic Bulletin &amp; Review</w:t>
      </w:r>
      <w:r>
        <w:rPr>
          <w:rFonts w:ascii="Calibri" w:hAnsi="Calibri" w:cs="Calibri"/>
        </w:rPr>
        <w:t xml:space="preserve">, </w:t>
      </w:r>
      <w:r>
        <w:rPr>
          <w:rFonts w:ascii="Calibri" w:hAnsi="Calibri" w:cs="Calibri"/>
          <w:i/>
          <w:iCs/>
        </w:rPr>
        <w:t>23</w:t>
      </w:r>
      <w:r>
        <w:rPr>
          <w:rFonts w:ascii="Calibri" w:hAnsi="Calibri" w:cs="Calibri"/>
        </w:rPr>
        <w:t xml:space="preserve">(3), 922–931. </w:t>
      </w:r>
      <w:r>
        <w:rPr>
          <w:rStyle w:val="url"/>
          <w:rFonts w:ascii="Calibri" w:eastAsiaTheme="majorEastAsia" w:hAnsi="Calibri" w:cs="Calibri"/>
        </w:rPr>
        <w:t>https://doi.org/10.3758/s13423-015-0940-2</w:t>
      </w:r>
    </w:p>
    <w:p w14:paraId="2DD0B1F3"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Hartmann, W. E., &amp; Gone, J. P. (2012). Incorporating traditional healing into an urban American Indian health organization: A case study of community member perspectives. </w:t>
      </w:r>
      <w:r>
        <w:rPr>
          <w:rFonts w:ascii="Calibri" w:hAnsi="Calibri" w:cs="Calibri"/>
          <w:i/>
          <w:iCs/>
        </w:rPr>
        <w:t xml:space="preserve">Journal of </w:t>
      </w:r>
      <w:proofErr w:type="spellStart"/>
      <w:r>
        <w:rPr>
          <w:rFonts w:ascii="Calibri" w:hAnsi="Calibri" w:cs="Calibri"/>
          <w:i/>
          <w:iCs/>
        </w:rPr>
        <w:t>Counseling</w:t>
      </w:r>
      <w:proofErr w:type="spellEnd"/>
      <w:r>
        <w:rPr>
          <w:rFonts w:ascii="Calibri" w:hAnsi="Calibri" w:cs="Calibri"/>
          <w:i/>
          <w:iCs/>
        </w:rPr>
        <w:t xml:space="preserve"> Psychology</w:t>
      </w:r>
      <w:r>
        <w:rPr>
          <w:rFonts w:ascii="Calibri" w:hAnsi="Calibri" w:cs="Calibri"/>
        </w:rPr>
        <w:t xml:space="preserve">, </w:t>
      </w:r>
      <w:r>
        <w:rPr>
          <w:rFonts w:ascii="Calibri" w:hAnsi="Calibri" w:cs="Calibri"/>
          <w:i/>
          <w:iCs/>
        </w:rPr>
        <w:t>59</w:t>
      </w:r>
      <w:r>
        <w:rPr>
          <w:rFonts w:ascii="Calibri" w:hAnsi="Calibri" w:cs="Calibri"/>
        </w:rPr>
        <w:t xml:space="preserve">(4), 542–554. </w:t>
      </w:r>
      <w:r>
        <w:rPr>
          <w:rStyle w:val="url"/>
          <w:rFonts w:ascii="Calibri" w:eastAsiaTheme="majorEastAsia" w:hAnsi="Calibri" w:cs="Calibri"/>
        </w:rPr>
        <w:t>https://doi.org/10.1037/a0029067</w:t>
      </w:r>
    </w:p>
    <w:p w14:paraId="3A4782CE"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Hope, L., Ost, J., Gabbert, F., Healey, S., &amp; Lenton, E. (2007). “With a little help from my friends. . .”: The role of co-witness relationship in susceptibility to misinformation. </w:t>
      </w:r>
      <w:r>
        <w:rPr>
          <w:rFonts w:ascii="Calibri" w:hAnsi="Calibri" w:cs="Calibri"/>
          <w:i/>
          <w:iCs/>
        </w:rPr>
        <w:t xml:space="preserve">Acta </w:t>
      </w:r>
      <w:proofErr w:type="spellStart"/>
      <w:r>
        <w:rPr>
          <w:rFonts w:ascii="Calibri" w:hAnsi="Calibri" w:cs="Calibri"/>
          <w:i/>
          <w:iCs/>
        </w:rPr>
        <w:t>Psychologica</w:t>
      </w:r>
      <w:proofErr w:type="spellEnd"/>
      <w:r>
        <w:rPr>
          <w:rFonts w:ascii="Calibri" w:hAnsi="Calibri" w:cs="Calibri"/>
        </w:rPr>
        <w:t xml:space="preserve">, </w:t>
      </w:r>
      <w:r>
        <w:rPr>
          <w:rFonts w:ascii="Calibri" w:hAnsi="Calibri" w:cs="Calibri"/>
          <w:i/>
          <w:iCs/>
        </w:rPr>
        <w:t>127</w:t>
      </w:r>
      <w:r>
        <w:rPr>
          <w:rFonts w:ascii="Calibri" w:hAnsi="Calibri" w:cs="Calibri"/>
        </w:rPr>
        <w:t xml:space="preserve">(2), 476–484. </w:t>
      </w:r>
      <w:r>
        <w:rPr>
          <w:rStyle w:val="url"/>
          <w:rFonts w:ascii="Calibri" w:eastAsiaTheme="majorEastAsia" w:hAnsi="Calibri" w:cs="Calibri"/>
        </w:rPr>
        <w:t>https://doi.org/10.1016/j.actpsy.2007.08.010</w:t>
      </w:r>
    </w:p>
    <w:p w14:paraId="6471F645"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Loftus, E. F. (2019). Eyewitness testimony. </w:t>
      </w:r>
      <w:r>
        <w:rPr>
          <w:rFonts w:ascii="Calibri" w:hAnsi="Calibri" w:cs="Calibri"/>
          <w:i/>
          <w:iCs/>
        </w:rPr>
        <w:t>Applied Cognitive Psychology</w:t>
      </w:r>
      <w:r>
        <w:rPr>
          <w:rFonts w:ascii="Calibri" w:hAnsi="Calibri" w:cs="Calibri"/>
        </w:rPr>
        <w:t xml:space="preserve">, </w:t>
      </w:r>
      <w:r>
        <w:rPr>
          <w:rFonts w:ascii="Calibri" w:hAnsi="Calibri" w:cs="Calibri"/>
          <w:i/>
          <w:iCs/>
        </w:rPr>
        <w:t>33</w:t>
      </w:r>
      <w:r>
        <w:rPr>
          <w:rFonts w:ascii="Calibri" w:hAnsi="Calibri" w:cs="Calibri"/>
        </w:rPr>
        <w:t xml:space="preserve">(4), 498–503. </w:t>
      </w:r>
      <w:r>
        <w:rPr>
          <w:rStyle w:val="url"/>
          <w:rFonts w:ascii="Calibri" w:eastAsiaTheme="majorEastAsia" w:hAnsi="Calibri" w:cs="Calibri"/>
        </w:rPr>
        <w:t>https://doi.org/10.1002/acp.3542</w:t>
      </w:r>
    </w:p>
    <w:p w14:paraId="0301A251"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Malpass, R. S., &amp; Devine, P. G. (1981). Eyewitness identification: Lineup instructions and the absence of the offender. </w:t>
      </w:r>
      <w:r>
        <w:rPr>
          <w:rFonts w:ascii="Calibri" w:hAnsi="Calibri" w:cs="Calibri"/>
          <w:i/>
          <w:iCs/>
        </w:rPr>
        <w:t>Journal of Applied Psychology</w:t>
      </w:r>
      <w:r>
        <w:rPr>
          <w:rFonts w:ascii="Calibri" w:hAnsi="Calibri" w:cs="Calibri"/>
        </w:rPr>
        <w:t xml:space="preserve">, </w:t>
      </w:r>
      <w:r>
        <w:rPr>
          <w:rFonts w:ascii="Calibri" w:hAnsi="Calibri" w:cs="Calibri"/>
          <w:i/>
          <w:iCs/>
        </w:rPr>
        <w:t>66</w:t>
      </w:r>
      <w:r>
        <w:rPr>
          <w:rFonts w:ascii="Calibri" w:hAnsi="Calibri" w:cs="Calibri"/>
        </w:rPr>
        <w:t xml:space="preserve">(4), 482–489. </w:t>
      </w:r>
      <w:r>
        <w:rPr>
          <w:rStyle w:val="url"/>
          <w:rFonts w:ascii="Calibri" w:eastAsiaTheme="majorEastAsia" w:hAnsi="Calibri" w:cs="Calibri"/>
        </w:rPr>
        <w:t>https://doi.org/10.1037/0021-9010.66.4.482</w:t>
      </w:r>
    </w:p>
    <w:p w14:paraId="70BCAA74"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lastRenderedPageBreak/>
        <w:t xml:space="preserve">Meisters, J., </w:t>
      </w:r>
      <w:proofErr w:type="spellStart"/>
      <w:r>
        <w:rPr>
          <w:rFonts w:ascii="Calibri" w:hAnsi="Calibri" w:cs="Calibri"/>
        </w:rPr>
        <w:t>Diedenhofen</w:t>
      </w:r>
      <w:proofErr w:type="spellEnd"/>
      <w:r>
        <w:rPr>
          <w:rFonts w:ascii="Calibri" w:hAnsi="Calibri" w:cs="Calibri"/>
        </w:rPr>
        <w:t xml:space="preserve">, B., &amp; </w:t>
      </w:r>
      <w:proofErr w:type="spellStart"/>
      <w:r>
        <w:rPr>
          <w:rFonts w:ascii="Calibri" w:hAnsi="Calibri" w:cs="Calibri"/>
        </w:rPr>
        <w:t>Musch</w:t>
      </w:r>
      <w:proofErr w:type="spellEnd"/>
      <w:r>
        <w:rPr>
          <w:rFonts w:ascii="Calibri" w:hAnsi="Calibri" w:cs="Calibri"/>
        </w:rPr>
        <w:t xml:space="preserve">, J. (2018). Eyewitness identification in simultaneous and sequential lineups: an investigation of position effects using receiver operating characteristics. </w:t>
      </w:r>
      <w:r>
        <w:rPr>
          <w:rFonts w:ascii="Calibri" w:hAnsi="Calibri" w:cs="Calibri"/>
          <w:i/>
          <w:iCs/>
        </w:rPr>
        <w:t>Memory</w:t>
      </w:r>
      <w:r>
        <w:rPr>
          <w:rFonts w:ascii="Calibri" w:hAnsi="Calibri" w:cs="Calibri"/>
        </w:rPr>
        <w:t xml:space="preserve">, </w:t>
      </w:r>
      <w:r>
        <w:rPr>
          <w:rFonts w:ascii="Calibri" w:hAnsi="Calibri" w:cs="Calibri"/>
          <w:i/>
          <w:iCs/>
        </w:rPr>
        <w:t>26</w:t>
      </w:r>
      <w:r>
        <w:rPr>
          <w:rFonts w:ascii="Calibri" w:hAnsi="Calibri" w:cs="Calibri"/>
        </w:rPr>
        <w:t xml:space="preserve">(9), 1297–1309. </w:t>
      </w:r>
      <w:r>
        <w:rPr>
          <w:rStyle w:val="url"/>
          <w:rFonts w:ascii="Calibri" w:eastAsiaTheme="majorEastAsia" w:hAnsi="Calibri" w:cs="Calibri"/>
        </w:rPr>
        <w:t>https://doi.org/10.1080/09658211.2018.1464581</w:t>
      </w:r>
    </w:p>
    <w:p w14:paraId="10E42AB8"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Memon, A., Havard, C., Clifford, B., Gabbert, F., &amp; Watt, M. (2011). A field evaluation of the VIPER system: a new technique for eliciting eyewitness identification evidence. </w:t>
      </w:r>
      <w:r>
        <w:rPr>
          <w:rFonts w:ascii="Calibri" w:hAnsi="Calibri" w:cs="Calibri"/>
          <w:i/>
          <w:iCs/>
        </w:rPr>
        <w:t>Psychology Crime and Law</w:t>
      </w:r>
      <w:r>
        <w:rPr>
          <w:rFonts w:ascii="Calibri" w:hAnsi="Calibri" w:cs="Calibri"/>
        </w:rPr>
        <w:t xml:space="preserve">, </w:t>
      </w:r>
      <w:r>
        <w:rPr>
          <w:rFonts w:ascii="Calibri" w:hAnsi="Calibri" w:cs="Calibri"/>
          <w:i/>
          <w:iCs/>
        </w:rPr>
        <w:t>17</w:t>
      </w:r>
      <w:r>
        <w:rPr>
          <w:rFonts w:ascii="Calibri" w:hAnsi="Calibri" w:cs="Calibri"/>
        </w:rPr>
        <w:t xml:space="preserve">(8), 711–729. </w:t>
      </w:r>
      <w:r>
        <w:rPr>
          <w:rStyle w:val="url"/>
          <w:rFonts w:ascii="Calibri" w:eastAsiaTheme="majorEastAsia" w:hAnsi="Calibri" w:cs="Calibri"/>
        </w:rPr>
        <w:t>https://doi.org/10.1080/10683160903524333</w:t>
      </w:r>
    </w:p>
    <w:p w14:paraId="1C4781BA"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Skagerberg, E. M., &amp; Wright, D. B. (2008). The prevalence of co-witnesses and co-witness discussions in real eyewitnesses. </w:t>
      </w:r>
      <w:r>
        <w:rPr>
          <w:rFonts w:ascii="Calibri" w:hAnsi="Calibri" w:cs="Calibri"/>
          <w:i/>
          <w:iCs/>
        </w:rPr>
        <w:t>Psychology Crime and Law</w:t>
      </w:r>
      <w:r>
        <w:rPr>
          <w:rFonts w:ascii="Calibri" w:hAnsi="Calibri" w:cs="Calibri"/>
        </w:rPr>
        <w:t xml:space="preserve">, </w:t>
      </w:r>
      <w:r>
        <w:rPr>
          <w:rFonts w:ascii="Calibri" w:hAnsi="Calibri" w:cs="Calibri"/>
          <w:i/>
          <w:iCs/>
        </w:rPr>
        <w:t>14</w:t>
      </w:r>
      <w:r>
        <w:rPr>
          <w:rFonts w:ascii="Calibri" w:hAnsi="Calibri" w:cs="Calibri"/>
        </w:rPr>
        <w:t xml:space="preserve">(6), 513–521. </w:t>
      </w:r>
      <w:r>
        <w:rPr>
          <w:rStyle w:val="url"/>
          <w:rFonts w:ascii="Calibri" w:eastAsiaTheme="majorEastAsia" w:hAnsi="Calibri" w:cs="Calibri"/>
        </w:rPr>
        <w:t>https://doi.org/10.1080/10683160801948980</w:t>
      </w:r>
    </w:p>
    <w:p w14:paraId="7E488ED7"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Tversky, A., &amp; Kahneman, D. (1974). Judgment under Uncertainty: Heuristics and Biases. </w:t>
      </w:r>
      <w:r>
        <w:rPr>
          <w:rFonts w:ascii="Calibri" w:hAnsi="Calibri" w:cs="Calibri"/>
          <w:i/>
          <w:iCs/>
        </w:rPr>
        <w:t>Science</w:t>
      </w:r>
      <w:r>
        <w:rPr>
          <w:rFonts w:ascii="Calibri" w:hAnsi="Calibri" w:cs="Calibri"/>
        </w:rPr>
        <w:t xml:space="preserve">, </w:t>
      </w:r>
      <w:r>
        <w:rPr>
          <w:rFonts w:ascii="Calibri" w:hAnsi="Calibri" w:cs="Calibri"/>
          <w:i/>
          <w:iCs/>
        </w:rPr>
        <w:t>185</w:t>
      </w:r>
      <w:r>
        <w:rPr>
          <w:rFonts w:ascii="Calibri" w:hAnsi="Calibri" w:cs="Calibri"/>
        </w:rPr>
        <w:t xml:space="preserve">(4157), 1124–1131. </w:t>
      </w:r>
      <w:r>
        <w:rPr>
          <w:rStyle w:val="url"/>
          <w:rFonts w:ascii="Calibri" w:eastAsiaTheme="majorEastAsia" w:hAnsi="Calibri" w:cs="Calibri"/>
        </w:rPr>
        <w:t>https://doi.org/10.1126/science.185.4157.1124</w:t>
      </w:r>
    </w:p>
    <w:p w14:paraId="409CB8E1"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Wise, R. A., Sartori, G., Magnussen, S., &amp; Safer, M. A. (2014). An examination of the causes and solutions to eyewitness error. </w:t>
      </w:r>
      <w:r>
        <w:rPr>
          <w:rFonts w:ascii="Calibri" w:hAnsi="Calibri" w:cs="Calibri"/>
          <w:i/>
          <w:iCs/>
        </w:rPr>
        <w:t>Frontiers in Psychiatry</w:t>
      </w:r>
      <w:r>
        <w:rPr>
          <w:rFonts w:ascii="Calibri" w:hAnsi="Calibri" w:cs="Calibri"/>
        </w:rPr>
        <w:t xml:space="preserve">, </w:t>
      </w:r>
      <w:r>
        <w:rPr>
          <w:rFonts w:ascii="Calibri" w:hAnsi="Calibri" w:cs="Calibri"/>
          <w:i/>
          <w:iCs/>
        </w:rPr>
        <w:t>5</w:t>
      </w:r>
      <w:r>
        <w:rPr>
          <w:rFonts w:ascii="Calibri" w:hAnsi="Calibri" w:cs="Calibri"/>
        </w:rPr>
        <w:t xml:space="preserve">. </w:t>
      </w:r>
      <w:r>
        <w:rPr>
          <w:rStyle w:val="url"/>
          <w:rFonts w:ascii="Calibri" w:eastAsiaTheme="majorEastAsia" w:hAnsi="Calibri" w:cs="Calibri"/>
        </w:rPr>
        <w:t>https://doi.org/10.3389/fpsyt.2014.00102</w:t>
      </w:r>
    </w:p>
    <w:p w14:paraId="576D636F" w14:textId="77777777" w:rsidR="000B3653" w:rsidRDefault="000B3653" w:rsidP="000B3653">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Wright, D. B., Self, G., &amp; Justice, C. (2000). Memory conformity: Exploring misinformation effects when presented by another person. </w:t>
      </w:r>
      <w:r>
        <w:rPr>
          <w:rFonts w:ascii="Calibri" w:hAnsi="Calibri" w:cs="Calibri"/>
          <w:i/>
          <w:iCs/>
        </w:rPr>
        <w:t>British Journal of Psychology</w:t>
      </w:r>
      <w:r>
        <w:rPr>
          <w:rFonts w:ascii="Calibri" w:hAnsi="Calibri" w:cs="Calibri"/>
        </w:rPr>
        <w:t xml:space="preserve">, </w:t>
      </w:r>
      <w:r>
        <w:rPr>
          <w:rFonts w:ascii="Calibri" w:hAnsi="Calibri" w:cs="Calibri"/>
          <w:i/>
          <w:iCs/>
        </w:rPr>
        <w:t>91</w:t>
      </w:r>
      <w:r>
        <w:rPr>
          <w:rFonts w:ascii="Calibri" w:hAnsi="Calibri" w:cs="Calibri"/>
        </w:rPr>
        <w:t xml:space="preserve">(2), 189–202. </w:t>
      </w:r>
      <w:r>
        <w:rPr>
          <w:rStyle w:val="url"/>
          <w:rFonts w:ascii="Calibri" w:eastAsiaTheme="majorEastAsia" w:hAnsi="Calibri" w:cs="Calibri"/>
        </w:rPr>
        <w:t>https://doi.org/10.1348/000712600161781</w:t>
      </w:r>
    </w:p>
    <w:p w14:paraId="281C3D39" w14:textId="77777777" w:rsidR="00A42B57" w:rsidRPr="00A42B57" w:rsidRDefault="00A42B57" w:rsidP="00A42B57">
      <w:pPr>
        <w:spacing w:line="480" w:lineRule="auto"/>
        <w:ind w:firstLine="720"/>
        <w:rPr>
          <w:rFonts w:cs="Times New Roman"/>
          <w:b/>
          <w:bCs/>
          <w:sz w:val="24"/>
          <w:szCs w:val="24"/>
        </w:rPr>
      </w:pPr>
    </w:p>
    <w:p w14:paraId="3A1281C6" w14:textId="77777777" w:rsidR="00545A09" w:rsidRPr="002728A1" w:rsidRDefault="00545A09" w:rsidP="00545A09">
      <w:pPr>
        <w:spacing w:line="480" w:lineRule="auto"/>
        <w:ind w:firstLine="720"/>
        <w:rPr>
          <w:rFonts w:cs="Times New Roman"/>
          <w:sz w:val="24"/>
          <w:szCs w:val="24"/>
        </w:rPr>
      </w:pPr>
    </w:p>
    <w:p w14:paraId="73096790" w14:textId="77777777" w:rsidR="00545A09" w:rsidRPr="002728A1" w:rsidRDefault="00545A09" w:rsidP="00545A09">
      <w:pPr>
        <w:spacing w:line="480" w:lineRule="auto"/>
        <w:ind w:firstLine="720"/>
        <w:rPr>
          <w:rFonts w:cs="Times New Roman"/>
          <w:sz w:val="24"/>
          <w:szCs w:val="24"/>
        </w:rPr>
      </w:pPr>
    </w:p>
    <w:p w14:paraId="4D92FD14" w14:textId="77777777" w:rsidR="003A5CDB" w:rsidRPr="002728A1" w:rsidRDefault="003A5CDB"/>
    <w:sectPr w:rsidR="003A5CDB" w:rsidRPr="00272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D17"/>
    <w:rsid w:val="00022235"/>
    <w:rsid w:val="00045D79"/>
    <w:rsid w:val="00050B13"/>
    <w:rsid w:val="000B3653"/>
    <w:rsid w:val="001C05C8"/>
    <w:rsid w:val="001F1D1C"/>
    <w:rsid w:val="002211F7"/>
    <w:rsid w:val="002728A1"/>
    <w:rsid w:val="002A1A0B"/>
    <w:rsid w:val="002A6D17"/>
    <w:rsid w:val="003A5CDB"/>
    <w:rsid w:val="003C1D60"/>
    <w:rsid w:val="003C51E2"/>
    <w:rsid w:val="00423FFE"/>
    <w:rsid w:val="004242C7"/>
    <w:rsid w:val="00545A09"/>
    <w:rsid w:val="00571943"/>
    <w:rsid w:val="005E3A25"/>
    <w:rsid w:val="006429FE"/>
    <w:rsid w:val="00754385"/>
    <w:rsid w:val="0076651C"/>
    <w:rsid w:val="007E6321"/>
    <w:rsid w:val="00834250"/>
    <w:rsid w:val="00884696"/>
    <w:rsid w:val="008D39A6"/>
    <w:rsid w:val="00976A0C"/>
    <w:rsid w:val="009B29DD"/>
    <w:rsid w:val="00A04AB8"/>
    <w:rsid w:val="00A31341"/>
    <w:rsid w:val="00A42B57"/>
    <w:rsid w:val="00B74559"/>
    <w:rsid w:val="00DF71D1"/>
    <w:rsid w:val="00FE4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B1550D"/>
  <w15:chartTrackingRefBased/>
  <w15:docId w15:val="{074FF210-D616-4FB3-8522-09A273503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A09"/>
  </w:style>
  <w:style w:type="paragraph" w:styleId="Heading1">
    <w:name w:val="heading 1"/>
    <w:basedOn w:val="Normal"/>
    <w:next w:val="Normal"/>
    <w:link w:val="Heading1Char"/>
    <w:uiPriority w:val="9"/>
    <w:qFormat/>
    <w:rsid w:val="002A6D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D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D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D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6D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D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D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D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D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D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D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D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D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D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D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D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D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D17"/>
    <w:rPr>
      <w:rFonts w:eastAsiaTheme="majorEastAsia" w:cstheme="majorBidi"/>
      <w:color w:val="272727" w:themeColor="text1" w:themeTint="D8"/>
    </w:rPr>
  </w:style>
  <w:style w:type="paragraph" w:styleId="Title">
    <w:name w:val="Title"/>
    <w:basedOn w:val="Normal"/>
    <w:next w:val="Normal"/>
    <w:link w:val="TitleChar"/>
    <w:uiPriority w:val="10"/>
    <w:qFormat/>
    <w:rsid w:val="002A6D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D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D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D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D17"/>
    <w:pPr>
      <w:spacing w:before="160"/>
      <w:jc w:val="center"/>
    </w:pPr>
    <w:rPr>
      <w:i/>
      <w:iCs/>
      <w:color w:val="404040" w:themeColor="text1" w:themeTint="BF"/>
    </w:rPr>
  </w:style>
  <w:style w:type="character" w:customStyle="1" w:styleId="QuoteChar">
    <w:name w:val="Quote Char"/>
    <w:basedOn w:val="DefaultParagraphFont"/>
    <w:link w:val="Quote"/>
    <w:uiPriority w:val="29"/>
    <w:rsid w:val="002A6D17"/>
    <w:rPr>
      <w:i/>
      <w:iCs/>
      <w:color w:val="404040" w:themeColor="text1" w:themeTint="BF"/>
    </w:rPr>
  </w:style>
  <w:style w:type="paragraph" w:styleId="ListParagraph">
    <w:name w:val="List Paragraph"/>
    <w:basedOn w:val="Normal"/>
    <w:uiPriority w:val="34"/>
    <w:qFormat/>
    <w:rsid w:val="002A6D17"/>
    <w:pPr>
      <w:ind w:left="720"/>
      <w:contextualSpacing/>
    </w:pPr>
  </w:style>
  <w:style w:type="character" w:styleId="IntenseEmphasis">
    <w:name w:val="Intense Emphasis"/>
    <w:basedOn w:val="DefaultParagraphFont"/>
    <w:uiPriority w:val="21"/>
    <w:qFormat/>
    <w:rsid w:val="002A6D17"/>
    <w:rPr>
      <w:i/>
      <w:iCs/>
      <w:color w:val="0F4761" w:themeColor="accent1" w:themeShade="BF"/>
    </w:rPr>
  </w:style>
  <w:style w:type="paragraph" w:styleId="IntenseQuote">
    <w:name w:val="Intense Quote"/>
    <w:basedOn w:val="Normal"/>
    <w:next w:val="Normal"/>
    <w:link w:val="IntenseQuoteChar"/>
    <w:uiPriority w:val="30"/>
    <w:qFormat/>
    <w:rsid w:val="002A6D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D17"/>
    <w:rPr>
      <w:i/>
      <w:iCs/>
      <w:color w:val="0F4761" w:themeColor="accent1" w:themeShade="BF"/>
    </w:rPr>
  </w:style>
  <w:style w:type="character" w:styleId="IntenseReference">
    <w:name w:val="Intense Reference"/>
    <w:basedOn w:val="DefaultParagraphFont"/>
    <w:uiPriority w:val="32"/>
    <w:qFormat/>
    <w:rsid w:val="002A6D17"/>
    <w:rPr>
      <w:b/>
      <w:bCs/>
      <w:smallCaps/>
      <w:color w:val="0F4761" w:themeColor="accent1" w:themeShade="BF"/>
      <w:spacing w:val="5"/>
    </w:rPr>
  </w:style>
  <w:style w:type="character" w:styleId="Hyperlink">
    <w:name w:val="Hyperlink"/>
    <w:basedOn w:val="DefaultParagraphFont"/>
    <w:uiPriority w:val="99"/>
    <w:unhideWhenUsed/>
    <w:rsid w:val="002728A1"/>
    <w:rPr>
      <w:color w:val="467886" w:themeColor="hyperlink"/>
      <w:u w:val="single"/>
    </w:rPr>
  </w:style>
  <w:style w:type="character" w:styleId="UnresolvedMention">
    <w:name w:val="Unresolved Mention"/>
    <w:basedOn w:val="DefaultParagraphFont"/>
    <w:uiPriority w:val="99"/>
    <w:semiHidden/>
    <w:unhideWhenUsed/>
    <w:rsid w:val="002728A1"/>
    <w:rPr>
      <w:color w:val="605E5C"/>
      <w:shd w:val="clear" w:color="auto" w:fill="E1DFDD"/>
    </w:rPr>
  </w:style>
  <w:style w:type="paragraph" w:styleId="NormalWeb">
    <w:name w:val="Normal (Web)"/>
    <w:basedOn w:val="Normal"/>
    <w:uiPriority w:val="99"/>
    <w:semiHidden/>
    <w:unhideWhenUsed/>
    <w:rsid w:val="000B36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0B3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92919">
      <w:bodyDiv w:val="1"/>
      <w:marLeft w:val="0"/>
      <w:marRight w:val="0"/>
      <w:marTop w:val="0"/>
      <w:marBottom w:val="0"/>
      <w:divBdr>
        <w:top w:val="none" w:sz="0" w:space="0" w:color="auto"/>
        <w:left w:val="none" w:sz="0" w:space="0" w:color="auto"/>
        <w:bottom w:val="none" w:sz="0" w:space="0" w:color="auto"/>
        <w:right w:val="none" w:sz="0" w:space="0" w:color="auto"/>
      </w:divBdr>
      <w:divsChild>
        <w:div w:id="1169713396">
          <w:marLeft w:val="-720"/>
          <w:marRight w:val="0"/>
          <w:marTop w:val="0"/>
          <w:marBottom w:val="0"/>
          <w:divBdr>
            <w:top w:val="none" w:sz="0" w:space="0" w:color="auto"/>
            <w:left w:val="none" w:sz="0" w:space="0" w:color="auto"/>
            <w:bottom w:val="none" w:sz="0" w:space="0" w:color="auto"/>
            <w:right w:val="none" w:sz="0" w:space="0" w:color="auto"/>
          </w:divBdr>
        </w:div>
      </w:divsChild>
    </w:div>
    <w:div w:id="570696632">
      <w:bodyDiv w:val="1"/>
      <w:marLeft w:val="0"/>
      <w:marRight w:val="0"/>
      <w:marTop w:val="0"/>
      <w:marBottom w:val="0"/>
      <w:divBdr>
        <w:top w:val="none" w:sz="0" w:space="0" w:color="auto"/>
        <w:left w:val="none" w:sz="0" w:space="0" w:color="auto"/>
        <w:bottom w:val="none" w:sz="0" w:space="0" w:color="auto"/>
        <w:right w:val="none" w:sz="0" w:space="0" w:color="auto"/>
      </w:divBdr>
      <w:divsChild>
        <w:div w:id="943151368">
          <w:marLeft w:val="0"/>
          <w:marRight w:val="0"/>
          <w:marTop w:val="0"/>
          <w:marBottom w:val="160"/>
          <w:divBdr>
            <w:top w:val="none" w:sz="0" w:space="0" w:color="auto"/>
            <w:left w:val="none" w:sz="0" w:space="0" w:color="auto"/>
            <w:bottom w:val="none" w:sz="0" w:space="0" w:color="auto"/>
            <w:right w:val="none" w:sz="0" w:space="0" w:color="auto"/>
          </w:divBdr>
        </w:div>
        <w:div w:id="919682041">
          <w:marLeft w:val="0"/>
          <w:marRight w:val="0"/>
          <w:marTop w:val="0"/>
          <w:marBottom w:val="160"/>
          <w:divBdr>
            <w:top w:val="none" w:sz="0" w:space="0" w:color="auto"/>
            <w:left w:val="none" w:sz="0" w:space="0" w:color="auto"/>
            <w:bottom w:val="none" w:sz="0" w:space="0" w:color="auto"/>
            <w:right w:val="none" w:sz="0" w:space="0" w:color="auto"/>
          </w:divBdr>
        </w:div>
        <w:div w:id="1404719591">
          <w:marLeft w:val="0"/>
          <w:marRight w:val="0"/>
          <w:marTop w:val="0"/>
          <w:marBottom w:val="160"/>
          <w:divBdr>
            <w:top w:val="none" w:sz="0" w:space="0" w:color="auto"/>
            <w:left w:val="none" w:sz="0" w:space="0" w:color="auto"/>
            <w:bottom w:val="none" w:sz="0" w:space="0" w:color="auto"/>
            <w:right w:val="none" w:sz="0" w:space="0" w:color="auto"/>
          </w:divBdr>
        </w:div>
        <w:div w:id="568464055">
          <w:marLeft w:val="0"/>
          <w:marRight w:val="0"/>
          <w:marTop w:val="0"/>
          <w:marBottom w:val="160"/>
          <w:divBdr>
            <w:top w:val="none" w:sz="0" w:space="0" w:color="auto"/>
            <w:left w:val="none" w:sz="0" w:space="0" w:color="auto"/>
            <w:bottom w:val="none" w:sz="0" w:space="0" w:color="auto"/>
            <w:right w:val="none" w:sz="0" w:space="0" w:color="auto"/>
          </w:divBdr>
        </w:div>
        <w:div w:id="32778434">
          <w:marLeft w:val="0"/>
          <w:marRight w:val="0"/>
          <w:marTop w:val="0"/>
          <w:marBottom w:val="160"/>
          <w:divBdr>
            <w:top w:val="none" w:sz="0" w:space="0" w:color="auto"/>
            <w:left w:val="none" w:sz="0" w:space="0" w:color="auto"/>
            <w:bottom w:val="none" w:sz="0" w:space="0" w:color="auto"/>
            <w:right w:val="none" w:sz="0" w:space="0" w:color="auto"/>
          </w:divBdr>
        </w:div>
        <w:div w:id="939526242">
          <w:marLeft w:val="0"/>
          <w:marRight w:val="0"/>
          <w:marTop w:val="0"/>
          <w:marBottom w:val="160"/>
          <w:divBdr>
            <w:top w:val="none" w:sz="0" w:space="0" w:color="auto"/>
            <w:left w:val="none" w:sz="0" w:space="0" w:color="auto"/>
            <w:bottom w:val="none" w:sz="0" w:space="0" w:color="auto"/>
            <w:right w:val="none" w:sz="0" w:space="0" w:color="auto"/>
          </w:divBdr>
        </w:div>
        <w:div w:id="568540267">
          <w:marLeft w:val="0"/>
          <w:marRight w:val="0"/>
          <w:marTop w:val="0"/>
          <w:marBottom w:val="160"/>
          <w:divBdr>
            <w:top w:val="none" w:sz="0" w:space="0" w:color="auto"/>
            <w:left w:val="none" w:sz="0" w:space="0" w:color="auto"/>
            <w:bottom w:val="none" w:sz="0" w:space="0" w:color="auto"/>
            <w:right w:val="none" w:sz="0" w:space="0" w:color="auto"/>
          </w:divBdr>
        </w:div>
        <w:div w:id="2134712164">
          <w:marLeft w:val="0"/>
          <w:marRight w:val="0"/>
          <w:marTop w:val="0"/>
          <w:marBottom w:val="160"/>
          <w:divBdr>
            <w:top w:val="none" w:sz="0" w:space="0" w:color="auto"/>
            <w:left w:val="none" w:sz="0" w:space="0" w:color="auto"/>
            <w:bottom w:val="none" w:sz="0" w:space="0" w:color="auto"/>
            <w:right w:val="none" w:sz="0" w:space="0" w:color="auto"/>
          </w:divBdr>
        </w:div>
        <w:div w:id="1666010580">
          <w:marLeft w:val="0"/>
          <w:marRight w:val="0"/>
          <w:marTop w:val="0"/>
          <w:marBottom w:val="160"/>
          <w:divBdr>
            <w:top w:val="none" w:sz="0" w:space="0" w:color="auto"/>
            <w:left w:val="none" w:sz="0" w:space="0" w:color="auto"/>
            <w:bottom w:val="none" w:sz="0" w:space="0" w:color="auto"/>
            <w:right w:val="none" w:sz="0" w:space="0" w:color="auto"/>
          </w:divBdr>
        </w:div>
        <w:div w:id="1300452607">
          <w:marLeft w:val="0"/>
          <w:marRight w:val="0"/>
          <w:marTop w:val="0"/>
          <w:marBottom w:val="160"/>
          <w:divBdr>
            <w:top w:val="none" w:sz="0" w:space="0" w:color="auto"/>
            <w:left w:val="none" w:sz="0" w:space="0" w:color="auto"/>
            <w:bottom w:val="none" w:sz="0" w:space="0" w:color="auto"/>
            <w:right w:val="none" w:sz="0" w:space="0" w:color="auto"/>
          </w:divBdr>
        </w:div>
        <w:div w:id="1403020072">
          <w:marLeft w:val="0"/>
          <w:marRight w:val="0"/>
          <w:marTop w:val="0"/>
          <w:marBottom w:val="160"/>
          <w:divBdr>
            <w:top w:val="none" w:sz="0" w:space="0" w:color="auto"/>
            <w:left w:val="none" w:sz="0" w:space="0" w:color="auto"/>
            <w:bottom w:val="none" w:sz="0" w:space="0" w:color="auto"/>
            <w:right w:val="none" w:sz="0" w:space="0" w:color="auto"/>
          </w:divBdr>
        </w:div>
        <w:div w:id="397047792">
          <w:marLeft w:val="0"/>
          <w:marRight w:val="0"/>
          <w:marTop w:val="0"/>
          <w:marBottom w:val="160"/>
          <w:divBdr>
            <w:top w:val="none" w:sz="0" w:space="0" w:color="auto"/>
            <w:left w:val="none" w:sz="0" w:space="0" w:color="auto"/>
            <w:bottom w:val="none" w:sz="0" w:space="0" w:color="auto"/>
            <w:right w:val="none" w:sz="0" w:space="0" w:color="auto"/>
          </w:divBdr>
        </w:div>
        <w:div w:id="1789809029">
          <w:marLeft w:val="0"/>
          <w:marRight w:val="0"/>
          <w:marTop w:val="0"/>
          <w:marBottom w:val="160"/>
          <w:divBdr>
            <w:top w:val="none" w:sz="0" w:space="0" w:color="auto"/>
            <w:left w:val="none" w:sz="0" w:space="0" w:color="auto"/>
            <w:bottom w:val="none" w:sz="0" w:space="0" w:color="auto"/>
            <w:right w:val="none" w:sz="0" w:space="0" w:color="auto"/>
          </w:divBdr>
        </w:div>
        <w:div w:id="1850758430">
          <w:marLeft w:val="0"/>
          <w:marRight w:val="0"/>
          <w:marTop w:val="0"/>
          <w:marBottom w:val="160"/>
          <w:divBdr>
            <w:top w:val="none" w:sz="0" w:space="0" w:color="auto"/>
            <w:left w:val="none" w:sz="0" w:space="0" w:color="auto"/>
            <w:bottom w:val="none" w:sz="0" w:space="0" w:color="auto"/>
            <w:right w:val="none" w:sz="0" w:space="0" w:color="auto"/>
          </w:divBdr>
        </w:div>
        <w:div w:id="2092047195">
          <w:marLeft w:val="0"/>
          <w:marRight w:val="0"/>
          <w:marTop w:val="0"/>
          <w:marBottom w:val="160"/>
          <w:divBdr>
            <w:top w:val="none" w:sz="0" w:space="0" w:color="auto"/>
            <w:left w:val="none" w:sz="0" w:space="0" w:color="auto"/>
            <w:bottom w:val="none" w:sz="0" w:space="0" w:color="auto"/>
            <w:right w:val="none" w:sz="0" w:space="0" w:color="auto"/>
          </w:divBdr>
        </w:div>
        <w:div w:id="297031081">
          <w:marLeft w:val="0"/>
          <w:marRight w:val="0"/>
          <w:marTop w:val="0"/>
          <w:marBottom w:val="160"/>
          <w:divBdr>
            <w:top w:val="none" w:sz="0" w:space="0" w:color="auto"/>
            <w:left w:val="none" w:sz="0" w:space="0" w:color="auto"/>
            <w:bottom w:val="none" w:sz="0" w:space="0" w:color="auto"/>
            <w:right w:val="none" w:sz="0" w:space="0" w:color="auto"/>
          </w:divBdr>
        </w:div>
        <w:div w:id="1289579632">
          <w:marLeft w:val="0"/>
          <w:marRight w:val="0"/>
          <w:marTop w:val="0"/>
          <w:marBottom w:val="160"/>
          <w:divBdr>
            <w:top w:val="none" w:sz="0" w:space="0" w:color="auto"/>
            <w:left w:val="none" w:sz="0" w:space="0" w:color="auto"/>
            <w:bottom w:val="none" w:sz="0" w:space="0" w:color="auto"/>
            <w:right w:val="none" w:sz="0" w:space="0" w:color="auto"/>
          </w:divBdr>
        </w:div>
        <w:div w:id="665286333">
          <w:marLeft w:val="0"/>
          <w:marRight w:val="0"/>
          <w:marTop w:val="0"/>
          <w:marBottom w:val="160"/>
          <w:divBdr>
            <w:top w:val="none" w:sz="0" w:space="0" w:color="auto"/>
            <w:left w:val="none" w:sz="0" w:space="0" w:color="auto"/>
            <w:bottom w:val="none" w:sz="0" w:space="0" w:color="auto"/>
            <w:right w:val="none" w:sz="0" w:space="0" w:color="auto"/>
          </w:divBdr>
        </w:div>
        <w:div w:id="1499348599">
          <w:marLeft w:val="0"/>
          <w:marRight w:val="0"/>
          <w:marTop w:val="0"/>
          <w:marBottom w:val="160"/>
          <w:divBdr>
            <w:top w:val="none" w:sz="0" w:space="0" w:color="auto"/>
            <w:left w:val="none" w:sz="0" w:space="0" w:color="auto"/>
            <w:bottom w:val="none" w:sz="0" w:space="0" w:color="auto"/>
            <w:right w:val="none" w:sz="0" w:space="0" w:color="auto"/>
          </w:divBdr>
        </w:div>
        <w:div w:id="1744569315">
          <w:marLeft w:val="0"/>
          <w:marRight w:val="0"/>
          <w:marTop w:val="0"/>
          <w:marBottom w:val="160"/>
          <w:divBdr>
            <w:top w:val="none" w:sz="0" w:space="0" w:color="auto"/>
            <w:left w:val="none" w:sz="0" w:space="0" w:color="auto"/>
            <w:bottom w:val="none" w:sz="0" w:space="0" w:color="auto"/>
            <w:right w:val="none" w:sz="0" w:space="0" w:color="auto"/>
          </w:divBdr>
        </w:div>
        <w:div w:id="437261087">
          <w:marLeft w:val="0"/>
          <w:marRight w:val="0"/>
          <w:marTop w:val="0"/>
          <w:marBottom w:val="160"/>
          <w:divBdr>
            <w:top w:val="none" w:sz="0" w:space="0" w:color="auto"/>
            <w:left w:val="none" w:sz="0" w:space="0" w:color="auto"/>
            <w:bottom w:val="none" w:sz="0" w:space="0" w:color="auto"/>
            <w:right w:val="none" w:sz="0" w:space="0" w:color="auto"/>
          </w:divBdr>
        </w:div>
        <w:div w:id="135998345">
          <w:marLeft w:val="0"/>
          <w:marRight w:val="0"/>
          <w:marTop w:val="0"/>
          <w:marBottom w:val="160"/>
          <w:divBdr>
            <w:top w:val="none" w:sz="0" w:space="0" w:color="auto"/>
            <w:left w:val="none" w:sz="0" w:space="0" w:color="auto"/>
            <w:bottom w:val="none" w:sz="0" w:space="0" w:color="auto"/>
            <w:right w:val="none" w:sz="0" w:space="0" w:color="auto"/>
          </w:divBdr>
        </w:div>
        <w:div w:id="1055545077">
          <w:marLeft w:val="0"/>
          <w:marRight w:val="0"/>
          <w:marTop w:val="0"/>
          <w:marBottom w:val="160"/>
          <w:divBdr>
            <w:top w:val="none" w:sz="0" w:space="0" w:color="auto"/>
            <w:left w:val="none" w:sz="0" w:space="0" w:color="auto"/>
            <w:bottom w:val="none" w:sz="0" w:space="0" w:color="auto"/>
            <w:right w:val="none" w:sz="0" w:space="0" w:color="auto"/>
          </w:divBdr>
        </w:div>
      </w:divsChild>
    </w:div>
    <w:div w:id="748695124">
      <w:bodyDiv w:val="1"/>
      <w:marLeft w:val="0"/>
      <w:marRight w:val="0"/>
      <w:marTop w:val="0"/>
      <w:marBottom w:val="0"/>
      <w:divBdr>
        <w:top w:val="none" w:sz="0" w:space="0" w:color="auto"/>
        <w:left w:val="none" w:sz="0" w:space="0" w:color="auto"/>
        <w:bottom w:val="none" w:sz="0" w:space="0" w:color="auto"/>
        <w:right w:val="none" w:sz="0" w:space="0" w:color="auto"/>
      </w:divBdr>
      <w:divsChild>
        <w:div w:id="867836208">
          <w:marLeft w:val="0"/>
          <w:marRight w:val="0"/>
          <w:marTop w:val="0"/>
          <w:marBottom w:val="160"/>
          <w:divBdr>
            <w:top w:val="none" w:sz="0" w:space="0" w:color="auto"/>
            <w:left w:val="none" w:sz="0" w:space="0" w:color="auto"/>
            <w:bottom w:val="none" w:sz="0" w:space="0" w:color="auto"/>
            <w:right w:val="none" w:sz="0" w:space="0" w:color="auto"/>
          </w:divBdr>
        </w:div>
        <w:div w:id="1193570197">
          <w:marLeft w:val="0"/>
          <w:marRight w:val="0"/>
          <w:marTop w:val="0"/>
          <w:marBottom w:val="160"/>
          <w:divBdr>
            <w:top w:val="none" w:sz="0" w:space="0" w:color="auto"/>
            <w:left w:val="none" w:sz="0" w:space="0" w:color="auto"/>
            <w:bottom w:val="none" w:sz="0" w:space="0" w:color="auto"/>
            <w:right w:val="none" w:sz="0" w:space="0" w:color="auto"/>
          </w:divBdr>
        </w:div>
        <w:div w:id="1059472244">
          <w:marLeft w:val="0"/>
          <w:marRight w:val="0"/>
          <w:marTop w:val="0"/>
          <w:marBottom w:val="160"/>
          <w:divBdr>
            <w:top w:val="none" w:sz="0" w:space="0" w:color="auto"/>
            <w:left w:val="none" w:sz="0" w:space="0" w:color="auto"/>
            <w:bottom w:val="none" w:sz="0" w:space="0" w:color="auto"/>
            <w:right w:val="none" w:sz="0" w:space="0" w:color="auto"/>
          </w:divBdr>
        </w:div>
        <w:div w:id="1720394421">
          <w:marLeft w:val="0"/>
          <w:marRight w:val="0"/>
          <w:marTop w:val="0"/>
          <w:marBottom w:val="160"/>
          <w:divBdr>
            <w:top w:val="none" w:sz="0" w:space="0" w:color="auto"/>
            <w:left w:val="none" w:sz="0" w:space="0" w:color="auto"/>
            <w:bottom w:val="none" w:sz="0" w:space="0" w:color="auto"/>
            <w:right w:val="none" w:sz="0" w:space="0" w:color="auto"/>
          </w:divBdr>
        </w:div>
        <w:div w:id="2071731405">
          <w:marLeft w:val="0"/>
          <w:marRight w:val="0"/>
          <w:marTop w:val="0"/>
          <w:marBottom w:val="160"/>
          <w:divBdr>
            <w:top w:val="none" w:sz="0" w:space="0" w:color="auto"/>
            <w:left w:val="none" w:sz="0" w:space="0" w:color="auto"/>
            <w:bottom w:val="none" w:sz="0" w:space="0" w:color="auto"/>
            <w:right w:val="none" w:sz="0" w:space="0" w:color="auto"/>
          </w:divBdr>
        </w:div>
        <w:div w:id="1890650444">
          <w:marLeft w:val="0"/>
          <w:marRight w:val="0"/>
          <w:marTop w:val="0"/>
          <w:marBottom w:val="160"/>
          <w:divBdr>
            <w:top w:val="none" w:sz="0" w:space="0" w:color="auto"/>
            <w:left w:val="none" w:sz="0" w:space="0" w:color="auto"/>
            <w:bottom w:val="none" w:sz="0" w:space="0" w:color="auto"/>
            <w:right w:val="none" w:sz="0" w:space="0" w:color="auto"/>
          </w:divBdr>
        </w:div>
        <w:div w:id="620377537">
          <w:marLeft w:val="0"/>
          <w:marRight w:val="0"/>
          <w:marTop w:val="0"/>
          <w:marBottom w:val="160"/>
          <w:divBdr>
            <w:top w:val="none" w:sz="0" w:space="0" w:color="auto"/>
            <w:left w:val="none" w:sz="0" w:space="0" w:color="auto"/>
            <w:bottom w:val="none" w:sz="0" w:space="0" w:color="auto"/>
            <w:right w:val="none" w:sz="0" w:space="0" w:color="auto"/>
          </w:divBdr>
        </w:div>
        <w:div w:id="947813618">
          <w:marLeft w:val="0"/>
          <w:marRight w:val="0"/>
          <w:marTop w:val="0"/>
          <w:marBottom w:val="160"/>
          <w:divBdr>
            <w:top w:val="none" w:sz="0" w:space="0" w:color="auto"/>
            <w:left w:val="none" w:sz="0" w:space="0" w:color="auto"/>
            <w:bottom w:val="none" w:sz="0" w:space="0" w:color="auto"/>
            <w:right w:val="none" w:sz="0" w:space="0" w:color="auto"/>
          </w:divBdr>
        </w:div>
        <w:div w:id="1955987655">
          <w:marLeft w:val="0"/>
          <w:marRight w:val="0"/>
          <w:marTop w:val="0"/>
          <w:marBottom w:val="160"/>
          <w:divBdr>
            <w:top w:val="none" w:sz="0" w:space="0" w:color="auto"/>
            <w:left w:val="none" w:sz="0" w:space="0" w:color="auto"/>
            <w:bottom w:val="none" w:sz="0" w:space="0" w:color="auto"/>
            <w:right w:val="none" w:sz="0" w:space="0" w:color="auto"/>
          </w:divBdr>
        </w:div>
        <w:div w:id="1693998044">
          <w:marLeft w:val="0"/>
          <w:marRight w:val="0"/>
          <w:marTop w:val="0"/>
          <w:marBottom w:val="160"/>
          <w:divBdr>
            <w:top w:val="none" w:sz="0" w:space="0" w:color="auto"/>
            <w:left w:val="none" w:sz="0" w:space="0" w:color="auto"/>
            <w:bottom w:val="none" w:sz="0" w:space="0" w:color="auto"/>
            <w:right w:val="none" w:sz="0" w:space="0" w:color="auto"/>
          </w:divBdr>
        </w:div>
        <w:div w:id="985167210">
          <w:marLeft w:val="0"/>
          <w:marRight w:val="0"/>
          <w:marTop w:val="0"/>
          <w:marBottom w:val="160"/>
          <w:divBdr>
            <w:top w:val="none" w:sz="0" w:space="0" w:color="auto"/>
            <w:left w:val="none" w:sz="0" w:space="0" w:color="auto"/>
            <w:bottom w:val="none" w:sz="0" w:space="0" w:color="auto"/>
            <w:right w:val="none" w:sz="0" w:space="0" w:color="auto"/>
          </w:divBdr>
        </w:div>
        <w:div w:id="72093480">
          <w:marLeft w:val="0"/>
          <w:marRight w:val="0"/>
          <w:marTop w:val="0"/>
          <w:marBottom w:val="160"/>
          <w:divBdr>
            <w:top w:val="none" w:sz="0" w:space="0" w:color="auto"/>
            <w:left w:val="none" w:sz="0" w:space="0" w:color="auto"/>
            <w:bottom w:val="none" w:sz="0" w:space="0" w:color="auto"/>
            <w:right w:val="none" w:sz="0" w:space="0" w:color="auto"/>
          </w:divBdr>
        </w:div>
        <w:div w:id="30040667">
          <w:marLeft w:val="0"/>
          <w:marRight w:val="0"/>
          <w:marTop w:val="0"/>
          <w:marBottom w:val="160"/>
          <w:divBdr>
            <w:top w:val="none" w:sz="0" w:space="0" w:color="auto"/>
            <w:left w:val="none" w:sz="0" w:space="0" w:color="auto"/>
            <w:bottom w:val="none" w:sz="0" w:space="0" w:color="auto"/>
            <w:right w:val="none" w:sz="0" w:space="0" w:color="auto"/>
          </w:divBdr>
        </w:div>
        <w:div w:id="1801071627">
          <w:marLeft w:val="0"/>
          <w:marRight w:val="0"/>
          <w:marTop w:val="0"/>
          <w:marBottom w:val="160"/>
          <w:divBdr>
            <w:top w:val="none" w:sz="0" w:space="0" w:color="auto"/>
            <w:left w:val="none" w:sz="0" w:space="0" w:color="auto"/>
            <w:bottom w:val="none" w:sz="0" w:space="0" w:color="auto"/>
            <w:right w:val="none" w:sz="0" w:space="0" w:color="auto"/>
          </w:divBdr>
        </w:div>
        <w:div w:id="655383478">
          <w:marLeft w:val="0"/>
          <w:marRight w:val="0"/>
          <w:marTop w:val="0"/>
          <w:marBottom w:val="160"/>
          <w:divBdr>
            <w:top w:val="none" w:sz="0" w:space="0" w:color="auto"/>
            <w:left w:val="none" w:sz="0" w:space="0" w:color="auto"/>
            <w:bottom w:val="none" w:sz="0" w:space="0" w:color="auto"/>
            <w:right w:val="none" w:sz="0" w:space="0" w:color="auto"/>
          </w:divBdr>
        </w:div>
        <w:div w:id="2114595188">
          <w:marLeft w:val="0"/>
          <w:marRight w:val="0"/>
          <w:marTop w:val="0"/>
          <w:marBottom w:val="160"/>
          <w:divBdr>
            <w:top w:val="none" w:sz="0" w:space="0" w:color="auto"/>
            <w:left w:val="none" w:sz="0" w:space="0" w:color="auto"/>
            <w:bottom w:val="none" w:sz="0" w:space="0" w:color="auto"/>
            <w:right w:val="none" w:sz="0" w:space="0" w:color="auto"/>
          </w:divBdr>
        </w:div>
        <w:div w:id="1698505079">
          <w:marLeft w:val="0"/>
          <w:marRight w:val="0"/>
          <w:marTop w:val="0"/>
          <w:marBottom w:val="160"/>
          <w:divBdr>
            <w:top w:val="none" w:sz="0" w:space="0" w:color="auto"/>
            <w:left w:val="none" w:sz="0" w:space="0" w:color="auto"/>
            <w:bottom w:val="none" w:sz="0" w:space="0" w:color="auto"/>
            <w:right w:val="none" w:sz="0" w:space="0" w:color="auto"/>
          </w:divBdr>
        </w:div>
        <w:div w:id="1589193936">
          <w:marLeft w:val="0"/>
          <w:marRight w:val="0"/>
          <w:marTop w:val="0"/>
          <w:marBottom w:val="160"/>
          <w:divBdr>
            <w:top w:val="none" w:sz="0" w:space="0" w:color="auto"/>
            <w:left w:val="none" w:sz="0" w:space="0" w:color="auto"/>
            <w:bottom w:val="none" w:sz="0" w:space="0" w:color="auto"/>
            <w:right w:val="none" w:sz="0" w:space="0" w:color="auto"/>
          </w:divBdr>
        </w:div>
        <w:div w:id="714041174">
          <w:marLeft w:val="0"/>
          <w:marRight w:val="0"/>
          <w:marTop w:val="0"/>
          <w:marBottom w:val="160"/>
          <w:divBdr>
            <w:top w:val="none" w:sz="0" w:space="0" w:color="auto"/>
            <w:left w:val="none" w:sz="0" w:space="0" w:color="auto"/>
            <w:bottom w:val="none" w:sz="0" w:space="0" w:color="auto"/>
            <w:right w:val="none" w:sz="0" w:space="0" w:color="auto"/>
          </w:divBdr>
        </w:div>
        <w:div w:id="1777551996">
          <w:marLeft w:val="0"/>
          <w:marRight w:val="0"/>
          <w:marTop w:val="0"/>
          <w:marBottom w:val="160"/>
          <w:divBdr>
            <w:top w:val="none" w:sz="0" w:space="0" w:color="auto"/>
            <w:left w:val="none" w:sz="0" w:space="0" w:color="auto"/>
            <w:bottom w:val="none" w:sz="0" w:space="0" w:color="auto"/>
            <w:right w:val="none" w:sz="0" w:space="0" w:color="auto"/>
          </w:divBdr>
        </w:div>
        <w:div w:id="270746611">
          <w:marLeft w:val="0"/>
          <w:marRight w:val="0"/>
          <w:marTop w:val="0"/>
          <w:marBottom w:val="160"/>
          <w:divBdr>
            <w:top w:val="none" w:sz="0" w:space="0" w:color="auto"/>
            <w:left w:val="none" w:sz="0" w:space="0" w:color="auto"/>
            <w:bottom w:val="none" w:sz="0" w:space="0" w:color="auto"/>
            <w:right w:val="none" w:sz="0" w:space="0" w:color="auto"/>
          </w:divBdr>
        </w:div>
        <w:div w:id="1796370143">
          <w:marLeft w:val="0"/>
          <w:marRight w:val="0"/>
          <w:marTop w:val="0"/>
          <w:marBottom w:val="160"/>
          <w:divBdr>
            <w:top w:val="none" w:sz="0" w:space="0" w:color="auto"/>
            <w:left w:val="none" w:sz="0" w:space="0" w:color="auto"/>
            <w:bottom w:val="none" w:sz="0" w:space="0" w:color="auto"/>
            <w:right w:val="none" w:sz="0" w:space="0" w:color="auto"/>
          </w:divBdr>
        </w:div>
        <w:div w:id="2064912393">
          <w:marLeft w:val="0"/>
          <w:marRight w:val="0"/>
          <w:marTop w:val="0"/>
          <w:marBottom w:val="160"/>
          <w:divBdr>
            <w:top w:val="none" w:sz="0" w:space="0" w:color="auto"/>
            <w:left w:val="none" w:sz="0" w:space="0" w:color="auto"/>
            <w:bottom w:val="none" w:sz="0" w:space="0" w:color="auto"/>
            <w:right w:val="none" w:sz="0" w:space="0" w:color="auto"/>
          </w:divBdr>
        </w:div>
      </w:divsChild>
    </w:div>
    <w:div w:id="1470439823">
      <w:bodyDiv w:val="1"/>
      <w:marLeft w:val="0"/>
      <w:marRight w:val="0"/>
      <w:marTop w:val="0"/>
      <w:marBottom w:val="0"/>
      <w:divBdr>
        <w:top w:val="none" w:sz="0" w:space="0" w:color="auto"/>
        <w:left w:val="none" w:sz="0" w:space="0" w:color="auto"/>
        <w:bottom w:val="none" w:sz="0" w:space="0" w:color="auto"/>
        <w:right w:val="none" w:sz="0" w:space="0" w:color="auto"/>
      </w:divBdr>
      <w:divsChild>
        <w:div w:id="463039518">
          <w:marLeft w:val="-720"/>
          <w:marRight w:val="0"/>
          <w:marTop w:val="0"/>
          <w:marBottom w:val="0"/>
          <w:divBdr>
            <w:top w:val="none" w:sz="0" w:space="0" w:color="auto"/>
            <w:left w:val="none" w:sz="0" w:space="0" w:color="auto"/>
            <w:bottom w:val="none" w:sz="0" w:space="0" w:color="auto"/>
            <w:right w:val="none" w:sz="0" w:space="0" w:color="auto"/>
          </w:divBdr>
        </w:div>
      </w:divsChild>
    </w:div>
    <w:div w:id="2058966985">
      <w:bodyDiv w:val="1"/>
      <w:marLeft w:val="0"/>
      <w:marRight w:val="0"/>
      <w:marTop w:val="0"/>
      <w:marBottom w:val="0"/>
      <w:divBdr>
        <w:top w:val="none" w:sz="0" w:space="0" w:color="auto"/>
        <w:left w:val="none" w:sz="0" w:space="0" w:color="auto"/>
        <w:bottom w:val="none" w:sz="0" w:space="0" w:color="auto"/>
        <w:right w:val="none" w:sz="0" w:space="0" w:color="auto"/>
      </w:divBdr>
      <w:divsChild>
        <w:div w:id="4957451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ur01.safelinks.protection.outlook.com/?url=https%3A%2F%2Fscholar.google.com%2F&amp;data=05%7C02%7C2219390%40student.uwtsd.ac.uk%7Ca1e22cf876bc4079710e08dd33c1884e%7C4e0f11f9046e45059cb8db2152311e21%7C0%7C0%7C638723628486634922%7CUnknown%7CTWFpbGZsb3d8eyJFbXB0eU1hcGkiOnRydWUsIlYiOiIwLjAuMDAwMCIsIlAiOiJXaW4zMiIsIkFOIjoiTWFpbCIsIldUIjoyfQ%3D%3D%7C0%7C%7C%7C&amp;sdata=nlKCBtyzIDgbyZAZEO%2FmHiSXkrKbn80RoNmJzi3zUgA%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14</Pages>
  <Words>3075</Words>
  <Characters>18304</Characters>
  <Application>Microsoft Office Word</Application>
  <DocSecurity>0</DocSecurity>
  <Lines>286</Lines>
  <Paragraphs>52</Paragraphs>
  <ScaleCrop>false</ScaleCrop>
  <Company/>
  <LinksUpToDate>false</LinksUpToDate>
  <CharactersWithSpaces>21319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dc:creator>
  <cp:keywords/>
  <dc:description/>
  <cp:lastModifiedBy>Shaheena Kenyon</cp:lastModifiedBy>
  <cp:revision>27</cp:revision>
  <dcterms:created xsi:type="dcterms:W3CDTF">2025-04-01T21:50:00Z</dcterms:created>
  <dcterms:modified xsi:type="dcterms:W3CDTF">2025-04-01T22:42:00Z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a6935554-266f-4a91-948d-2853ae471273</vt:lpwstr>
  </property>
</Properties>
</file>