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58023" w14:textId="6DA550F8" w:rsidR="008305CB" w:rsidRPr="00CC2922" w:rsidRDefault="00F109FE" w:rsidP="00CC2922">
      <w:pPr>
        <w:spacing w:line="360" w:lineRule="auto"/>
        <w:rPr>
          <w:rFonts w:ascii="Times New Roman" w:hAnsi="Times New Roman" w:cs="Times New Roman"/>
          <w:b/>
          <w:bCs/>
          <w:sz w:val="24"/>
        </w:rPr>
      </w:pPr>
      <w:r w:rsidRPr="00CC2922">
        <w:rPr>
          <w:rFonts w:ascii="Times New Roman" w:hAnsi="Times New Roman" w:cs="Times New Roman"/>
          <w:b/>
          <w:bCs/>
          <w:sz w:val="24"/>
        </w:rPr>
        <w:t>Topic: An Analysis of the Impact of Contemporary Transformations on Organizational Sustainability Management Practices</w:t>
      </w:r>
    </w:p>
    <w:p w14:paraId="0D9A07A0" w14:textId="77777777" w:rsidR="00F109FE" w:rsidRPr="00CC2922" w:rsidRDefault="00F109FE" w:rsidP="00CC2922">
      <w:pPr>
        <w:spacing w:line="360" w:lineRule="auto"/>
        <w:rPr>
          <w:rFonts w:ascii="Times New Roman" w:hAnsi="Times New Roman" w:cs="Times New Roman"/>
          <w:b/>
          <w:bCs/>
          <w:sz w:val="24"/>
        </w:rPr>
      </w:pPr>
    </w:p>
    <w:p w14:paraId="0AD1547F" w14:textId="59CDDCA2" w:rsidR="00F109FE" w:rsidRPr="00CC2922" w:rsidRDefault="00F109FE"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Background: </w:t>
      </w:r>
    </w:p>
    <w:p w14:paraId="1388FB9C" w14:textId="63281281" w:rsidR="00064973" w:rsidRPr="00CC2922" w:rsidRDefault="00083708"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Since the Anthropocene, human activities have significantly outpaced natural changes, with the Industrial Revolution driving economic growth but also causing significant pollution (Steffen et al., 2007). </w:t>
      </w:r>
      <w:r w:rsidR="00064973" w:rsidRPr="00CC2922">
        <w:rPr>
          <w:rFonts w:ascii="Times New Roman" w:hAnsi="Times New Roman" w:cs="Times New Roman"/>
          <w:sz w:val="24"/>
        </w:rPr>
        <w:t xml:space="preserve">Affected by this, the ESG principles have been proposed. Since their introduction, they have been actively practiced in Europe, the Americas, and other developed countries, promoting the development and maturity of environmental, social, and governance factors as well as the overall ESG system. These factors are constantly forming a new pattern of sustainable development (Li, 2021). "Sustainability" has evolved from an initial environmental protection concept into a key indicator of an </w:t>
      </w:r>
      <w:r w:rsidR="001C0A10" w:rsidRPr="00CC2922">
        <w:rPr>
          <w:rFonts w:ascii="Times New Roman" w:hAnsi="Times New Roman" w:cs="Times New Roman"/>
          <w:sz w:val="24"/>
        </w:rPr>
        <w:t>organization ‘</w:t>
      </w:r>
      <w:r w:rsidR="00064973" w:rsidRPr="00CC2922">
        <w:rPr>
          <w:rFonts w:ascii="Times New Roman" w:hAnsi="Times New Roman" w:cs="Times New Roman"/>
          <w:sz w:val="24"/>
        </w:rPr>
        <w:t xml:space="preserve">s core competitiveness, and sustainability management is no longer an "additional responsibility" of the </w:t>
      </w:r>
      <w:r w:rsidR="001C0A10" w:rsidRPr="00CC2922">
        <w:rPr>
          <w:rFonts w:ascii="Times New Roman" w:hAnsi="Times New Roman" w:cs="Times New Roman"/>
          <w:sz w:val="24"/>
        </w:rPr>
        <w:t>organization,</w:t>
      </w:r>
      <w:r w:rsidR="00064973" w:rsidRPr="00CC2922">
        <w:rPr>
          <w:rFonts w:ascii="Times New Roman" w:hAnsi="Times New Roman" w:cs="Times New Roman"/>
          <w:sz w:val="24"/>
        </w:rPr>
        <w:t xml:space="preserve"> but a strategic cornerstone related to long-term survival and value </w:t>
      </w:r>
      <w:r w:rsidR="001C0A10" w:rsidRPr="00CC2922">
        <w:rPr>
          <w:rFonts w:ascii="Times New Roman" w:hAnsi="Times New Roman" w:cs="Times New Roman"/>
          <w:sz w:val="24"/>
        </w:rPr>
        <w:t>creation. (</w:t>
      </w:r>
      <w:r w:rsidR="00260A3B" w:rsidRPr="00CC2922">
        <w:rPr>
          <w:rFonts w:ascii="Times New Roman" w:hAnsi="Times New Roman" w:cs="Times New Roman"/>
          <w:sz w:val="24"/>
        </w:rPr>
        <w:t>Nawaz</w:t>
      </w:r>
      <w:r w:rsidR="00064973" w:rsidRPr="00CC2922">
        <w:rPr>
          <w:rFonts w:ascii="Times New Roman" w:hAnsi="Times New Roman" w:cs="Times New Roman"/>
          <w:sz w:val="24"/>
        </w:rPr>
        <w:t>,2018)</w:t>
      </w:r>
    </w:p>
    <w:p w14:paraId="7284A8FB" w14:textId="77777777" w:rsidR="00260A3B" w:rsidRPr="00CC2922" w:rsidRDefault="00260A3B" w:rsidP="00CC2922">
      <w:pPr>
        <w:spacing w:line="360" w:lineRule="auto"/>
        <w:rPr>
          <w:rFonts w:ascii="Times New Roman" w:hAnsi="Times New Roman" w:cs="Times New Roman"/>
          <w:sz w:val="24"/>
        </w:rPr>
      </w:pPr>
    </w:p>
    <w:p w14:paraId="52E8B6F3" w14:textId="4C877A1F" w:rsidR="00260A3B" w:rsidRPr="00CC2922" w:rsidRDefault="001C0A10"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In recent years, issues such as extreme weather caused by global climate deterioration, sharp decline in biodiversity, and depletion of non-renewable resources have significantly impacted people’s lives. Data from the United Nations Environment Program (UNEP) shows that while the growth rate of global carbon emissions slowed down in 2023 (now projected at 3%), emissions must be reduced by 28% by 2030 to stay on track for the Paris Agreement’s 2°C target, and by 42% to have a chance of achieving the 1.5°C goal. Economic losses incurred by enterprises due to extreme climate events have exceeded 100 billion US dollars annually (UNEP, 2023). In response to this situation, countries around the world have vigorously introduced relevant measures to address environmental degradation. For example, the Implementation Rules for the Carbon Border Adjustment Mechanism (CBAM) </w:t>
      </w:r>
      <w:r w:rsidRPr="00CC2922">
        <w:rPr>
          <w:rFonts w:ascii="Times New Roman" w:hAnsi="Times New Roman" w:cs="Times New Roman"/>
          <w:sz w:val="24"/>
        </w:rPr>
        <w:lastRenderedPageBreak/>
        <w:t>published on the official website of the European Commission clearly specifies the industries covered by the policy, carbon accounting standards, and implementation timeline. The Action Plan for Carbon Peaking Before 2030, jointly issued by China’s National Development and Reform Commission and other departments, supports the argument for the "rigorous assessment of the dual carbon goals. “The traditional management model pursuing profit maximization can no longer meet the requirements of ecological transformation. Environmental dimension practices in sustainability management, such as carbon footprint tracking and application of circular economy models, have become the basic prerequisite for organizations to avoid compliance risks.</w:t>
      </w:r>
    </w:p>
    <w:p w14:paraId="11B3BB71" w14:textId="77777777" w:rsidR="00064973" w:rsidRPr="00CC2922" w:rsidRDefault="00064973" w:rsidP="00CC2922">
      <w:pPr>
        <w:spacing w:line="360" w:lineRule="auto"/>
        <w:rPr>
          <w:rFonts w:ascii="Times New Roman" w:hAnsi="Times New Roman" w:cs="Times New Roman"/>
          <w:sz w:val="24"/>
        </w:rPr>
      </w:pPr>
    </w:p>
    <w:p w14:paraId="4AECC7B7" w14:textId="44C966F3" w:rsidR="009B602E" w:rsidRPr="00CC2922" w:rsidRDefault="009B602E"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Aim: </w:t>
      </w:r>
      <w:r w:rsidR="001C0A10" w:rsidRPr="00CC2922">
        <w:rPr>
          <w:rFonts w:ascii="Times New Roman" w:hAnsi="Times New Roman" w:cs="Times New Roman"/>
          <w:sz w:val="24"/>
        </w:rPr>
        <w:t>To explore the sustainability management challenges faced by organizations amid contemporary environmental transformations and propose solutions for sustainability management.</w:t>
      </w:r>
    </w:p>
    <w:p w14:paraId="56AC761E" w14:textId="77777777" w:rsidR="009B602E" w:rsidRPr="00CC2922" w:rsidRDefault="009B602E" w:rsidP="00CC2922">
      <w:pPr>
        <w:spacing w:line="360" w:lineRule="auto"/>
        <w:rPr>
          <w:rFonts w:ascii="Times New Roman" w:hAnsi="Times New Roman" w:cs="Times New Roman"/>
          <w:sz w:val="24"/>
        </w:rPr>
      </w:pPr>
    </w:p>
    <w:p w14:paraId="70D88ADD" w14:textId="3E5436E6" w:rsidR="009B602E" w:rsidRPr="00CC2922" w:rsidRDefault="009B602E" w:rsidP="00CC2922">
      <w:pPr>
        <w:spacing w:line="360" w:lineRule="auto"/>
        <w:rPr>
          <w:rFonts w:ascii="Times New Roman" w:hAnsi="Times New Roman" w:cs="Times New Roman"/>
          <w:sz w:val="24"/>
        </w:rPr>
      </w:pPr>
      <w:r w:rsidRPr="00CC2922">
        <w:rPr>
          <w:rFonts w:ascii="Times New Roman" w:hAnsi="Times New Roman" w:cs="Times New Roman"/>
          <w:sz w:val="24"/>
        </w:rPr>
        <w:t>Objectives:</w:t>
      </w:r>
    </w:p>
    <w:p w14:paraId="187FF1A1" w14:textId="6B08D500" w:rsidR="00F94C37" w:rsidRPr="00CC2922" w:rsidRDefault="00F94C37"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Analyze the intrinsic correlation between contemporary transformations and enterprises’ sustainability management </w:t>
      </w:r>
      <w:r w:rsidR="00CC2922" w:rsidRPr="00CC2922">
        <w:rPr>
          <w:rFonts w:ascii="Times New Roman" w:hAnsi="Times New Roman" w:cs="Times New Roman"/>
          <w:sz w:val="24"/>
        </w:rPr>
        <w:t>practices.</w:t>
      </w:r>
    </w:p>
    <w:p w14:paraId="7F655D71" w14:textId="54D312AC" w:rsidR="00F94C37" w:rsidRPr="00CC2922" w:rsidRDefault="00F94C37"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Evaluate the formulation, implementation processes, and effectiveness of current enterprises’ sustainability management </w:t>
      </w:r>
      <w:r w:rsidR="00CC2922" w:rsidRPr="00CC2922">
        <w:rPr>
          <w:rFonts w:ascii="Times New Roman" w:hAnsi="Times New Roman" w:cs="Times New Roman"/>
          <w:sz w:val="24"/>
        </w:rPr>
        <w:t>strategies.</w:t>
      </w:r>
    </w:p>
    <w:p w14:paraId="64A865E2" w14:textId="2F76F8B0" w:rsidR="009B602E" w:rsidRPr="00CC2922" w:rsidRDefault="00F94C37" w:rsidP="00CC2922">
      <w:pPr>
        <w:spacing w:line="360" w:lineRule="auto"/>
        <w:rPr>
          <w:rFonts w:ascii="Times New Roman" w:hAnsi="Times New Roman" w:cs="Times New Roman"/>
          <w:sz w:val="24"/>
        </w:rPr>
      </w:pPr>
      <w:r w:rsidRPr="00CC2922">
        <w:rPr>
          <w:rFonts w:ascii="Times New Roman" w:hAnsi="Times New Roman" w:cs="Times New Roman"/>
          <w:sz w:val="24"/>
        </w:rPr>
        <w:t>Propose recommendations for sustainability management measures to facilitate the development of modern enterprises.</w:t>
      </w:r>
    </w:p>
    <w:p w14:paraId="49768106" w14:textId="77777777" w:rsidR="00DD51C7" w:rsidRPr="00CC2922" w:rsidRDefault="00DD51C7" w:rsidP="00CC2922">
      <w:pPr>
        <w:spacing w:line="360" w:lineRule="auto"/>
        <w:rPr>
          <w:rFonts w:ascii="Times New Roman" w:hAnsi="Times New Roman" w:cs="Times New Roman" w:hint="eastAsia"/>
          <w:sz w:val="24"/>
        </w:rPr>
      </w:pPr>
    </w:p>
    <w:p w14:paraId="220FE0B9" w14:textId="364647A6" w:rsidR="009B602E" w:rsidRPr="00CC2922" w:rsidRDefault="009B602E" w:rsidP="00CC2922">
      <w:pPr>
        <w:spacing w:line="360" w:lineRule="auto"/>
        <w:rPr>
          <w:rFonts w:ascii="Times New Roman" w:hAnsi="Times New Roman" w:cs="Times New Roman"/>
          <w:sz w:val="24"/>
        </w:rPr>
      </w:pPr>
      <w:r w:rsidRPr="00CC2922">
        <w:rPr>
          <w:rFonts w:ascii="Times New Roman" w:hAnsi="Times New Roman" w:cs="Times New Roman"/>
          <w:sz w:val="24"/>
        </w:rPr>
        <w:t>Theory:</w:t>
      </w:r>
    </w:p>
    <w:p w14:paraId="0A4C2A7F" w14:textId="4D7DE261" w:rsidR="009B602E" w:rsidRPr="00CC2922" w:rsidRDefault="00F94C37"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The circular economy theory emphasizes a closed-loop "reduce-reuse-recycle" circular economic model, which is more sustainable compared to the traditional linear </w:t>
      </w:r>
      <w:r w:rsidRPr="00CC2922">
        <w:rPr>
          <w:rFonts w:ascii="Times New Roman" w:hAnsi="Times New Roman" w:cs="Times New Roman"/>
          <w:sz w:val="24"/>
        </w:rPr>
        <w:lastRenderedPageBreak/>
        <w:t>economic model.</w:t>
      </w:r>
      <w:r w:rsidRPr="00CC2922">
        <w:rPr>
          <w:rFonts w:ascii="Times New Roman" w:hAnsi="Times New Roman" w:cs="Times New Roman"/>
          <w:sz w:val="24"/>
        </w:rPr>
        <w:tab/>
        <w:t>(Korhonen</w:t>
      </w:r>
      <w:r w:rsidRPr="00CC2922">
        <w:rPr>
          <w:rFonts w:ascii="Times New Roman" w:hAnsi="Times New Roman" w:cs="Times New Roman"/>
          <w:sz w:val="24"/>
        </w:rPr>
        <w:t>，</w:t>
      </w:r>
      <w:r w:rsidRPr="00CC2922">
        <w:rPr>
          <w:rFonts w:ascii="Times New Roman" w:hAnsi="Times New Roman" w:cs="Times New Roman"/>
          <w:sz w:val="24"/>
        </w:rPr>
        <w:t>2018</w:t>
      </w:r>
      <w:r w:rsidRPr="00CC2922">
        <w:rPr>
          <w:rFonts w:ascii="Times New Roman" w:hAnsi="Times New Roman" w:cs="Times New Roman"/>
          <w:sz w:val="24"/>
        </w:rPr>
        <w:t>）</w:t>
      </w:r>
    </w:p>
    <w:p w14:paraId="1A342323" w14:textId="77777777" w:rsidR="00DD51C7" w:rsidRPr="00CC2922" w:rsidRDefault="00DD51C7" w:rsidP="00CC2922">
      <w:pPr>
        <w:spacing w:line="360" w:lineRule="auto"/>
        <w:rPr>
          <w:rFonts w:ascii="Times New Roman" w:hAnsi="Times New Roman" w:cs="Times New Roman"/>
          <w:sz w:val="24"/>
        </w:rPr>
      </w:pPr>
    </w:p>
    <w:p w14:paraId="03F5EEF4" w14:textId="49CF5299" w:rsidR="00DD51C7" w:rsidRPr="00CC2922" w:rsidRDefault="00DD51C7" w:rsidP="00CC2922">
      <w:pPr>
        <w:spacing w:line="360" w:lineRule="auto"/>
        <w:rPr>
          <w:rFonts w:ascii="Times New Roman" w:hAnsi="Times New Roman" w:cs="Times New Roman"/>
          <w:sz w:val="24"/>
        </w:rPr>
      </w:pPr>
      <w:r w:rsidRPr="00CC2922">
        <w:rPr>
          <w:rFonts w:ascii="Times New Roman" w:hAnsi="Times New Roman" w:cs="Times New Roman"/>
          <w:sz w:val="24"/>
        </w:rPr>
        <w:t>The stakeholder theory emphasizes that enterprises should balance the interests of all stakeholders, including shareholders, employees, communities, and consumers, rather than being accountable solely to shareholders. (Parmar, 2010)</w:t>
      </w:r>
    </w:p>
    <w:p w14:paraId="521F8300" w14:textId="77777777" w:rsidR="009B602E" w:rsidRPr="00CC2922" w:rsidRDefault="009B602E" w:rsidP="00CC2922">
      <w:pPr>
        <w:spacing w:line="360" w:lineRule="auto"/>
        <w:rPr>
          <w:rFonts w:ascii="Times New Roman" w:hAnsi="Times New Roman" w:cs="Times New Roman"/>
          <w:sz w:val="24"/>
        </w:rPr>
      </w:pPr>
    </w:p>
    <w:p w14:paraId="0450430D" w14:textId="2D1EFBD1" w:rsidR="00F94C37" w:rsidRPr="00CC2922" w:rsidRDefault="00DD51C7"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Sustainable Development Theory: In 1987, the World Commission on Environment and Development (WCED) drafted a report on human development entitled </w:t>
      </w:r>
      <w:r w:rsidRPr="00CC2922">
        <w:rPr>
          <w:rFonts w:ascii="Times New Roman" w:hAnsi="Times New Roman" w:cs="Times New Roman"/>
          <w:i/>
          <w:iCs/>
          <w:sz w:val="24"/>
        </w:rPr>
        <w:t>Our Common Future</w:t>
      </w:r>
      <w:r w:rsidRPr="00CC2922">
        <w:rPr>
          <w:rFonts w:ascii="Times New Roman" w:hAnsi="Times New Roman" w:cs="Times New Roman"/>
          <w:sz w:val="24"/>
        </w:rPr>
        <w:t>, which first systematically articulated the definition of Sustainable Development (SD). SD is defined as "development that meets the needs of the present without compromising the ability of future generations to meet their own needs."(Brundtland, 1987)</w:t>
      </w:r>
    </w:p>
    <w:p w14:paraId="1C0D7050" w14:textId="77777777" w:rsidR="001C0A10" w:rsidRPr="00CC2922" w:rsidRDefault="001C0A10" w:rsidP="00CC2922">
      <w:pPr>
        <w:spacing w:line="360" w:lineRule="auto"/>
        <w:rPr>
          <w:rFonts w:ascii="Times New Roman" w:hAnsi="Times New Roman" w:cs="Times New Roman"/>
          <w:sz w:val="24"/>
        </w:rPr>
      </w:pPr>
    </w:p>
    <w:p w14:paraId="7AB50E59" w14:textId="1C4D55CB" w:rsidR="00DD51C7" w:rsidRPr="00CC2922" w:rsidRDefault="00DD51C7" w:rsidP="00CC2922">
      <w:pPr>
        <w:spacing w:line="360" w:lineRule="auto"/>
        <w:rPr>
          <w:rFonts w:ascii="Times New Roman" w:hAnsi="Times New Roman" w:cs="Times New Roman"/>
          <w:sz w:val="24"/>
        </w:rPr>
      </w:pPr>
      <w:r w:rsidRPr="00CC2922">
        <w:rPr>
          <w:rFonts w:ascii="Times New Roman" w:hAnsi="Times New Roman" w:cs="Times New Roman"/>
          <w:sz w:val="24"/>
        </w:rPr>
        <w:t>The core of the Triple Bottom Line (TBL) theory is that enterprises should simultaneously meet the "economic bottom line (profit), social bottom line (fairness), and environmental bottom line (ecology)" and measure sustainable performance through three-dimensional indicators.</w:t>
      </w:r>
      <w:r w:rsidR="009C6DDF" w:rsidRPr="00CC2922">
        <w:rPr>
          <w:rFonts w:ascii="Times New Roman" w:hAnsi="Times New Roman" w:cs="Times New Roman"/>
          <w:sz w:val="24"/>
        </w:rPr>
        <w:t xml:space="preserve"> (Hammer, 2017)</w:t>
      </w:r>
    </w:p>
    <w:p w14:paraId="207B46B6" w14:textId="77777777" w:rsidR="009C6DDF" w:rsidRPr="00CC2922" w:rsidRDefault="009C6DDF" w:rsidP="00CC2922">
      <w:pPr>
        <w:spacing w:line="360" w:lineRule="auto"/>
        <w:rPr>
          <w:rFonts w:ascii="Times New Roman" w:hAnsi="Times New Roman" w:cs="Times New Roman"/>
          <w:sz w:val="24"/>
        </w:rPr>
      </w:pPr>
    </w:p>
    <w:p w14:paraId="231E5741" w14:textId="77777777" w:rsidR="00FE00F6" w:rsidRPr="00CC2922" w:rsidRDefault="00FE00F6" w:rsidP="00CC2922">
      <w:pPr>
        <w:spacing w:line="360" w:lineRule="auto"/>
        <w:rPr>
          <w:rFonts w:ascii="Times New Roman" w:hAnsi="Times New Roman" w:cs="Times New Roman"/>
          <w:sz w:val="24"/>
        </w:rPr>
      </w:pPr>
      <w:r w:rsidRPr="00CC2922">
        <w:rPr>
          <w:rFonts w:ascii="Times New Roman" w:hAnsi="Times New Roman" w:cs="Times New Roman"/>
          <w:sz w:val="24"/>
        </w:rPr>
        <w:t>References:</w:t>
      </w:r>
    </w:p>
    <w:p w14:paraId="21D4E485" w14:textId="5E06136E" w:rsidR="001C0A10" w:rsidRPr="00CC2922" w:rsidRDefault="00FE00F6" w:rsidP="00CC2922">
      <w:pPr>
        <w:spacing w:line="360" w:lineRule="auto"/>
        <w:rPr>
          <w:rFonts w:ascii="Times New Roman" w:hAnsi="Times New Roman" w:cs="Times New Roman"/>
          <w:sz w:val="24"/>
        </w:rPr>
      </w:pPr>
      <w:r w:rsidRPr="00CC2922">
        <w:rPr>
          <w:rFonts w:ascii="Times New Roman" w:hAnsi="Times New Roman" w:cs="Times New Roman"/>
          <w:sz w:val="24"/>
        </w:rPr>
        <w:t>Fischer, J., Manning, A. D., Steffen, W., Rose, D. B., Daniell, K., Felton, A., ... and Wade, A. (2007). Mind the sustainability gap. Trends in ecology and evolution, 22(12), 621-624.</w:t>
      </w:r>
    </w:p>
    <w:p w14:paraId="28410915" w14:textId="440EAFF5" w:rsidR="001C0A10" w:rsidRPr="00CC2922" w:rsidRDefault="00FE00F6"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Li, T. T., Wang, K., Sueyoshi, T., &amp; Wang, D. D. (2021). ESG: Research progress and </w:t>
      </w:r>
      <w:proofErr w:type="gramStart"/>
      <w:r w:rsidRPr="00CC2922">
        <w:rPr>
          <w:rFonts w:ascii="Times New Roman" w:hAnsi="Times New Roman" w:cs="Times New Roman"/>
          <w:sz w:val="24"/>
        </w:rPr>
        <w:t>future prospects</w:t>
      </w:r>
      <w:proofErr w:type="gramEnd"/>
      <w:r w:rsidRPr="00CC2922">
        <w:rPr>
          <w:rFonts w:ascii="Times New Roman" w:hAnsi="Times New Roman" w:cs="Times New Roman"/>
          <w:sz w:val="24"/>
        </w:rPr>
        <w:t xml:space="preserve">. </w:t>
      </w:r>
      <w:r w:rsidRPr="00CC2922">
        <w:rPr>
          <w:rFonts w:ascii="Times New Roman" w:hAnsi="Times New Roman" w:cs="Times New Roman"/>
          <w:i/>
          <w:iCs/>
          <w:sz w:val="24"/>
        </w:rPr>
        <w:t>Sustainability</w:t>
      </w:r>
      <w:r w:rsidRPr="00CC2922">
        <w:rPr>
          <w:rFonts w:ascii="Times New Roman" w:hAnsi="Times New Roman" w:cs="Times New Roman"/>
          <w:sz w:val="24"/>
        </w:rPr>
        <w:t xml:space="preserve">, </w:t>
      </w:r>
      <w:r w:rsidRPr="00CC2922">
        <w:rPr>
          <w:rFonts w:ascii="Times New Roman" w:hAnsi="Times New Roman" w:cs="Times New Roman"/>
          <w:i/>
          <w:iCs/>
          <w:sz w:val="24"/>
        </w:rPr>
        <w:t>13</w:t>
      </w:r>
      <w:r w:rsidRPr="00CC2922">
        <w:rPr>
          <w:rFonts w:ascii="Times New Roman" w:hAnsi="Times New Roman" w:cs="Times New Roman"/>
          <w:sz w:val="24"/>
        </w:rPr>
        <w:t>(21), 11663.</w:t>
      </w:r>
    </w:p>
    <w:p w14:paraId="11BC8DA1" w14:textId="7B8A1A33" w:rsidR="00FE00F6" w:rsidRPr="00CC2922" w:rsidRDefault="00FE00F6"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Nawaz, W., &amp; Koç, M. (2018). Development of a systematic framework for </w:t>
      </w:r>
      <w:r w:rsidRPr="00CC2922">
        <w:rPr>
          <w:rFonts w:ascii="Times New Roman" w:hAnsi="Times New Roman" w:cs="Times New Roman"/>
          <w:sz w:val="24"/>
        </w:rPr>
        <w:lastRenderedPageBreak/>
        <w:t xml:space="preserve">sustainability management of organizations. </w:t>
      </w:r>
      <w:r w:rsidRPr="00CC2922">
        <w:rPr>
          <w:rFonts w:ascii="Times New Roman" w:hAnsi="Times New Roman" w:cs="Times New Roman"/>
          <w:i/>
          <w:iCs/>
          <w:sz w:val="24"/>
        </w:rPr>
        <w:t>Journal of cleaner production</w:t>
      </w:r>
      <w:r w:rsidRPr="00CC2922">
        <w:rPr>
          <w:rFonts w:ascii="Times New Roman" w:hAnsi="Times New Roman" w:cs="Times New Roman"/>
          <w:sz w:val="24"/>
        </w:rPr>
        <w:t xml:space="preserve">, </w:t>
      </w:r>
      <w:r w:rsidRPr="00CC2922">
        <w:rPr>
          <w:rFonts w:ascii="Times New Roman" w:hAnsi="Times New Roman" w:cs="Times New Roman"/>
          <w:i/>
          <w:iCs/>
          <w:sz w:val="24"/>
        </w:rPr>
        <w:t>171</w:t>
      </w:r>
      <w:r w:rsidRPr="00CC2922">
        <w:rPr>
          <w:rFonts w:ascii="Times New Roman" w:hAnsi="Times New Roman" w:cs="Times New Roman"/>
          <w:sz w:val="24"/>
        </w:rPr>
        <w:t>, 1255-1274.</w:t>
      </w:r>
    </w:p>
    <w:p w14:paraId="786D469E" w14:textId="10EE539D" w:rsidR="00FE00F6" w:rsidRPr="00CC2922" w:rsidRDefault="00FE00F6"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United Nations Environment Programme. (2023). Emissions gap report 2023: Broken record – Temperatures hit new highs, yet world fails to cut emissions (again). </w:t>
      </w:r>
      <w:hyperlink r:id="rId6" w:history="1">
        <w:r w:rsidRPr="00CC2922">
          <w:rPr>
            <w:rStyle w:val="ae"/>
            <w:rFonts w:ascii="Times New Roman" w:hAnsi="Times New Roman" w:cs="Times New Roman"/>
            <w:sz w:val="24"/>
          </w:rPr>
          <w:t>https://wedocs.unep.org/handle/20.500.11822/43922</w:t>
        </w:r>
      </w:hyperlink>
    </w:p>
    <w:p w14:paraId="693A1FE1" w14:textId="738DE7DC" w:rsidR="00FE00F6" w:rsidRPr="00CC2922" w:rsidRDefault="00FE00F6" w:rsidP="00CC2922">
      <w:pPr>
        <w:spacing w:line="360" w:lineRule="auto"/>
        <w:rPr>
          <w:rFonts w:ascii="Times New Roman" w:hAnsi="Times New Roman" w:cs="Times New Roman"/>
          <w:sz w:val="24"/>
        </w:rPr>
      </w:pPr>
      <w:r w:rsidRPr="00CC2922">
        <w:rPr>
          <w:rFonts w:ascii="Times New Roman" w:hAnsi="Times New Roman" w:cs="Times New Roman"/>
          <w:sz w:val="24"/>
        </w:rPr>
        <w:t>European Commission. (2023, August 17). Commission adopts detailed reporting rules for the Carbon Border Adjustment Mechanism’s transitional phase (Regulation (EU) 2023/956). Taxation and Customs Union. https://taxation-customs.ec.europa.eu/news/commission-adopts-detailed-reporting-rules-carbon-border-adjustment-mechanisms-transitional-phase-2023-08-17_en</w:t>
      </w:r>
    </w:p>
    <w:p w14:paraId="058AAE41" w14:textId="324C950E" w:rsidR="00FE00F6" w:rsidRPr="00CC2922" w:rsidRDefault="00FE00F6" w:rsidP="00CC2922">
      <w:pPr>
        <w:spacing w:line="360" w:lineRule="auto"/>
        <w:rPr>
          <w:rFonts w:ascii="Times New Roman" w:hAnsi="Times New Roman" w:cs="Times New Roman"/>
          <w:sz w:val="24"/>
        </w:rPr>
      </w:pPr>
      <w:r w:rsidRPr="00CC2922">
        <w:rPr>
          <w:rFonts w:ascii="Times New Roman" w:hAnsi="Times New Roman" w:cs="Times New Roman"/>
          <w:sz w:val="24"/>
        </w:rPr>
        <w:t>State Council of the People's Republic of China. (2021). Action plan for carbon peaking before 2030 (Guo Fa</w:t>
      </w:r>
      <w:r w:rsidRPr="00CC2922">
        <w:rPr>
          <w:rFonts w:ascii="Times New Roman" w:hAnsi="Times New Roman" w:cs="Times New Roman"/>
          <w:sz w:val="24"/>
        </w:rPr>
        <w:t>〔</w:t>
      </w:r>
      <w:r w:rsidRPr="00CC2922">
        <w:rPr>
          <w:rFonts w:ascii="Times New Roman" w:hAnsi="Times New Roman" w:cs="Times New Roman"/>
          <w:sz w:val="24"/>
        </w:rPr>
        <w:t>2021</w:t>
      </w:r>
      <w:r w:rsidRPr="00CC2922">
        <w:rPr>
          <w:rFonts w:ascii="Times New Roman" w:hAnsi="Times New Roman" w:cs="Times New Roman"/>
          <w:sz w:val="24"/>
        </w:rPr>
        <w:t>〕</w:t>
      </w:r>
      <w:r w:rsidRPr="00CC2922">
        <w:rPr>
          <w:rFonts w:ascii="Times New Roman" w:hAnsi="Times New Roman" w:cs="Times New Roman"/>
          <w:sz w:val="24"/>
        </w:rPr>
        <w:t xml:space="preserve">No.23). Chinese Government Network. </w:t>
      </w:r>
      <w:hyperlink r:id="rId7" w:history="1">
        <w:r w:rsidR="00F94C37" w:rsidRPr="00CC2922">
          <w:rPr>
            <w:rStyle w:val="ae"/>
            <w:rFonts w:ascii="Times New Roman" w:hAnsi="Times New Roman" w:cs="Times New Roman"/>
            <w:sz w:val="24"/>
          </w:rPr>
          <w:t>https://www.gov.cn/xinwen/2021-10/26/content_5645001.htm</w:t>
        </w:r>
      </w:hyperlink>
    </w:p>
    <w:p w14:paraId="6B37107F" w14:textId="1D474544" w:rsidR="00F94C37" w:rsidRPr="00CC2922" w:rsidRDefault="00F94C37"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Korhonen, J., Honkasalo, A., &amp; Seppälä, J. (2018). Circular economy: the concept and its limitations. </w:t>
      </w:r>
      <w:r w:rsidRPr="00CC2922">
        <w:rPr>
          <w:rFonts w:ascii="Times New Roman" w:hAnsi="Times New Roman" w:cs="Times New Roman"/>
          <w:i/>
          <w:iCs/>
          <w:sz w:val="24"/>
        </w:rPr>
        <w:t>Ecological economics</w:t>
      </w:r>
      <w:r w:rsidRPr="00CC2922">
        <w:rPr>
          <w:rFonts w:ascii="Times New Roman" w:hAnsi="Times New Roman" w:cs="Times New Roman"/>
          <w:sz w:val="24"/>
        </w:rPr>
        <w:t xml:space="preserve">, </w:t>
      </w:r>
      <w:r w:rsidRPr="00CC2922">
        <w:rPr>
          <w:rFonts w:ascii="Times New Roman" w:hAnsi="Times New Roman" w:cs="Times New Roman"/>
          <w:i/>
          <w:iCs/>
          <w:sz w:val="24"/>
        </w:rPr>
        <w:t>143</w:t>
      </w:r>
      <w:r w:rsidRPr="00CC2922">
        <w:rPr>
          <w:rFonts w:ascii="Times New Roman" w:hAnsi="Times New Roman" w:cs="Times New Roman"/>
          <w:sz w:val="24"/>
        </w:rPr>
        <w:t>, 37-46.</w:t>
      </w:r>
    </w:p>
    <w:p w14:paraId="098A2129" w14:textId="4A460B74" w:rsidR="00F94C37" w:rsidRPr="00CC2922" w:rsidRDefault="00DD51C7" w:rsidP="00CC2922">
      <w:pPr>
        <w:spacing w:line="360" w:lineRule="auto"/>
        <w:rPr>
          <w:rFonts w:ascii="Times New Roman" w:hAnsi="Times New Roman" w:cs="Times New Roman"/>
          <w:sz w:val="24"/>
        </w:rPr>
      </w:pPr>
      <w:r w:rsidRPr="00CC2922">
        <w:rPr>
          <w:rFonts w:ascii="Times New Roman" w:hAnsi="Times New Roman" w:cs="Times New Roman"/>
          <w:sz w:val="24"/>
        </w:rPr>
        <w:t>Parmar, B. L., Freeman, R. E., Harrison, J. S., Wicks, A. C., Purnell, L., &amp; De Colle, S. (2010). Stakeholder theory: The state of the art. Academy of Management Annals, 4(1), 403-445.</w:t>
      </w:r>
    </w:p>
    <w:p w14:paraId="50ACE442" w14:textId="3D7F1C52" w:rsidR="00DD51C7" w:rsidRPr="00CC2922" w:rsidRDefault="00DD51C7"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Brundtland, G. H., &amp; Khalid, M. (1987). </w:t>
      </w:r>
      <w:r w:rsidRPr="00CC2922">
        <w:rPr>
          <w:rFonts w:ascii="Times New Roman" w:hAnsi="Times New Roman" w:cs="Times New Roman"/>
          <w:i/>
          <w:iCs/>
          <w:sz w:val="24"/>
        </w:rPr>
        <w:t>Our common future</w:t>
      </w:r>
      <w:r w:rsidRPr="00CC2922">
        <w:rPr>
          <w:rFonts w:ascii="Times New Roman" w:hAnsi="Times New Roman" w:cs="Times New Roman"/>
          <w:sz w:val="24"/>
        </w:rPr>
        <w:t>. Oxford University Press, Oxford, GB.</w:t>
      </w:r>
    </w:p>
    <w:p w14:paraId="276FC8DD" w14:textId="5733F224" w:rsidR="009C6DDF" w:rsidRPr="00CC2922" w:rsidRDefault="009C6DDF" w:rsidP="00CC2922">
      <w:pPr>
        <w:spacing w:line="360" w:lineRule="auto"/>
        <w:rPr>
          <w:rFonts w:ascii="Times New Roman" w:hAnsi="Times New Roman" w:cs="Times New Roman"/>
          <w:sz w:val="24"/>
        </w:rPr>
      </w:pPr>
      <w:r w:rsidRPr="00CC2922">
        <w:rPr>
          <w:rFonts w:ascii="Times New Roman" w:hAnsi="Times New Roman" w:cs="Times New Roman"/>
          <w:sz w:val="24"/>
        </w:rPr>
        <w:t xml:space="preserve">Hammer, J., &amp; Pivo, G. (2017). The triple bottom line and sustainable economic development theory and practice. </w:t>
      </w:r>
      <w:r w:rsidRPr="00CC2922">
        <w:rPr>
          <w:rFonts w:ascii="Times New Roman" w:hAnsi="Times New Roman" w:cs="Times New Roman"/>
          <w:i/>
          <w:iCs/>
          <w:sz w:val="24"/>
        </w:rPr>
        <w:t>Economic Development Quarterly</w:t>
      </w:r>
      <w:r w:rsidRPr="00CC2922">
        <w:rPr>
          <w:rFonts w:ascii="Times New Roman" w:hAnsi="Times New Roman" w:cs="Times New Roman"/>
          <w:sz w:val="24"/>
        </w:rPr>
        <w:t xml:space="preserve">, </w:t>
      </w:r>
      <w:r w:rsidRPr="00CC2922">
        <w:rPr>
          <w:rFonts w:ascii="Times New Roman" w:hAnsi="Times New Roman" w:cs="Times New Roman"/>
          <w:i/>
          <w:iCs/>
          <w:sz w:val="24"/>
        </w:rPr>
        <w:t>31</w:t>
      </w:r>
      <w:r w:rsidRPr="00CC2922">
        <w:rPr>
          <w:rFonts w:ascii="Times New Roman" w:hAnsi="Times New Roman" w:cs="Times New Roman"/>
          <w:sz w:val="24"/>
        </w:rPr>
        <w:t>(1), 25-36.</w:t>
      </w:r>
    </w:p>
    <w:sectPr w:rsidR="009C6DDF" w:rsidRPr="00CC292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C01C1" w14:textId="77777777" w:rsidR="005541A4" w:rsidRDefault="005541A4" w:rsidP="00CC2922">
      <w:pPr>
        <w:spacing w:after="0" w:line="240" w:lineRule="auto"/>
        <w:rPr>
          <w:rFonts w:hint="eastAsia"/>
        </w:rPr>
      </w:pPr>
      <w:r>
        <w:separator/>
      </w:r>
    </w:p>
  </w:endnote>
  <w:endnote w:type="continuationSeparator" w:id="0">
    <w:p w14:paraId="3C6D271B" w14:textId="77777777" w:rsidR="005541A4" w:rsidRDefault="005541A4" w:rsidP="00CC292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D0EB6" w14:textId="77777777" w:rsidR="00CC2922" w:rsidRDefault="00CC2922">
    <w:pPr>
      <w:pStyle w:val="af2"/>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F75C2" w14:textId="77777777" w:rsidR="00CC2922" w:rsidRDefault="00CC2922">
    <w:pPr>
      <w:pStyle w:val="af2"/>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A146A" w14:textId="77777777" w:rsidR="00CC2922" w:rsidRDefault="00CC2922">
    <w:pPr>
      <w:pStyle w:val="af2"/>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103ED" w14:textId="77777777" w:rsidR="005541A4" w:rsidRDefault="005541A4" w:rsidP="00CC2922">
      <w:pPr>
        <w:spacing w:after="0" w:line="240" w:lineRule="auto"/>
        <w:rPr>
          <w:rFonts w:hint="eastAsia"/>
        </w:rPr>
      </w:pPr>
      <w:r>
        <w:separator/>
      </w:r>
    </w:p>
  </w:footnote>
  <w:footnote w:type="continuationSeparator" w:id="0">
    <w:p w14:paraId="05496339" w14:textId="77777777" w:rsidR="005541A4" w:rsidRDefault="005541A4" w:rsidP="00CC2922">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265D5" w14:textId="77777777" w:rsidR="00CC2922" w:rsidRDefault="00CC2922">
    <w:pPr>
      <w:pStyle w:val="af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C65DD" w14:textId="77777777" w:rsidR="00CC2922" w:rsidRDefault="00CC2922">
    <w:pPr>
      <w:pStyle w:val="af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EF09D" w14:textId="77777777" w:rsidR="00CC2922" w:rsidRDefault="00CC2922">
    <w:pPr>
      <w:pStyle w:val="af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9FE"/>
    <w:rsid w:val="00030043"/>
    <w:rsid w:val="00064973"/>
    <w:rsid w:val="00083708"/>
    <w:rsid w:val="001C0A10"/>
    <w:rsid w:val="00260A3B"/>
    <w:rsid w:val="005541A4"/>
    <w:rsid w:val="008305CB"/>
    <w:rsid w:val="008B3FFF"/>
    <w:rsid w:val="009B602E"/>
    <w:rsid w:val="009C6DDF"/>
    <w:rsid w:val="00AF4124"/>
    <w:rsid w:val="00CC2922"/>
    <w:rsid w:val="00DD51C7"/>
    <w:rsid w:val="00F109FE"/>
    <w:rsid w:val="00F94C37"/>
    <w:rsid w:val="00FE00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677294"/>
  <w15:chartTrackingRefBased/>
  <w15:docId w15:val="{15EDD632-6351-43A8-ACFD-D76EFF115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109F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109F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109F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109F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109FE"/>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109FE"/>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109FE"/>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109FE"/>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109FE"/>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109F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109F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109F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109FE"/>
    <w:rPr>
      <w:rFonts w:cstheme="majorBidi"/>
      <w:color w:val="0F4761" w:themeColor="accent1" w:themeShade="BF"/>
      <w:sz w:val="28"/>
      <w:szCs w:val="28"/>
    </w:rPr>
  </w:style>
  <w:style w:type="character" w:customStyle="1" w:styleId="50">
    <w:name w:val="标题 5 字符"/>
    <w:basedOn w:val="a0"/>
    <w:link w:val="5"/>
    <w:uiPriority w:val="9"/>
    <w:semiHidden/>
    <w:rsid w:val="00F109FE"/>
    <w:rPr>
      <w:rFonts w:cstheme="majorBidi"/>
      <w:color w:val="0F4761" w:themeColor="accent1" w:themeShade="BF"/>
      <w:sz w:val="24"/>
    </w:rPr>
  </w:style>
  <w:style w:type="character" w:customStyle="1" w:styleId="60">
    <w:name w:val="标题 6 字符"/>
    <w:basedOn w:val="a0"/>
    <w:link w:val="6"/>
    <w:uiPriority w:val="9"/>
    <w:semiHidden/>
    <w:rsid w:val="00F109FE"/>
    <w:rPr>
      <w:rFonts w:cstheme="majorBidi"/>
      <w:b/>
      <w:bCs/>
      <w:color w:val="0F4761" w:themeColor="accent1" w:themeShade="BF"/>
    </w:rPr>
  </w:style>
  <w:style w:type="character" w:customStyle="1" w:styleId="70">
    <w:name w:val="标题 7 字符"/>
    <w:basedOn w:val="a0"/>
    <w:link w:val="7"/>
    <w:uiPriority w:val="9"/>
    <w:semiHidden/>
    <w:rsid w:val="00F109FE"/>
    <w:rPr>
      <w:rFonts w:cstheme="majorBidi"/>
      <w:b/>
      <w:bCs/>
      <w:color w:val="595959" w:themeColor="text1" w:themeTint="A6"/>
    </w:rPr>
  </w:style>
  <w:style w:type="character" w:customStyle="1" w:styleId="80">
    <w:name w:val="标题 8 字符"/>
    <w:basedOn w:val="a0"/>
    <w:link w:val="8"/>
    <w:uiPriority w:val="9"/>
    <w:semiHidden/>
    <w:rsid w:val="00F109FE"/>
    <w:rPr>
      <w:rFonts w:cstheme="majorBidi"/>
      <w:color w:val="595959" w:themeColor="text1" w:themeTint="A6"/>
    </w:rPr>
  </w:style>
  <w:style w:type="character" w:customStyle="1" w:styleId="90">
    <w:name w:val="标题 9 字符"/>
    <w:basedOn w:val="a0"/>
    <w:link w:val="9"/>
    <w:uiPriority w:val="9"/>
    <w:semiHidden/>
    <w:rsid w:val="00F109FE"/>
    <w:rPr>
      <w:rFonts w:eastAsiaTheme="majorEastAsia" w:cstheme="majorBidi"/>
      <w:color w:val="595959" w:themeColor="text1" w:themeTint="A6"/>
    </w:rPr>
  </w:style>
  <w:style w:type="paragraph" w:styleId="a3">
    <w:name w:val="Title"/>
    <w:basedOn w:val="a"/>
    <w:next w:val="a"/>
    <w:link w:val="a4"/>
    <w:uiPriority w:val="10"/>
    <w:qFormat/>
    <w:rsid w:val="00F109F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109F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109F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109F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109FE"/>
    <w:pPr>
      <w:spacing w:before="160"/>
      <w:jc w:val="center"/>
    </w:pPr>
    <w:rPr>
      <w:i/>
      <w:iCs/>
      <w:color w:val="404040" w:themeColor="text1" w:themeTint="BF"/>
    </w:rPr>
  </w:style>
  <w:style w:type="character" w:customStyle="1" w:styleId="a8">
    <w:name w:val="引用 字符"/>
    <w:basedOn w:val="a0"/>
    <w:link w:val="a7"/>
    <w:uiPriority w:val="29"/>
    <w:rsid w:val="00F109FE"/>
    <w:rPr>
      <w:i/>
      <w:iCs/>
      <w:color w:val="404040" w:themeColor="text1" w:themeTint="BF"/>
    </w:rPr>
  </w:style>
  <w:style w:type="paragraph" w:styleId="a9">
    <w:name w:val="List Paragraph"/>
    <w:basedOn w:val="a"/>
    <w:uiPriority w:val="34"/>
    <w:qFormat/>
    <w:rsid w:val="00F109FE"/>
    <w:pPr>
      <w:ind w:left="720"/>
      <w:contextualSpacing/>
    </w:pPr>
  </w:style>
  <w:style w:type="character" w:styleId="aa">
    <w:name w:val="Intense Emphasis"/>
    <w:basedOn w:val="a0"/>
    <w:uiPriority w:val="21"/>
    <w:qFormat/>
    <w:rsid w:val="00F109FE"/>
    <w:rPr>
      <w:i/>
      <w:iCs/>
      <w:color w:val="0F4761" w:themeColor="accent1" w:themeShade="BF"/>
    </w:rPr>
  </w:style>
  <w:style w:type="paragraph" w:styleId="ab">
    <w:name w:val="Intense Quote"/>
    <w:basedOn w:val="a"/>
    <w:next w:val="a"/>
    <w:link w:val="ac"/>
    <w:uiPriority w:val="30"/>
    <w:qFormat/>
    <w:rsid w:val="00F109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109FE"/>
    <w:rPr>
      <w:i/>
      <w:iCs/>
      <w:color w:val="0F4761" w:themeColor="accent1" w:themeShade="BF"/>
    </w:rPr>
  </w:style>
  <w:style w:type="character" w:styleId="ad">
    <w:name w:val="Intense Reference"/>
    <w:basedOn w:val="a0"/>
    <w:uiPriority w:val="32"/>
    <w:qFormat/>
    <w:rsid w:val="00F109FE"/>
    <w:rPr>
      <w:b/>
      <w:bCs/>
      <w:smallCaps/>
      <w:color w:val="0F4761" w:themeColor="accent1" w:themeShade="BF"/>
      <w:spacing w:val="5"/>
    </w:rPr>
  </w:style>
  <w:style w:type="character" w:styleId="ae">
    <w:name w:val="Hyperlink"/>
    <w:basedOn w:val="a0"/>
    <w:uiPriority w:val="99"/>
    <w:unhideWhenUsed/>
    <w:rsid w:val="00FE00F6"/>
    <w:rPr>
      <w:color w:val="467886" w:themeColor="hyperlink"/>
      <w:u w:val="single"/>
    </w:rPr>
  </w:style>
  <w:style w:type="character" w:styleId="af">
    <w:name w:val="Unresolved Mention"/>
    <w:basedOn w:val="a0"/>
    <w:uiPriority w:val="99"/>
    <w:semiHidden/>
    <w:unhideWhenUsed/>
    <w:rsid w:val="00FE00F6"/>
    <w:rPr>
      <w:color w:val="605E5C"/>
      <w:shd w:val="clear" w:color="auto" w:fill="E1DFDD"/>
    </w:rPr>
  </w:style>
  <w:style w:type="paragraph" w:styleId="af0">
    <w:name w:val="header"/>
    <w:basedOn w:val="a"/>
    <w:link w:val="af1"/>
    <w:uiPriority w:val="99"/>
    <w:unhideWhenUsed/>
    <w:rsid w:val="00CC2922"/>
    <w:pPr>
      <w:tabs>
        <w:tab w:val="center" w:pos="4153"/>
        <w:tab w:val="right" w:pos="8306"/>
      </w:tabs>
      <w:snapToGrid w:val="0"/>
      <w:spacing w:line="240" w:lineRule="auto"/>
      <w:jc w:val="center"/>
    </w:pPr>
    <w:rPr>
      <w:sz w:val="18"/>
      <w:szCs w:val="18"/>
    </w:rPr>
  </w:style>
  <w:style w:type="character" w:customStyle="1" w:styleId="af1">
    <w:name w:val="页眉 字符"/>
    <w:basedOn w:val="a0"/>
    <w:link w:val="af0"/>
    <w:uiPriority w:val="99"/>
    <w:rsid w:val="00CC2922"/>
    <w:rPr>
      <w:sz w:val="18"/>
      <w:szCs w:val="18"/>
    </w:rPr>
  </w:style>
  <w:style w:type="paragraph" w:styleId="af2">
    <w:name w:val="footer"/>
    <w:basedOn w:val="a"/>
    <w:link w:val="af3"/>
    <w:uiPriority w:val="99"/>
    <w:unhideWhenUsed/>
    <w:rsid w:val="00CC2922"/>
    <w:pPr>
      <w:tabs>
        <w:tab w:val="center" w:pos="4153"/>
        <w:tab w:val="right" w:pos="8306"/>
      </w:tabs>
      <w:snapToGrid w:val="0"/>
      <w:spacing w:line="240" w:lineRule="auto"/>
    </w:pPr>
    <w:rPr>
      <w:sz w:val="18"/>
      <w:szCs w:val="18"/>
    </w:rPr>
  </w:style>
  <w:style w:type="character" w:customStyle="1" w:styleId="af3">
    <w:name w:val="页脚 字符"/>
    <w:basedOn w:val="a0"/>
    <w:link w:val="af2"/>
    <w:uiPriority w:val="99"/>
    <w:rsid w:val="00CC292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gov.cn/xinwen/2021-10/26/content_5645001.htm"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edocs.unep.org/handle/20.500.11822/43922"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252</TotalTime>
  <Pages>4</Pages>
  <Words>840</Words>
  <Characters>5525</Characters>
  <Application>Microsoft Office Word</Application>
  <DocSecurity>0</DocSecurity>
  <Lines>102</Lines>
  <Paragraphs>29</Paragraphs>
  <ScaleCrop>false</ScaleCrop>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Guangzheng Wu (2501013)</dc:creator>
  <cp:keywords/>
  <dc:description/>
  <cp:lastModifiedBy>Guangzheng Wu (2501013)</cp:lastModifiedBy>
  <cp:revision>3</cp:revision>
  <dcterms:created xsi:type="dcterms:W3CDTF">2025-11-14T09:48:00Z</dcterms:created>
  <dcterms:modified xsi:type="dcterms:W3CDTF">2025-11-14T14:06:00Z</dcterms:modified>
</cp:coreProperties>
</file>