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u w:val="thick"/>
        </w:rPr>
        <w:id w:val="1098681966"/>
        <w:docPartObj>
          <w:docPartGallery w:val="Cover Pages"/>
          <w:docPartUnique/>
        </w:docPartObj>
      </w:sdtPr>
      <w:sdtEndPr>
        <w:rPr>
          <w:rFonts w:ascii="Arial Black" w:hAnsi="Arial Black" w:cs="Arial"/>
          <w:b/>
          <w:bCs/>
          <w:sz w:val="52"/>
          <w:szCs w:val="52"/>
          <w:u w:val="none"/>
        </w:rPr>
      </w:sdtEndPr>
      <w:sdtContent>
        <w:p w14:paraId="1CD71D0B" w14:textId="77777777" w:rsidR="003171B4" w:rsidRPr="003171B4" w:rsidRDefault="003171B4" w:rsidP="00FA1850">
          <w:pPr>
            <w:jc w:val="center"/>
            <w:rPr>
              <w:u w:val="thick"/>
            </w:rPr>
          </w:pPr>
        </w:p>
        <w:p w14:paraId="2C078908" w14:textId="77777777" w:rsidR="003171B4" w:rsidRPr="003171B4" w:rsidRDefault="003171B4" w:rsidP="00FA1850">
          <w:pPr>
            <w:jc w:val="center"/>
            <w:rPr>
              <w:u w:val="thick"/>
            </w:rPr>
          </w:pPr>
        </w:p>
        <w:p w14:paraId="01CF1FA9" w14:textId="0381F7AE" w:rsidR="00FA1850" w:rsidRPr="003171B4" w:rsidRDefault="00FA1850" w:rsidP="00FA1850">
          <w:pPr>
            <w:jc w:val="center"/>
            <w:rPr>
              <w:rFonts w:ascii="Arial Black" w:hAnsi="Arial Black"/>
              <w:sz w:val="52"/>
              <w:szCs w:val="52"/>
              <w:u w:val="thick"/>
            </w:rPr>
          </w:pPr>
          <w:r w:rsidRPr="003171B4">
            <w:rPr>
              <w:rFonts w:ascii="Arial Black" w:hAnsi="Arial Black"/>
              <w:sz w:val="52"/>
              <w:szCs w:val="52"/>
              <w:u w:val="thick"/>
            </w:rPr>
            <w:t>Student name:</w:t>
          </w:r>
          <w:r w:rsidRPr="003171B4">
            <w:rPr>
              <w:rFonts w:ascii="Arial Black" w:hAnsi="Arial Black"/>
              <w:sz w:val="52"/>
              <w:szCs w:val="52"/>
              <w:u w:val="thick"/>
            </w:rPr>
            <w:t xml:space="preserve"> Simona Acatrine</w:t>
          </w:r>
        </w:p>
        <w:p w14:paraId="01FE4A19" w14:textId="17E40C02" w:rsidR="00FA1850" w:rsidRPr="003171B4" w:rsidRDefault="00FA1850" w:rsidP="00FA1850">
          <w:pPr>
            <w:jc w:val="center"/>
            <w:rPr>
              <w:rFonts w:ascii="Arial Black" w:hAnsi="Arial Black"/>
              <w:sz w:val="52"/>
              <w:szCs w:val="52"/>
              <w:u w:val="thick"/>
            </w:rPr>
          </w:pPr>
          <w:r w:rsidRPr="003171B4">
            <w:rPr>
              <w:rFonts w:ascii="Arial Black" w:hAnsi="Arial Black"/>
              <w:sz w:val="52"/>
              <w:szCs w:val="52"/>
              <w:u w:val="thick"/>
            </w:rPr>
            <w:t>Programme:</w:t>
          </w:r>
          <w:r w:rsidRPr="003171B4">
            <w:rPr>
              <w:rFonts w:ascii="Arial Black" w:hAnsi="Arial Black"/>
              <w:sz w:val="52"/>
              <w:szCs w:val="52"/>
              <w:u w:val="thick"/>
            </w:rPr>
            <w:tab/>
            <w:t>BA/HND Business and Management</w:t>
          </w:r>
        </w:p>
        <w:p w14:paraId="136D614D" w14:textId="47C3ABAC" w:rsidR="00FA1850" w:rsidRPr="003171B4" w:rsidRDefault="00FA1850" w:rsidP="00FA1850">
          <w:pPr>
            <w:jc w:val="center"/>
            <w:rPr>
              <w:rFonts w:ascii="Arial Black" w:hAnsi="Arial Black"/>
              <w:sz w:val="52"/>
              <w:szCs w:val="52"/>
              <w:u w:val="thick"/>
            </w:rPr>
          </w:pPr>
          <w:r w:rsidRPr="003171B4">
            <w:rPr>
              <w:rFonts w:ascii="Arial Black" w:hAnsi="Arial Black"/>
              <w:sz w:val="52"/>
              <w:szCs w:val="52"/>
              <w:u w:val="thick"/>
            </w:rPr>
            <w:t>Module:</w:t>
          </w:r>
          <w:r w:rsidRPr="003171B4">
            <w:rPr>
              <w:rFonts w:ascii="Arial Black" w:hAnsi="Arial Black"/>
              <w:sz w:val="52"/>
              <w:szCs w:val="52"/>
              <w:u w:val="thick"/>
            </w:rPr>
            <w:t xml:space="preserve"> </w:t>
          </w:r>
          <w:r w:rsidRPr="003171B4">
            <w:rPr>
              <w:rFonts w:ascii="Arial Black" w:hAnsi="Arial Black"/>
              <w:sz w:val="52"/>
              <w:szCs w:val="52"/>
              <w:u w:val="thick"/>
            </w:rPr>
            <w:t xml:space="preserve">Financial Management </w:t>
          </w:r>
          <w:r w:rsidRPr="003171B4">
            <w:rPr>
              <w:rFonts w:ascii="Arial Black" w:hAnsi="Arial Black"/>
              <w:sz w:val="52"/>
              <w:szCs w:val="52"/>
              <w:u w:val="thick"/>
            </w:rPr>
            <w:t>for</w:t>
          </w:r>
          <w:r w:rsidRPr="003171B4">
            <w:rPr>
              <w:rFonts w:ascii="Arial Black" w:hAnsi="Arial Black"/>
              <w:sz w:val="52"/>
              <w:szCs w:val="52"/>
              <w:u w:val="thick"/>
            </w:rPr>
            <w:t xml:space="preserve"> Business Sustainability</w:t>
          </w:r>
        </w:p>
        <w:p w14:paraId="663A84A2" w14:textId="16152C96" w:rsidR="00FA1850" w:rsidRPr="003171B4" w:rsidRDefault="00FA1850" w:rsidP="00FA1850">
          <w:pPr>
            <w:jc w:val="center"/>
            <w:rPr>
              <w:rFonts w:ascii="Arial Black" w:hAnsi="Arial Black"/>
              <w:sz w:val="52"/>
              <w:szCs w:val="52"/>
              <w:u w:val="thick"/>
            </w:rPr>
          </w:pPr>
          <w:r w:rsidRPr="003171B4">
            <w:rPr>
              <w:rFonts w:ascii="Arial Black" w:hAnsi="Arial Black"/>
              <w:sz w:val="52"/>
              <w:szCs w:val="52"/>
              <w:u w:val="thick"/>
            </w:rPr>
            <w:t>Module code:</w:t>
          </w:r>
          <w:r w:rsidRPr="003171B4">
            <w:rPr>
              <w:rFonts w:ascii="Arial Black" w:hAnsi="Arial Black"/>
              <w:sz w:val="52"/>
              <w:szCs w:val="52"/>
              <w:u w:val="thick"/>
            </w:rPr>
            <w:t xml:space="preserve"> </w:t>
          </w:r>
          <w:r w:rsidRPr="003171B4">
            <w:rPr>
              <w:rFonts w:ascii="Arial Black" w:hAnsi="Arial Black"/>
              <w:sz w:val="52"/>
              <w:szCs w:val="52"/>
              <w:u w:val="thick"/>
            </w:rPr>
            <w:t>BMSP4011</w:t>
          </w:r>
        </w:p>
        <w:p w14:paraId="6DFF1FDF" w14:textId="7E41040D" w:rsidR="00FA1850" w:rsidRPr="003171B4" w:rsidRDefault="00FA1850" w:rsidP="00FA1850">
          <w:pPr>
            <w:jc w:val="center"/>
            <w:rPr>
              <w:rFonts w:ascii="Arial Black" w:hAnsi="Arial Black"/>
              <w:sz w:val="52"/>
              <w:szCs w:val="52"/>
              <w:u w:val="thick"/>
            </w:rPr>
          </w:pPr>
          <w:r w:rsidRPr="003171B4">
            <w:rPr>
              <w:rFonts w:ascii="Arial Black" w:hAnsi="Arial Black"/>
              <w:sz w:val="52"/>
              <w:szCs w:val="52"/>
              <w:u w:val="thick"/>
            </w:rPr>
            <w:t>Lecturer:</w:t>
          </w:r>
          <w:r w:rsidRPr="003171B4">
            <w:rPr>
              <w:rFonts w:ascii="Arial Black" w:hAnsi="Arial Black"/>
              <w:sz w:val="52"/>
              <w:szCs w:val="52"/>
              <w:u w:val="thick"/>
            </w:rPr>
            <w:t xml:space="preserve"> </w:t>
          </w:r>
          <w:r w:rsidRPr="003171B4">
            <w:rPr>
              <w:rFonts w:ascii="Arial Black" w:hAnsi="Arial Black"/>
              <w:sz w:val="52"/>
              <w:szCs w:val="52"/>
              <w:u w:val="thick"/>
            </w:rPr>
            <w:t>Navdeep Randhawa</w:t>
          </w:r>
        </w:p>
        <w:p w14:paraId="7544546E" w14:textId="6F76A0A6" w:rsidR="00FA1850" w:rsidRPr="003171B4" w:rsidRDefault="00FA1850" w:rsidP="00FA1850">
          <w:pPr>
            <w:jc w:val="center"/>
            <w:rPr>
              <w:rFonts w:ascii="Arial Black" w:hAnsi="Arial Black"/>
              <w:sz w:val="52"/>
              <w:szCs w:val="52"/>
              <w:u w:val="thick"/>
            </w:rPr>
          </w:pPr>
          <w:r w:rsidRPr="003171B4">
            <w:rPr>
              <w:rFonts w:ascii="Arial Black" w:hAnsi="Arial Black"/>
              <w:sz w:val="52"/>
              <w:szCs w:val="52"/>
              <w:u w:val="thick"/>
            </w:rPr>
            <w:t>Assignment Title:</w:t>
          </w:r>
          <w:r w:rsidRPr="003171B4">
            <w:rPr>
              <w:rFonts w:ascii="Arial Black" w:hAnsi="Arial Black"/>
              <w:sz w:val="52"/>
              <w:szCs w:val="52"/>
              <w:u w:val="thick"/>
            </w:rPr>
            <w:tab/>
            <w:t>Financial Analysis</w:t>
          </w:r>
        </w:p>
        <w:p w14:paraId="2A64BA1B" w14:textId="12219E3D" w:rsidR="00FA1850" w:rsidRPr="00FA1850" w:rsidRDefault="00FA1850" w:rsidP="00FA1850">
          <w:pPr>
            <w:jc w:val="center"/>
            <w:rPr>
              <w:rFonts w:ascii="Arial Black" w:hAnsi="Arial Black" w:cs="Arial"/>
              <w:b/>
              <w:bCs/>
              <w:sz w:val="52"/>
              <w:szCs w:val="52"/>
            </w:rPr>
          </w:pPr>
          <w:r w:rsidRPr="00FA1850">
            <w:rPr>
              <w:rFonts w:ascii="Arial Black" w:hAnsi="Arial Black" w:cs="Arial"/>
              <w:b/>
              <w:bCs/>
              <w:sz w:val="52"/>
              <w:szCs w:val="52"/>
            </w:rPr>
            <w:br w:type="page"/>
          </w:r>
        </w:p>
      </w:sdtContent>
    </w:sdt>
    <w:p w14:paraId="1EA564B2" w14:textId="7A29A325" w:rsidR="00D65F2C" w:rsidRPr="00D65F2C" w:rsidRDefault="00D65F2C" w:rsidP="00D65F2C">
      <w:pPr>
        <w:spacing w:line="480" w:lineRule="auto"/>
        <w:rPr>
          <w:rFonts w:ascii="Arial" w:hAnsi="Arial" w:cs="Arial"/>
          <w:b/>
          <w:bCs/>
        </w:rPr>
      </w:pPr>
      <w:r w:rsidRPr="00D65F2C">
        <w:rPr>
          <w:rFonts w:ascii="Arial" w:hAnsi="Arial" w:cs="Arial"/>
          <w:b/>
          <w:bCs/>
        </w:rPr>
        <w:lastRenderedPageBreak/>
        <w:t>Introduction</w:t>
      </w:r>
    </w:p>
    <w:p w14:paraId="4A14D243" w14:textId="77777777" w:rsidR="00D65F2C" w:rsidRPr="00D65F2C" w:rsidRDefault="00D65F2C" w:rsidP="00D65F2C">
      <w:pPr>
        <w:spacing w:line="480" w:lineRule="auto"/>
        <w:rPr>
          <w:rFonts w:ascii="Arial" w:hAnsi="Arial" w:cs="Arial"/>
        </w:rPr>
      </w:pPr>
    </w:p>
    <w:p w14:paraId="1BD326C3" w14:textId="53AA8BE5" w:rsidR="00D65F2C" w:rsidRPr="00D65F2C" w:rsidRDefault="00D65F2C" w:rsidP="00D65F2C">
      <w:pPr>
        <w:spacing w:line="480" w:lineRule="auto"/>
        <w:rPr>
          <w:rFonts w:ascii="Arial" w:hAnsi="Arial" w:cs="Arial"/>
        </w:rPr>
      </w:pPr>
      <w:r w:rsidRPr="00D65F2C">
        <w:rPr>
          <w:rFonts w:ascii="Arial" w:hAnsi="Arial" w:cs="Arial"/>
        </w:rPr>
        <w:t>Analy</w:t>
      </w:r>
      <w:r>
        <w:rPr>
          <w:rFonts w:ascii="Arial" w:hAnsi="Arial" w:cs="Arial"/>
        </w:rPr>
        <w:t>s</w:t>
      </w:r>
      <w:r w:rsidRPr="00D65F2C">
        <w:rPr>
          <w:rFonts w:ascii="Arial" w:hAnsi="Arial" w:cs="Arial"/>
        </w:rPr>
        <w:t>ing financial statements is a crucial tool used by various parties to evaluate how financially sound the organi</w:t>
      </w:r>
      <w:r>
        <w:rPr>
          <w:rFonts w:ascii="Arial" w:hAnsi="Arial" w:cs="Arial"/>
        </w:rPr>
        <w:t>s</w:t>
      </w:r>
      <w:r w:rsidRPr="00D65F2C">
        <w:rPr>
          <w:rFonts w:ascii="Arial" w:hAnsi="Arial" w:cs="Arial"/>
        </w:rPr>
        <w:t>ation in question is. It allows investors, managers, and other parties interested in the company's work to analy</w:t>
      </w:r>
      <w:r>
        <w:rPr>
          <w:rFonts w:ascii="Arial" w:hAnsi="Arial" w:cs="Arial"/>
        </w:rPr>
        <w:t>s</w:t>
      </w:r>
      <w:r w:rsidRPr="00D65F2C">
        <w:rPr>
          <w:rFonts w:ascii="Arial" w:hAnsi="Arial" w:cs="Arial"/>
        </w:rPr>
        <w:t xml:space="preserve">e profitability, liquidity, efficiency, and financial stability, as well as assess the changes in the company's performance over time (Olayinka, 2022). Ratio analysis is especially useful because it translates data into things that can be compared with others on the market, though ratios are often </w:t>
      </w:r>
      <w:r w:rsidRPr="00D65F2C">
        <w:rPr>
          <w:rFonts w:ascii="Arial" w:hAnsi="Arial" w:cs="Arial"/>
        </w:rPr>
        <w:t>considered</w:t>
      </w:r>
      <w:r w:rsidRPr="00D65F2C">
        <w:rPr>
          <w:rFonts w:ascii="Arial" w:hAnsi="Arial" w:cs="Arial"/>
        </w:rPr>
        <w:t xml:space="preserve"> together with more content information pertaining to not only finances but also to operations and strategy (</w:t>
      </w:r>
      <w:proofErr w:type="spellStart"/>
      <w:r w:rsidRPr="00D65F2C">
        <w:rPr>
          <w:rFonts w:ascii="Arial" w:hAnsi="Arial" w:cs="Arial"/>
        </w:rPr>
        <w:t>Fridson</w:t>
      </w:r>
      <w:proofErr w:type="spellEnd"/>
      <w:r w:rsidRPr="00D65F2C">
        <w:rPr>
          <w:rFonts w:ascii="Arial" w:hAnsi="Arial" w:cs="Arial"/>
        </w:rPr>
        <w:t xml:space="preserve"> &amp; Alvarez, 2022). Proper financial control and management implies that companies can understand what costs and resources are being used and how effective these resources are (Maheshwari et al., 2024).</w:t>
      </w:r>
    </w:p>
    <w:p w14:paraId="4CD2D1D1" w14:textId="2120A222" w:rsidR="00D65F2C" w:rsidRPr="00D65F2C" w:rsidRDefault="00D65F2C" w:rsidP="00D65F2C">
      <w:pPr>
        <w:spacing w:line="480" w:lineRule="auto"/>
        <w:rPr>
          <w:rFonts w:ascii="Arial" w:hAnsi="Arial" w:cs="Arial"/>
        </w:rPr>
      </w:pPr>
      <w:r w:rsidRPr="00D65F2C">
        <w:rPr>
          <w:rFonts w:ascii="Arial" w:hAnsi="Arial" w:cs="Arial"/>
        </w:rPr>
        <w:t xml:space="preserve">This analysis evaluates the financial performance of Tesco PLC for two financial years ending in February 2024 and February 2025. Tesco is a multinational grocery retailer operating mainly in Great Britain, the Republic of Ireland, and Central Europe. The analysis employs the published financial statements to calculate and compare profitability, liquidity, efficiency, cash-flow, and debt ratios. It is important to note that traditional financial ratios should be combined with cash-flow measures </w:t>
      </w:r>
      <w:r w:rsidRPr="00D65F2C">
        <w:rPr>
          <w:rFonts w:ascii="Arial" w:hAnsi="Arial" w:cs="Arial"/>
        </w:rPr>
        <w:t>to</w:t>
      </w:r>
      <w:r w:rsidRPr="00D65F2C">
        <w:rPr>
          <w:rFonts w:ascii="Arial" w:hAnsi="Arial" w:cs="Arial"/>
        </w:rPr>
        <w:t xml:space="preserve"> get a reasonable assessment of the state of finances of the organi</w:t>
      </w:r>
      <w:r>
        <w:rPr>
          <w:rFonts w:ascii="Arial" w:hAnsi="Arial" w:cs="Arial"/>
        </w:rPr>
        <w:t>s</w:t>
      </w:r>
      <w:r w:rsidRPr="00D65F2C">
        <w:rPr>
          <w:rFonts w:ascii="Arial" w:hAnsi="Arial" w:cs="Arial"/>
        </w:rPr>
        <w:t>ation (</w:t>
      </w:r>
      <w:proofErr w:type="spellStart"/>
      <w:r w:rsidRPr="00D65F2C">
        <w:rPr>
          <w:rFonts w:ascii="Arial" w:hAnsi="Arial" w:cs="Arial"/>
        </w:rPr>
        <w:t>Seretidou</w:t>
      </w:r>
      <w:proofErr w:type="spellEnd"/>
      <w:r w:rsidRPr="00D65F2C">
        <w:rPr>
          <w:rFonts w:ascii="Arial" w:hAnsi="Arial" w:cs="Arial"/>
        </w:rPr>
        <w:t xml:space="preserve"> et al., 2025). All figures are taken from the Tesco PLC Annual Reports and Financial Statements for the years 2024 and 2025 (Tesco PLC, 2024; Tesco PLC, 2025)</w:t>
      </w:r>
      <w:r>
        <w:rPr>
          <w:rFonts w:ascii="Arial" w:hAnsi="Arial" w:cs="Arial"/>
        </w:rPr>
        <w:t>.</w:t>
      </w:r>
    </w:p>
    <w:p w14:paraId="0F7CAAFB" w14:textId="77777777" w:rsidR="00D65F2C" w:rsidRDefault="00D65F2C" w:rsidP="00D65F2C">
      <w:pPr>
        <w:spacing w:line="480" w:lineRule="auto"/>
        <w:rPr>
          <w:rFonts w:ascii="Arial" w:hAnsi="Arial" w:cs="Arial"/>
        </w:rPr>
      </w:pPr>
    </w:p>
    <w:p w14:paraId="4EC80E6D" w14:textId="7BF8B675" w:rsidR="00D65F2C" w:rsidRPr="00D65F2C" w:rsidRDefault="00D65F2C" w:rsidP="00D65F2C">
      <w:pPr>
        <w:spacing w:line="480" w:lineRule="auto"/>
        <w:rPr>
          <w:rFonts w:ascii="Arial" w:hAnsi="Arial" w:cs="Arial"/>
          <w:b/>
          <w:bCs/>
        </w:rPr>
      </w:pPr>
      <w:r w:rsidRPr="00D65F2C">
        <w:rPr>
          <w:rFonts w:ascii="Arial" w:hAnsi="Arial" w:cs="Arial"/>
          <w:b/>
          <w:bCs/>
        </w:rPr>
        <w:lastRenderedPageBreak/>
        <w:t>Ratio Analysis</w:t>
      </w:r>
    </w:p>
    <w:tbl>
      <w:tblPr>
        <w:tblStyle w:val="GridTable1Light-Accent3"/>
        <w:tblW w:w="8949" w:type="dxa"/>
        <w:tblLook w:val="04A0" w:firstRow="1" w:lastRow="0" w:firstColumn="1" w:lastColumn="0" w:noHBand="0" w:noVBand="1"/>
      </w:tblPr>
      <w:tblGrid>
        <w:gridCol w:w="5643"/>
        <w:gridCol w:w="1653"/>
        <w:gridCol w:w="1653"/>
      </w:tblGrid>
      <w:tr w:rsidR="00D65F2C" w:rsidRPr="00FA1850" w14:paraId="022BC0BD" w14:textId="77777777" w:rsidTr="00FA1850">
        <w:trPr>
          <w:cnfStyle w:val="100000000000" w:firstRow="1" w:lastRow="0" w:firstColumn="0" w:lastColumn="0" w:oddVBand="0" w:evenVBand="0" w:oddHBand="0"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0" w:type="auto"/>
            <w:hideMark/>
          </w:tcPr>
          <w:p w14:paraId="41561420" w14:textId="77777777" w:rsidR="00D65F2C" w:rsidRPr="00FA1850" w:rsidRDefault="00D65F2C" w:rsidP="00D65F2C">
            <w:pPr>
              <w:jc w:val="center"/>
              <w:rPr>
                <w:rFonts w:ascii="Arial Black" w:eastAsia="Times New Roman" w:hAnsi="Arial Black" w:cs="Times New Roman"/>
                <w:kern w:val="0"/>
                <w14:ligatures w14:val="none"/>
              </w:rPr>
            </w:pPr>
            <w:r w:rsidRPr="00FA1850">
              <w:rPr>
                <w:rFonts w:ascii="Arial Black" w:eastAsia="Times New Roman" w:hAnsi="Arial Black" w:cs="Times New Roman"/>
                <w:kern w:val="0"/>
                <w14:ligatures w14:val="none"/>
              </w:rPr>
              <w:t>Financial ratio</w:t>
            </w:r>
          </w:p>
        </w:tc>
        <w:tc>
          <w:tcPr>
            <w:tcW w:w="0" w:type="auto"/>
            <w:hideMark/>
          </w:tcPr>
          <w:p w14:paraId="1E4EF6E1" w14:textId="77777777" w:rsidR="00D65F2C" w:rsidRPr="00FA1850" w:rsidRDefault="00D65F2C" w:rsidP="00D65F2C">
            <w:pPr>
              <w:jc w:val="right"/>
              <w:cnfStyle w:val="100000000000" w:firstRow="1" w:lastRow="0" w:firstColumn="0" w:lastColumn="0" w:oddVBand="0" w:evenVBand="0" w:oddHBand="0" w:evenHBand="0" w:firstRowFirstColumn="0" w:firstRowLastColumn="0" w:lastRowFirstColumn="0" w:lastRowLastColumn="0"/>
              <w:rPr>
                <w:rFonts w:ascii="Arial Black" w:eastAsia="Times New Roman" w:hAnsi="Arial Black" w:cs="Times New Roman"/>
                <w:kern w:val="0"/>
                <w14:ligatures w14:val="none"/>
              </w:rPr>
            </w:pPr>
            <w:r w:rsidRPr="00FA1850">
              <w:rPr>
                <w:rFonts w:ascii="Arial Black" w:eastAsia="Times New Roman" w:hAnsi="Arial Black" w:cs="Times New Roman"/>
                <w:kern w:val="0"/>
                <w14:ligatures w14:val="none"/>
              </w:rPr>
              <w:t>2024</w:t>
            </w:r>
          </w:p>
        </w:tc>
        <w:tc>
          <w:tcPr>
            <w:tcW w:w="0" w:type="auto"/>
            <w:hideMark/>
          </w:tcPr>
          <w:p w14:paraId="5661D4C0" w14:textId="77777777" w:rsidR="00D65F2C" w:rsidRPr="00FA1850" w:rsidRDefault="00D65F2C" w:rsidP="00D65F2C">
            <w:pPr>
              <w:jc w:val="right"/>
              <w:cnfStyle w:val="100000000000" w:firstRow="1" w:lastRow="0" w:firstColumn="0" w:lastColumn="0" w:oddVBand="0" w:evenVBand="0" w:oddHBand="0" w:evenHBand="0" w:firstRowFirstColumn="0" w:firstRowLastColumn="0" w:lastRowFirstColumn="0" w:lastRowLastColumn="0"/>
              <w:rPr>
                <w:rFonts w:ascii="Arial Black" w:eastAsia="Times New Roman" w:hAnsi="Arial Black" w:cs="Times New Roman"/>
                <w:kern w:val="0"/>
                <w14:ligatures w14:val="none"/>
              </w:rPr>
            </w:pPr>
            <w:r w:rsidRPr="00FA1850">
              <w:rPr>
                <w:rFonts w:ascii="Arial Black" w:eastAsia="Times New Roman" w:hAnsi="Arial Black" w:cs="Times New Roman"/>
                <w:kern w:val="0"/>
                <w14:ligatures w14:val="none"/>
              </w:rPr>
              <w:t>2025</w:t>
            </w:r>
          </w:p>
        </w:tc>
      </w:tr>
      <w:tr w:rsidR="00D65F2C" w:rsidRPr="00FA1850" w14:paraId="710058CF" w14:textId="77777777" w:rsidTr="00FA1850">
        <w:trPr>
          <w:trHeight w:val="318"/>
        </w:trPr>
        <w:tc>
          <w:tcPr>
            <w:cnfStyle w:val="001000000000" w:firstRow="0" w:lastRow="0" w:firstColumn="1" w:lastColumn="0" w:oddVBand="0" w:evenVBand="0" w:oddHBand="0" w:evenHBand="0" w:firstRowFirstColumn="0" w:firstRowLastColumn="0" w:lastRowFirstColumn="0" w:lastRowLastColumn="0"/>
            <w:tcW w:w="0" w:type="auto"/>
            <w:hideMark/>
          </w:tcPr>
          <w:p w14:paraId="638DD738" w14:textId="77777777" w:rsidR="00D65F2C" w:rsidRPr="00FA1850" w:rsidRDefault="00D65F2C" w:rsidP="00D65F2C">
            <w:pPr>
              <w:rPr>
                <w:rFonts w:ascii="Arial Black" w:eastAsia="Times New Roman" w:hAnsi="Arial Black" w:cs="Times New Roman"/>
                <w:kern w:val="0"/>
                <w14:ligatures w14:val="none"/>
              </w:rPr>
            </w:pPr>
            <w:r w:rsidRPr="00FA1850">
              <w:rPr>
                <w:rFonts w:ascii="Arial Black" w:eastAsia="Times New Roman" w:hAnsi="Arial Black" w:cs="Times New Roman"/>
                <w:kern w:val="0"/>
                <w14:ligatures w14:val="none"/>
              </w:rPr>
              <w:t>Adjusted operating profit margin</w:t>
            </w:r>
          </w:p>
        </w:tc>
        <w:tc>
          <w:tcPr>
            <w:tcW w:w="0" w:type="auto"/>
            <w:hideMark/>
          </w:tcPr>
          <w:p w14:paraId="538660E7" w14:textId="77777777" w:rsidR="00D65F2C" w:rsidRPr="00FA1850" w:rsidRDefault="00D65F2C" w:rsidP="00D65F2C">
            <w:pPr>
              <w:jc w:val="right"/>
              <w:cnfStyle w:val="000000000000" w:firstRow="0" w:lastRow="0" w:firstColumn="0" w:lastColumn="0" w:oddVBand="0" w:evenVBand="0" w:oddHBand="0" w:evenHBand="0" w:firstRowFirstColumn="0" w:firstRowLastColumn="0" w:lastRowFirstColumn="0" w:lastRowLastColumn="0"/>
              <w:rPr>
                <w:rFonts w:ascii="Arial Black" w:eastAsia="Times New Roman" w:hAnsi="Arial Black" w:cs="Times New Roman"/>
                <w:kern w:val="0"/>
                <w14:ligatures w14:val="none"/>
              </w:rPr>
            </w:pPr>
            <w:r w:rsidRPr="00FA1850">
              <w:rPr>
                <w:rFonts w:ascii="Arial Black" w:eastAsia="Times New Roman" w:hAnsi="Arial Black" w:cs="Times New Roman"/>
                <w:kern w:val="0"/>
                <w14:ligatures w14:val="none"/>
              </w:rPr>
              <w:t>4.15%</w:t>
            </w:r>
          </w:p>
        </w:tc>
        <w:tc>
          <w:tcPr>
            <w:tcW w:w="0" w:type="auto"/>
            <w:hideMark/>
          </w:tcPr>
          <w:p w14:paraId="65405B6D" w14:textId="77777777" w:rsidR="00D65F2C" w:rsidRPr="00FA1850" w:rsidRDefault="00D65F2C" w:rsidP="00D65F2C">
            <w:pPr>
              <w:jc w:val="right"/>
              <w:cnfStyle w:val="000000000000" w:firstRow="0" w:lastRow="0" w:firstColumn="0" w:lastColumn="0" w:oddVBand="0" w:evenVBand="0" w:oddHBand="0" w:evenHBand="0" w:firstRowFirstColumn="0" w:firstRowLastColumn="0" w:lastRowFirstColumn="0" w:lastRowLastColumn="0"/>
              <w:rPr>
                <w:rFonts w:ascii="Arial Black" w:eastAsia="Times New Roman" w:hAnsi="Arial Black" w:cs="Times New Roman"/>
                <w:kern w:val="0"/>
                <w14:ligatures w14:val="none"/>
              </w:rPr>
            </w:pPr>
            <w:r w:rsidRPr="00FA1850">
              <w:rPr>
                <w:rFonts w:ascii="Arial Black" w:eastAsia="Times New Roman" w:hAnsi="Arial Black" w:cs="Times New Roman"/>
                <w:kern w:val="0"/>
                <w14:ligatures w14:val="none"/>
              </w:rPr>
              <w:t>4.47%</w:t>
            </w:r>
          </w:p>
        </w:tc>
      </w:tr>
      <w:tr w:rsidR="00D65F2C" w:rsidRPr="00FA1850" w14:paraId="7A5B4DCD" w14:textId="77777777" w:rsidTr="00FA1850">
        <w:trPr>
          <w:trHeight w:val="318"/>
        </w:trPr>
        <w:tc>
          <w:tcPr>
            <w:cnfStyle w:val="001000000000" w:firstRow="0" w:lastRow="0" w:firstColumn="1" w:lastColumn="0" w:oddVBand="0" w:evenVBand="0" w:oddHBand="0" w:evenHBand="0" w:firstRowFirstColumn="0" w:firstRowLastColumn="0" w:lastRowFirstColumn="0" w:lastRowLastColumn="0"/>
            <w:tcW w:w="0" w:type="auto"/>
            <w:hideMark/>
          </w:tcPr>
          <w:p w14:paraId="355BF2D6" w14:textId="77777777" w:rsidR="00D65F2C" w:rsidRPr="00FA1850" w:rsidRDefault="00D65F2C" w:rsidP="00D65F2C">
            <w:pPr>
              <w:rPr>
                <w:rFonts w:ascii="Arial Black" w:eastAsia="Times New Roman" w:hAnsi="Arial Black" w:cs="Times New Roman"/>
                <w:kern w:val="0"/>
                <w14:ligatures w14:val="none"/>
              </w:rPr>
            </w:pPr>
            <w:r w:rsidRPr="00FA1850">
              <w:rPr>
                <w:rFonts w:ascii="Arial Black" w:eastAsia="Times New Roman" w:hAnsi="Arial Black" w:cs="Times New Roman"/>
                <w:kern w:val="0"/>
                <w14:ligatures w14:val="none"/>
              </w:rPr>
              <w:t>Statutory operating profit margin</w:t>
            </w:r>
          </w:p>
        </w:tc>
        <w:tc>
          <w:tcPr>
            <w:tcW w:w="0" w:type="auto"/>
            <w:hideMark/>
          </w:tcPr>
          <w:p w14:paraId="237FDC7A" w14:textId="77777777" w:rsidR="00D65F2C" w:rsidRPr="00FA1850" w:rsidRDefault="00D65F2C" w:rsidP="00D65F2C">
            <w:pPr>
              <w:jc w:val="right"/>
              <w:cnfStyle w:val="000000000000" w:firstRow="0" w:lastRow="0" w:firstColumn="0" w:lastColumn="0" w:oddVBand="0" w:evenVBand="0" w:oddHBand="0" w:evenHBand="0" w:firstRowFirstColumn="0" w:firstRowLastColumn="0" w:lastRowFirstColumn="0" w:lastRowLastColumn="0"/>
              <w:rPr>
                <w:rFonts w:ascii="Arial Black" w:eastAsia="Times New Roman" w:hAnsi="Arial Black" w:cs="Times New Roman"/>
                <w:kern w:val="0"/>
                <w14:ligatures w14:val="none"/>
              </w:rPr>
            </w:pPr>
            <w:r w:rsidRPr="00FA1850">
              <w:rPr>
                <w:rFonts w:ascii="Arial Black" w:eastAsia="Times New Roman" w:hAnsi="Arial Black" w:cs="Times New Roman"/>
                <w:kern w:val="0"/>
                <w14:ligatures w14:val="none"/>
              </w:rPr>
              <w:t>4.14%</w:t>
            </w:r>
          </w:p>
        </w:tc>
        <w:tc>
          <w:tcPr>
            <w:tcW w:w="0" w:type="auto"/>
            <w:hideMark/>
          </w:tcPr>
          <w:p w14:paraId="7B39FAE6" w14:textId="77777777" w:rsidR="00D65F2C" w:rsidRPr="00FA1850" w:rsidRDefault="00D65F2C" w:rsidP="00D65F2C">
            <w:pPr>
              <w:jc w:val="right"/>
              <w:cnfStyle w:val="000000000000" w:firstRow="0" w:lastRow="0" w:firstColumn="0" w:lastColumn="0" w:oddVBand="0" w:evenVBand="0" w:oddHBand="0" w:evenHBand="0" w:firstRowFirstColumn="0" w:firstRowLastColumn="0" w:lastRowFirstColumn="0" w:lastRowLastColumn="0"/>
              <w:rPr>
                <w:rFonts w:ascii="Arial Black" w:eastAsia="Times New Roman" w:hAnsi="Arial Black" w:cs="Times New Roman"/>
                <w:kern w:val="0"/>
                <w14:ligatures w14:val="none"/>
              </w:rPr>
            </w:pPr>
            <w:r w:rsidRPr="00FA1850">
              <w:rPr>
                <w:rFonts w:ascii="Arial Black" w:eastAsia="Times New Roman" w:hAnsi="Arial Black" w:cs="Times New Roman"/>
                <w:kern w:val="0"/>
                <w14:ligatures w14:val="none"/>
              </w:rPr>
              <w:t>3.88%</w:t>
            </w:r>
          </w:p>
        </w:tc>
      </w:tr>
      <w:tr w:rsidR="00D65F2C" w:rsidRPr="00FA1850" w14:paraId="6048BC19" w14:textId="77777777" w:rsidTr="00FA1850">
        <w:trPr>
          <w:trHeight w:val="318"/>
        </w:trPr>
        <w:tc>
          <w:tcPr>
            <w:cnfStyle w:val="001000000000" w:firstRow="0" w:lastRow="0" w:firstColumn="1" w:lastColumn="0" w:oddVBand="0" w:evenVBand="0" w:oddHBand="0" w:evenHBand="0" w:firstRowFirstColumn="0" w:firstRowLastColumn="0" w:lastRowFirstColumn="0" w:lastRowLastColumn="0"/>
            <w:tcW w:w="0" w:type="auto"/>
            <w:hideMark/>
          </w:tcPr>
          <w:p w14:paraId="1BC4A23E" w14:textId="77777777" w:rsidR="00D65F2C" w:rsidRPr="00FA1850" w:rsidRDefault="00D65F2C" w:rsidP="00D65F2C">
            <w:pPr>
              <w:rPr>
                <w:rFonts w:ascii="Arial Black" w:eastAsia="Times New Roman" w:hAnsi="Arial Black" w:cs="Times New Roman"/>
                <w:kern w:val="0"/>
                <w14:ligatures w14:val="none"/>
              </w:rPr>
            </w:pPr>
            <w:r w:rsidRPr="00FA1850">
              <w:rPr>
                <w:rFonts w:ascii="Arial Black" w:eastAsia="Times New Roman" w:hAnsi="Arial Black" w:cs="Times New Roman"/>
                <w:kern w:val="0"/>
                <w14:ligatures w14:val="none"/>
              </w:rPr>
              <w:t>Current ratio</w:t>
            </w:r>
          </w:p>
        </w:tc>
        <w:tc>
          <w:tcPr>
            <w:tcW w:w="0" w:type="auto"/>
            <w:hideMark/>
          </w:tcPr>
          <w:p w14:paraId="6190E63C" w14:textId="77777777" w:rsidR="00D65F2C" w:rsidRPr="00FA1850" w:rsidRDefault="00D65F2C" w:rsidP="00D65F2C">
            <w:pPr>
              <w:jc w:val="right"/>
              <w:cnfStyle w:val="000000000000" w:firstRow="0" w:lastRow="0" w:firstColumn="0" w:lastColumn="0" w:oddVBand="0" w:evenVBand="0" w:oddHBand="0" w:evenHBand="0" w:firstRowFirstColumn="0" w:firstRowLastColumn="0" w:lastRowFirstColumn="0" w:lastRowLastColumn="0"/>
              <w:rPr>
                <w:rFonts w:ascii="Arial Black" w:eastAsia="Times New Roman" w:hAnsi="Arial Black" w:cs="Times New Roman"/>
                <w:kern w:val="0"/>
                <w14:ligatures w14:val="none"/>
              </w:rPr>
            </w:pPr>
            <w:r w:rsidRPr="00FA1850">
              <w:rPr>
                <w:rFonts w:ascii="Arial Black" w:eastAsia="Times New Roman" w:hAnsi="Arial Black" w:cs="Times New Roman"/>
                <w:kern w:val="0"/>
                <w14:ligatures w14:val="none"/>
              </w:rPr>
              <w:t>0.66:1</w:t>
            </w:r>
          </w:p>
        </w:tc>
        <w:tc>
          <w:tcPr>
            <w:tcW w:w="0" w:type="auto"/>
            <w:hideMark/>
          </w:tcPr>
          <w:p w14:paraId="0EDD711A" w14:textId="77777777" w:rsidR="00D65F2C" w:rsidRPr="00FA1850" w:rsidRDefault="00D65F2C" w:rsidP="00D65F2C">
            <w:pPr>
              <w:jc w:val="right"/>
              <w:cnfStyle w:val="000000000000" w:firstRow="0" w:lastRow="0" w:firstColumn="0" w:lastColumn="0" w:oddVBand="0" w:evenVBand="0" w:oddHBand="0" w:evenHBand="0" w:firstRowFirstColumn="0" w:firstRowLastColumn="0" w:lastRowFirstColumn="0" w:lastRowLastColumn="0"/>
              <w:rPr>
                <w:rFonts w:ascii="Arial Black" w:eastAsia="Times New Roman" w:hAnsi="Arial Black" w:cs="Times New Roman"/>
                <w:kern w:val="0"/>
                <w14:ligatures w14:val="none"/>
              </w:rPr>
            </w:pPr>
            <w:r w:rsidRPr="00FA1850">
              <w:rPr>
                <w:rFonts w:ascii="Arial Black" w:eastAsia="Times New Roman" w:hAnsi="Arial Black" w:cs="Times New Roman"/>
                <w:kern w:val="0"/>
                <w14:ligatures w14:val="none"/>
              </w:rPr>
              <w:t>0.64:1</w:t>
            </w:r>
          </w:p>
        </w:tc>
      </w:tr>
      <w:tr w:rsidR="00D65F2C" w:rsidRPr="00FA1850" w14:paraId="73DEBD97" w14:textId="77777777" w:rsidTr="00FA1850">
        <w:trPr>
          <w:trHeight w:val="318"/>
        </w:trPr>
        <w:tc>
          <w:tcPr>
            <w:cnfStyle w:val="001000000000" w:firstRow="0" w:lastRow="0" w:firstColumn="1" w:lastColumn="0" w:oddVBand="0" w:evenVBand="0" w:oddHBand="0" w:evenHBand="0" w:firstRowFirstColumn="0" w:firstRowLastColumn="0" w:lastRowFirstColumn="0" w:lastRowLastColumn="0"/>
            <w:tcW w:w="0" w:type="auto"/>
            <w:hideMark/>
          </w:tcPr>
          <w:p w14:paraId="6164FA20" w14:textId="77777777" w:rsidR="00D65F2C" w:rsidRPr="00FA1850" w:rsidRDefault="00D65F2C" w:rsidP="00D65F2C">
            <w:pPr>
              <w:rPr>
                <w:rFonts w:ascii="Arial Black" w:eastAsia="Times New Roman" w:hAnsi="Arial Black" w:cs="Times New Roman"/>
                <w:kern w:val="0"/>
                <w14:ligatures w14:val="none"/>
              </w:rPr>
            </w:pPr>
            <w:r w:rsidRPr="00FA1850">
              <w:rPr>
                <w:rFonts w:ascii="Arial Black" w:eastAsia="Times New Roman" w:hAnsi="Arial Black" w:cs="Times New Roman"/>
                <w:kern w:val="0"/>
                <w14:ligatures w14:val="none"/>
              </w:rPr>
              <w:t>Quick ratio</w:t>
            </w:r>
          </w:p>
        </w:tc>
        <w:tc>
          <w:tcPr>
            <w:tcW w:w="0" w:type="auto"/>
            <w:hideMark/>
          </w:tcPr>
          <w:p w14:paraId="79DC7ECE" w14:textId="77777777" w:rsidR="00D65F2C" w:rsidRPr="00FA1850" w:rsidRDefault="00D65F2C" w:rsidP="00D65F2C">
            <w:pPr>
              <w:jc w:val="right"/>
              <w:cnfStyle w:val="000000000000" w:firstRow="0" w:lastRow="0" w:firstColumn="0" w:lastColumn="0" w:oddVBand="0" w:evenVBand="0" w:oddHBand="0" w:evenHBand="0" w:firstRowFirstColumn="0" w:firstRowLastColumn="0" w:lastRowFirstColumn="0" w:lastRowLastColumn="0"/>
              <w:rPr>
                <w:rFonts w:ascii="Arial Black" w:eastAsia="Times New Roman" w:hAnsi="Arial Black" w:cs="Times New Roman"/>
                <w:kern w:val="0"/>
                <w14:ligatures w14:val="none"/>
              </w:rPr>
            </w:pPr>
            <w:r w:rsidRPr="00FA1850">
              <w:rPr>
                <w:rFonts w:ascii="Arial Black" w:eastAsia="Times New Roman" w:hAnsi="Arial Black" w:cs="Times New Roman"/>
                <w:kern w:val="0"/>
                <w14:ligatures w14:val="none"/>
              </w:rPr>
              <w:t>0.46:1</w:t>
            </w:r>
          </w:p>
        </w:tc>
        <w:tc>
          <w:tcPr>
            <w:tcW w:w="0" w:type="auto"/>
            <w:hideMark/>
          </w:tcPr>
          <w:p w14:paraId="1AF9953B" w14:textId="77777777" w:rsidR="00D65F2C" w:rsidRPr="00FA1850" w:rsidRDefault="00D65F2C" w:rsidP="00D65F2C">
            <w:pPr>
              <w:jc w:val="right"/>
              <w:cnfStyle w:val="000000000000" w:firstRow="0" w:lastRow="0" w:firstColumn="0" w:lastColumn="0" w:oddVBand="0" w:evenVBand="0" w:oddHBand="0" w:evenHBand="0" w:firstRowFirstColumn="0" w:firstRowLastColumn="0" w:lastRowFirstColumn="0" w:lastRowLastColumn="0"/>
              <w:rPr>
                <w:rFonts w:ascii="Arial Black" w:eastAsia="Times New Roman" w:hAnsi="Arial Black" w:cs="Times New Roman"/>
                <w:kern w:val="0"/>
                <w14:ligatures w14:val="none"/>
              </w:rPr>
            </w:pPr>
            <w:r w:rsidRPr="00FA1850">
              <w:rPr>
                <w:rFonts w:ascii="Arial Black" w:eastAsia="Times New Roman" w:hAnsi="Arial Black" w:cs="Times New Roman"/>
                <w:kern w:val="0"/>
                <w14:ligatures w14:val="none"/>
              </w:rPr>
              <w:t>0.44:1</w:t>
            </w:r>
          </w:p>
        </w:tc>
      </w:tr>
      <w:tr w:rsidR="00D65F2C" w:rsidRPr="00FA1850" w14:paraId="12BCC5CA" w14:textId="77777777" w:rsidTr="00FA1850">
        <w:trPr>
          <w:trHeight w:val="318"/>
        </w:trPr>
        <w:tc>
          <w:tcPr>
            <w:cnfStyle w:val="001000000000" w:firstRow="0" w:lastRow="0" w:firstColumn="1" w:lastColumn="0" w:oddVBand="0" w:evenVBand="0" w:oddHBand="0" w:evenHBand="0" w:firstRowFirstColumn="0" w:firstRowLastColumn="0" w:lastRowFirstColumn="0" w:lastRowLastColumn="0"/>
            <w:tcW w:w="0" w:type="auto"/>
            <w:hideMark/>
          </w:tcPr>
          <w:p w14:paraId="431C3CCC" w14:textId="77777777" w:rsidR="00D65F2C" w:rsidRPr="00FA1850" w:rsidRDefault="00D65F2C" w:rsidP="00D65F2C">
            <w:pPr>
              <w:rPr>
                <w:rFonts w:ascii="Arial Black" w:eastAsia="Times New Roman" w:hAnsi="Arial Black" w:cs="Times New Roman"/>
                <w:kern w:val="0"/>
                <w14:ligatures w14:val="none"/>
              </w:rPr>
            </w:pPr>
            <w:r w:rsidRPr="00FA1850">
              <w:rPr>
                <w:rFonts w:ascii="Arial Black" w:eastAsia="Times New Roman" w:hAnsi="Arial Black" w:cs="Times New Roman"/>
                <w:kern w:val="0"/>
                <w14:ligatures w14:val="none"/>
              </w:rPr>
              <w:t>Return on Capital Employed (ROCE)</w:t>
            </w:r>
          </w:p>
        </w:tc>
        <w:tc>
          <w:tcPr>
            <w:tcW w:w="0" w:type="auto"/>
            <w:hideMark/>
          </w:tcPr>
          <w:p w14:paraId="2D552A2A" w14:textId="77777777" w:rsidR="00D65F2C" w:rsidRPr="00FA1850" w:rsidRDefault="00D65F2C" w:rsidP="00D65F2C">
            <w:pPr>
              <w:jc w:val="right"/>
              <w:cnfStyle w:val="000000000000" w:firstRow="0" w:lastRow="0" w:firstColumn="0" w:lastColumn="0" w:oddVBand="0" w:evenVBand="0" w:oddHBand="0" w:evenHBand="0" w:firstRowFirstColumn="0" w:firstRowLastColumn="0" w:lastRowFirstColumn="0" w:lastRowLastColumn="0"/>
              <w:rPr>
                <w:rFonts w:ascii="Arial Black" w:eastAsia="Times New Roman" w:hAnsi="Arial Black" w:cs="Times New Roman"/>
                <w:kern w:val="0"/>
                <w14:ligatures w14:val="none"/>
              </w:rPr>
            </w:pPr>
            <w:r w:rsidRPr="00FA1850">
              <w:rPr>
                <w:rFonts w:ascii="Arial Black" w:eastAsia="Times New Roman" w:hAnsi="Arial Black" w:cs="Times New Roman"/>
                <w:kern w:val="0"/>
                <w14:ligatures w14:val="none"/>
              </w:rPr>
              <w:t>13.4%</w:t>
            </w:r>
          </w:p>
        </w:tc>
        <w:tc>
          <w:tcPr>
            <w:tcW w:w="0" w:type="auto"/>
            <w:hideMark/>
          </w:tcPr>
          <w:p w14:paraId="373F4EBF" w14:textId="77777777" w:rsidR="00D65F2C" w:rsidRPr="00FA1850" w:rsidRDefault="00D65F2C" w:rsidP="00D65F2C">
            <w:pPr>
              <w:jc w:val="right"/>
              <w:cnfStyle w:val="000000000000" w:firstRow="0" w:lastRow="0" w:firstColumn="0" w:lastColumn="0" w:oddVBand="0" w:evenVBand="0" w:oddHBand="0" w:evenHBand="0" w:firstRowFirstColumn="0" w:firstRowLastColumn="0" w:lastRowFirstColumn="0" w:lastRowLastColumn="0"/>
              <w:rPr>
                <w:rFonts w:ascii="Arial Black" w:eastAsia="Times New Roman" w:hAnsi="Arial Black" w:cs="Times New Roman"/>
                <w:kern w:val="0"/>
                <w14:ligatures w14:val="none"/>
              </w:rPr>
            </w:pPr>
            <w:r w:rsidRPr="00FA1850">
              <w:rPr>
                <w:rFonts w:ascii="Arial Black" w:eastAsia="Times New Roman" w:hAnsi="Arial Black" w:cs="Times New Roman"/>
                <w:kern w:val="0"/>
                <w14:ligatures w14:val="none"/>
              </w:rPr>
              <w:t>14.6%</w:t>
            </w:r>
          </w:p>
        </w:tc>
      </w:tr>
      <w:tr w:rsidR="00D65F2C" w:rsidRPr="00FA1850" w14:paraId="14F2B26E" w14:textId="77777777" w:rsidTr="00FA1850">
        <w:trPr>
          <w:trHeight w:val="304"/>
        </w:trPr>
        <w:tc>
          <w:tcPr>
            <w:cnfStyle w:val="001000000000" w:firstRow="0" w:lastRow="0" w:firstColumn="1" w:lastColumn="0" w:oddVBand="0" w:evenVBand="0" w:oddHBand="0" w:evenHBand="0" w:firstRowFirstColumn="0" w:firstRowLastColumn="0" w:lastRowFirstColumn="0" w:lastRowLastColumn="0"/>
            <w:tcW w:w="0" w:type="auto"/>
            <w:hideMark/>
          </w:tcPr>
          <w:p w14:paraId="6EFC8609" w14:textId="77777777" w:rsidR="00D65F2C" w:rsidRPr="00FA1850" w:rsidRDefault="00D65F2C" w:rsidP="00D65F2C">
            <w:pPr>
              <w:rPr>
                <w:rFonts w:ascii="Arial Black" w:eastAsia="Times New Roman" w:hAnsi="Arial Black" w:cs="Times New Roman"/>
                <w:kern w:val="0"/>
                <w14:ligatures w14:val="none"/>
              </w:rPr>
            </w:pPr>
            <w:r w:rsidRPr="00FA1850">
              <w:rPr>
                <w:rFonts w:ascii="Arial Black" w:eastAsia="Times New Roman" w:hAnsi="Arial Black" w:cs="Times New Roman"/>
                <w:kern w:val="0"/>
                <w14:ligatures w14:val="none"/>
              </w:rPr>
              <w:t>Net debt/EBITDA</w:t>
            </w:r>
          </w:p>
        </w:tc>
        <w:tc>
          <w:tcPr>
            <w:tcW w:w="0" w:type="auto"/>
            <w:hideMark/>
          </w:tcPr>
          <w:p w14:paraId="68AEF530" w14:textId="77777777" w:rsidR="00D65F2C" w:rsidRPr="00FA1850" w:rsidRDefault="00D65F2C" w:rsidP="00D65F2C">
            <w:pPr>
              <w:jc w:val="right"/>
              <w:cnfStyle w:val="000000000000" w:firstRow="0" w:lastRow="0" w:firstColumn="0" w:lastColumn="0" w:oddVBand="0" w:evenVBand="0" w:oddHBand="0" w:evenHBand="0" w:firstRowFirstColumn="0" w:firstRowLastColumn="0" w:lastRowFirstColumn="0" w:lastRowLastColumn="0"/>
              <w:rPr>
                <w:rFonts w:ascii="Arial Black" w:eastAsia="Times New Roman" w:hAnsi="Arial Black" w:cs="Times New Roman"/>
                <w:kern w:val="0"/>
                <w14:ligatures w14:val="none"/>
              </w:rPr>
            </w:pPr>
            <w:r w:rsidRPr="00FA1850">
              <w:rPr>
                <w:rFonts w:ascii="Arial Black" w:eastAsia="Times New Roman" w:hAnsi="Arial Black" w:cs="Times New Roman"/>
                <w:kern w:val="0"/>
                <w14:ligatures w14:val="none"/>
              </w:rPr>
              <w:t>2.2 times</w:t>
            </w:r>
          </w:p>
        </w:tc>
        <w:tc>
          <w:tcPr>
            <w:tcW w:w="0" w:type="auto"/>
            <w:hideMark/>
          </w:tcPr>
          <w:p w14:paraId="1B011E43" w14:textId="77777777" w:rsidR="00D65F2C" w:rsidRPr="00FA1850" w:rsidRDefault="00D65F2C" w:rsidP="00D65F2C">
            <w:pPr>
              <w:jc w:val="right"/>
              <w:cnfStyle w:val="000000000000" w:firstRow="0" w:lastRow="0" w:firstColumn="0" w:lastColumn="0" w:oddVBand="0" w:evenVBand="0" w:oddHBand="0" w:evenHBand="0" w:firstRowFirstColumn="0" w:firstRowLastColumn="0" w:lastRowFirstColumn="0" w:lastRowLastColumn="0"/>
              <w:rPr>
                <w:rFonts w:ascii="Arial Black" w:eastAsia="Times New Roman" w:hAnsi="Arial Black" w:cs="Times New Roman"/>
                <w:kern w:val="0"/>
                <w14:ligatures w14:val="none"/>
              </w:rPr>
            </w:pPr>
            <w:r w:rsidRPr="00FA1850">
              <w:rPr>
                <w:rFonts w:ascii="Arial Black" w:eastAsia="Times New Roman" w:hAnsi="Arial Black" w:cs="Times New Roman"/>
                <w:kern w:val="0"/>
                <w14:ligatures w14:val="none"/>
              </w:rPr>
              <w:t>2.0 times</w:t>
            </w:r>
          </w:p>
        </w:tc>
      </w:tr>
      <w:tr w:rsidR="00D65F2C" w:rsidRPr="00FA1850" w14:paraId="61793047" w14:textId="77777777" w:rsidTr="00FA1850">
        <w:trPr>
          <w:trHeight w:val="318"/>
        </w:trPr>
        <w:tc>
          <w:tcPr>
            <w:cnfStyle w:val="001000000000" w:firstRow="0" w:lastRow="0" w:firstColumn="1" w:lastColumn="0" w:oddVBand="0" w:evenVBand="0" w:oddHBand="0" w:evenHBand="0" w:firstRowFirstColumn="0" w:firstRowLastColumn="0" w:lastRowFirstColumn="0" w:lastRowLastColumn="0"/>
            <w:tcW w:w="0" w:type="auto"/>
            <w:hideMark/>
          </w:tcPr>
          <w:p w14:paraId="3DB3E161" w14:textId="77777777" w:rsidR="00D65F2C" w:rsidRPr="00FA1850" w:rsidRDefault="00D65F2C" w:rsidP="00D65F2C">
            <w:pPr>
              <w:rPr>
                <w:rFonts w:ascii="Arial Black" w:eastAsia="Times New Roman" w:hAnsi="Arial Black" w:cs="Times New Roman"/>
                <w:kern w:val="0"/>
                <w14:ligatures w14:val="none"/>
              </w:rPr>
            </w:pPr>
            <w:r w:rsidRPr="00FA1850">
              <w:rPr>
                <w:rFonts w:ascii="Arial Black" w:eastAsia="Times New Roman" w:hAnsi="Arial Black" w:cs="Times New Roman"/>
                <w:kern w:val="0"/>
                <w14:ligatures w14:val="none"/>
              </w:rPr>
              <w:t>Free cash flow/revenue</w:t>
            </w:r>
          </w:p>
        </w:tc>
        <w:tc>
          <w:tcPr>
            <w:tcW w:w="0" w:type="auto"/>
            <w:hideMark/>
          </w:tcPr>
          <w:p w14:paraId="38DA21A7" w14:textId="77777777" w:rsidR="00D65F2C" w:rsidRPr="00FA1850" w:rsidRDefault="00D65F2C" w:rsidP="00D65F2C">
            <w:pPr>
              <w:jc w:val="right"/>
              <w:cnfStyle w:val="000000000000" w:firstRow="0" w:lastRow="0" w:firstColumn="0" w:lastColumn="0" w:oddVBand="0" w:evenVBand="0" w:oddHBand="0" w:evenHBand="0" w:firstRowFirstColumn="0" w:firstRowLastColumn="0" w:lastRowFirstColumn="0" w:lastRowLastColumn="0"/>
              <w:rPr>
                <w:rFonts w:ascii="Arial Black" w:eastAsia="Times New Roman" w:hAnsi="Arial Black" w:cs="Times New Roman"/>
                <w:kern w:val="0"/>
                <w14:ligatures w14:val="none"/>
              </w:rPr>
            </w:pPr>
            <w:r w:rsidRPr="00FA1850">
              <w:rPr>
                <w:rFonts w:ascii="Arial Black" w:eastAsia="Times New Roman" w:hAnsi="Arial Black" w:cs="Times New Roman"/>
                <w:kern w:val="0"/>
                <w14:ligatures w14:val="none"/>
              </w:rPr>
              <w:t>3.03%</w:t>
            </w:r>
          </w:p>
        </w:tc>
        <w:tc>
          <w:tcPr>
            <w:tcW w:w="0" w:type="auto"/>
            <w:hideMark/>
          </w:tcPr>
          <w:p w14:paraId="2349CE39" w14:textId="77777777" w:rsidR="00D65F2C" w:rsidRPr="00FA1850" w:rsidRDefault="00D65F2C" w:rsidP="00D65F2C">
            <w:pPr>
              <w:jc w:val="right"/>
              <w:cnfStyle w:val="000000000000" w:firstRow="0" w:lastRow="0" w:firstColumn="0" w:lastColumn="0" w:oddVBand="0" w:evenVBand="0" w:oddHBand="0" w:evenHBand="0" w:firstRowFirstColumn="0" w:firstRowLastColumn="0" w:lastRowFirstColumn="0" w:lastRowLastColumn="0"/>
              <w:rPr>
                <w:rFonts w:ascii="Arial Black" w:eastAsia="Times New Roman" w:hAnsi="Arial Black" w:cs="Times New Roman"/>
                <w:kern w:val="0"/>
                <w14:ligatures w14:val="none"/>
              </w:rPr>
            </w:pPr>
            <w:r w:rsidRPr="00FA1850">
              <w:rPr>
                <w:rFonts w:ascii="Arial Black" w:eastAsia="Times New Roman" w:hAnsi="Arial Black" w:cs="Times New Roman"/>
                <w:kern w:val="0"/>
                <w14:ligatures w14:val="none"/>
              </w:rPr>
              <w:t>2.50%</w:t>
            </w:r>
          </w:p>
        </w:tc>
      </w:tr>
    </w:tbl>
    <w:p w14:paraId="628B52ED" w14:textId="77777777" w:rsidR="00D65F2C" w:rsidRPr="00FA1850" w:rsidRDefault="00D65F2C" w:rsidP="00D65F2C">
      <w:pPr>
        <w:spacing w:line="480" w:lineRule="auto"/>
        <w:rPr>
          <w:rFonts w:ascii="Arial Black" w:hAnsi="Arial Black" w:cs="Arial"/>
        </w:rPr>
      </w:pPr>
    </w:p>
    <w:p w14:paraId="13E543B2" w14:textId="1DD56F68" w:rsidR="00D65F2C" w:rsidRPr="00D65F2C" w:rsidRDefault="00D65F2C" w:rsidP="00D65F2C">
      <w:pPr>
        <w:spacing w:line="480" w:lineRule="auto"/>
        <w:rPr>
          <w:rFonts w:ascii="Arial" w:hAnsi="Arial" w:cs="Arial"/>
        </w:rPr>
      </w:pPr>
      <w:r w:rsidRPr="00D65F2C">
        <w:rPr>
          <w:rFonts w:ascii="Arial" w:hAnsi="Arial" w:cs="Arial"/>
        </w:rPr>
        <w:t>Financial ratios are significant in measuring the improvement in the performance of the organi</w:t>
      </w:r>
      <w:r>
        <w:rPr>
          <w:rFonts w:ascii="Arial" w:hAnsi="Arial" w:cs="Arial"/>
        </w:rPr>
        <w:t>s</w:t>
      </w:r>
      <w:r w:rsidRPr="00D65F2C">
        <w:rPr>
          <w:rFonts w:ascii="Arial" w:hAnsi="Arial" w:cs="Arial"/>
        </w:rPr>
        <w:t>ation. They allow comparison of various components of the financial statements across periods (</w:t>
      </w:r>
      <w:proofErr w:type="spellStart"/>
      <w:r w:rsidRPr="00D65F2C">
        <w:rPr>
          <w:rFonts w:ascii="Arial" w:hAnsi="Arial" w:cs="Arial"/>
        </w:rPr>
        <w:t>Suprapto</w:t>
      </w:r>
      <w:proofErr w:type="spellEnd"/>
      <w:r w:rsidRPr="00D65F2C">
        <w:rPr>
          <w:rFonts w:ascii="Arial" w:hAnsi="Arial" w:cs="Arial"/>
        </w:rPr>
        <w:t xml:space="preserve"> &amp; </w:t>
      </w:r>
      <w:proofErr w:type="spellStart"/>
      <w:r w:rsidRPr="00D65F2C">
        <w:rPr>
          <w:rFonts w:ascii="Arial" w:hAnsi="Arial" w:cs="Arial"/>
        </w:rPr>
        <w:t>Lindawati</w:t>
      </w:r>
      <w:proofErr w:type="spellEnd"/>
      <w:r w:rsidRPr="00D65F2C">
        <w:rPr>
          <w:rFonts w:ascii="Arial" w:hAnsi="Arial" w:cs="Arial"/>
        </w:rPr>
        <w:t>, 2023).</w:t>
      </w:r>
    </w:p>
    <w:p w14:paraId="0258A2C4" w14:textId="77777777" w:rsidR="00D65F2C" w:rsidRPr="00D65F2C" w:rsidRDefault="00D65F2C" w:rsidP="00D65F2C">
      <w:pPr>
        <w:spacing w:line="480" w:lineRule="auto"/>
        <w:rPr>
          <w:rFonts w:ascii="Arial" w:hAnsi="Arial" w:cs="Arial"/>
          <w:b/>
          <w:bCs/>
        </w:rPr>
      </w:pPr>
      <w:r w:rsidRPr="00D65F2C">
        <w:rPr>
          <w:rFonts w:ascii="Arial" w:hAnsi="Arial" w:cs="Arial"/>
          <w:b/>
          <w:bCs/>
        </w:rPr>
        <w:t>Profitability Analysis</w:t>
      </w:r>
    </w:p>
    <w:p w14:paraId="195B0A7D" w14:textId="77777777" w:rsidR="00D65F2C" w:rsidRPr="00D65F2C" w:rsidRDefault="00D65F2C" w:rsidP="00D65F2C">
      <w:pPr>
        <w:spacing w:line="480" w:lineRule="auto"/>
        <w:rPr>
          <w:rFonts w:ascii="Arial" w:hAnsi="Arial" w:cs="Arial"/>
        </w:rPr>
      </w:pPr>
      <w:r w:rsidRPr="00D65F2C">
        <w:rPr>
          <w:rFonts w:ascii="Arial" w:hAnsi="Arial" w:cs="Arial"/>
        </w:rPr>
        <w:t>Tesco has experienced growth in revenues from £68,187 million in 2024 to £69,916 million in 2025.</w:t>
      </w:r>
    </w:p>
    <w:p w14:paraId="0C351108" w14:textId="4EB20973" w:rsidR="00D65F2C" w:rsidRPr="00D65F2C" w:rsidRDefault="00D65F2C" w:rsidP="00D65F2C">
      <w:pPr>
        <w:spacing w:line="480" w:lineRule="auto"/>
        <w:rPr>
          <w:rFonts w:ascii="Arial" w:hAnsi="Arial" w:cs="Arial"/>
          <w:b/>
          <w:bCs/>
        </w:rPr>
      </w:pPr>
      <w:r w:rsidRPr="00D65F2C">
        <w:rPr>
          <w:rFonts w:ascii="Arial" w:hAnsi="Arial" w:cs="Arial"/>
        </w:rPr>
        <w:t>Revenue Growth:</w:t>
      </w:r>
      <w:r>
        <w:rPr>
          <w:rFonts w:ascii="Arial" w:hAnsi="Arial" w:cs="Arial"/>
        </w:rPr>
        <w:t xml:space="preserve"> </w:t>
      </w:r>
      <w:r w:rsidRPr="00D65F2C">
        <w:rPr>
          <w:rFonts w:ascii="Arial" w:hAnsi="Arial" w:cs="Arial"/>
          <w:b/>
          <w:bCs/>
        </w:rPr>
        <w:t xml:space="preserve">(£69,916m − £68,187m) </w:t>
      </w:r>
      <w:r>
        <w:rPr>
          <w:rFonts w:ascii="Arial" w:hAnsi="Arial" w:cs="Arial"/>
          <w:b/>
          <w:bCs/>
        </w:rPr>
        <w:t>/</w:t>
      </w:r>
      <w:r w:rsidRPr="00D65F2C">
        <w:rPr>
          <w:rFonts w:ascii="Arial" w:hAnsi="Arial" w:cs="Arial"/>
          <w:b/>
          <w:bCs/>
        </w:rPr>
        <w:t xml:space="preserve"> £68,187m × 100 = 2.54%</w:t>
      </w:r>
    </w:p>
    <w:p w14:paraId="026BF73C" w14:textId="77777777" w:rsidR="00D65F2C" w:rsidRPr="00D65F2C" w:rsidRDefault="00D65F2C" w:rsidP="00D65F2C">
      <w:pPr>
        <w:spacing w:line="480" w:lineRule="auto"/>
        <w:rPr>
          <w:rFonts w:ascii="Arial" w:hAnsi="Arial" w:cs="Arial"/>
        </w:rPr>
      </w:pPr>
      <w:r w:rsidRPr="00D65F2C">
        <w:rPr>
          <w:rFonts w:ascii="Arial" w:hAnsi="Arial" w:cs="Arial"/>
        </w:rPr>
        <w:t>This indicates a medium level of growth in revenues over these two financial years. Tesco has managed to improve its adjusted operating profit from £2,829 million to £3,128 million.</w:t>
      </w:r>
    </w:p>
    <w:p w14:paraId="074F266D" w14:textId="5F1C7FDE" w:rsidR="00D65F2C" w:rsidRPr="00D65F2C" w:rsidRDefault="00D65F2C" w:rsidP="00D65F2C">
      <w:pPr>
        <w:spacing w:line="480" w:lineRule="auto"/>
        <w:rPr>
          <w:rFonts w:ascii="Arial" w:hAnsi="Arial" w:cs="Arial"/>
          <w:b/>
          <w:bCs/>
        </w:rPr>
      </w:pPr>
      <w:r w:rsidRPr="00D65F2C">
        <w:rPr>
          <w:rFonts w:ascii="Arial" w:hAnsi="Arial" w:cs="Arial"/>
        </w:rPr>
        <w:t>Adjusted operating profit margin in 2024:</w:t>
      </w:r>
      <w:r>
        <w:rPr>
          <w:rFonts w:ascii="Arial" w:hAnsi="Arial" w:cs="Arial"/>
        </w:rPr>
        <w:t xml:space="preserve"> </w:t>
      </w:r>
      <w:r w:rsidRPr="00D65F2C">
        <w:rPr>
          <w:rFonts w:ascii="Arial" w:hAnsi="Arial" w:cs="Arial"/>
          <w:b/>
          <w:bCs/>
        </w:rPr>
        <w:t xml:space="preserve">£2,829m </w:t>
      </w:r>
      <w:r>
        <w:rPr>
          <w:rFonts w:ascii="Arial" w:hAnsi="Arial" w:cs="Arial"/>
          <w:b/>
          <w:bCs/>
        </w:rPr>
        <w:t>/</w:t>
      </w:r>
      <w:r w:rsidRPr="00D65F2C">
        <w:rPr>
          <w:rFonts w:ascii="Arial" w:hAnsi="Arial" w:cs="Arial"/>
          <w:b/>
          <w:bCs/>
        </w:rPr>
        <w:t xml:space="preserve"> £68,187m × 100 = 4.15%</w:t>
      </w:r>
    </w:p>
    <w:p w14:paraId="61F8D6BD" w14:textId="004DA3D7" w:rsidR="00D65F2C" w:rsidRPr="00D65F2C" w:rsidRDefault="00D65F2C" w:rsidP="00D65F2C">
      <w:pPr>
        <w:spacing w:line="480" w:lineRule="auto"/>
        <w:rPr>
          <w:rFonts w:ascii="Arial" w:hAnsi="Arial" w:cs="Arial"/>
          <w:b/>
          <w:bCs/>
        </w:rPr>
      </w:pPr>
      <w:r w:rsidRPr="00D65F2C">
        <w:rPr>
          <w:rFonts w:ascii="Arial" w:hAnsi="Arial" w:cs="Arial"/>
        </w:rPr>
        <w:t>Adjusted operating profit margin in 2025:</w:t>
      </w:r>
      <w:r>
        <w:rPr>
          <w:rFonts w:ascii="Arial" w:hAnsi="Arial" w:cs="Arial"/>
        </w:rPr>
        <w:t xml:space="preserve"> </w:t>
      </w:r>
      <w:r w:rsidRPr="00D65F2C">
        <w:rPr>
          <w:rFonts w:ascii="Arial" w:hAnsi="Arial" w:cs="Arial"/>
          <w:b/>
          <w:bCs/>
        </w:rPr>
        <w:t xml:space="preserve">£3,128m </w:t>
      </w:r>
      <w:r w:rsidRPr="00D65F2C">
        <w:rPr>
          <w:rFonts w:ascii="Arial" w:hAnsi="Arial" w:cs="Arial"/>
          <w:b/>
          <w:bCs/>
        </w:rPr>
        <w:t>/</w:t>
      </w:r>
      <w:r w:rsidRPr="00D65F2C">
        <w:rPr>
          <w:rFonts w:ascii="Arial" w:hAnsi="Arial" w:cs="Arial"/>
          <w:b/>
          <w:bCs/>
        </w:rPr>
        <w:t xml:space="preserve"> £69,916m × 100 = 4.47%</w:t>
      </w:r>
    </w:p>
    <w:p w14:paraId="36446331" w14:textId="77777777" w:rsidR="00D65F2C" w:rsidRPr="00D65F2C" w:rsidRDefault="00D65F2C" w:rsidP="00D65F2C">
      <w:pPr>
        <w:spacing w:line="480" w:lineRule="auto"/>
        <w:rPr>
          <w:rFonts w:ascii="Arial" w:hAnsi="Arial" w:cs="Arial"/>
        </w:rPr>
      </w:pPr>
      <w:r w:rsidRPr="00D65F2C">
        <w:rPr>
          <w:rFonts w:ascii="Arial" w:hAnsi="Arial" w:cs="Arial"/>
        </w:rPr>
        <w:t xml:space="preserve">The increase from 4.15% to 4.47% is indicator of Tesco's efficiency in transforming revenues into operating profits. Profitability ratios are useful in understanding how well a </w:t>
      </w:r>
      <w:r w:rsidRPr="00D65F2C">
        <w:rPr>
          <w:rFonts w:ascii="Arial" w:hAnsi="Arial" w:cs="Arial"/>
        </w:rPr>
        <w:lastRenderedPageBreak/>
        <w:t>company performs financially and creates returns from the business activities (Eugenio et al., 2023). Profitability measures reflect how efficient a company is in using resources to create profit (Saputra, 2022).</w:t>
      </w:r>
    </w:p>
    <w:p w14:paraId="51A87090" w14:textId="77777777" w:rsidR="00D65F2C" w:rsidRDefault="00D65F2C" w:rsidP="00D65F2C">
      <w:pPr>
        <w:spacing w:line="480" w:lineRule="auto"/>
        <w:rPr>
          <w:rFonts w:ascii="Arial" w:hAnsi="Arial" w:cs="Arial"/>
        </w:rPr>
      </w:pPr>
      <w:r w:rsidRPr="00D65F2C">
        <w:rPr>
          <w:rFonts w:ascii="Arial" w:hAnsi="Arial" w:cs="Arial"/>
        </w:rPr>
        <w:t>Tesco's improvement in performance can be attributed to its efficient trading, decrease in costs, and increase in market share. The market share in the UK increased from 27.6% to 28.3%, while the adjusted operating profits made an increase of 10.6</w:t>
      </w:r>
      <w:r w:rsidRPr="00D65F2C">
        <w:rPr>
          <w:rFonts w:ascii="Arial" w:hAnsi="Arial" w:cs="Arial"/>
        </w:rPr>
        <w:t>%. Despite</w:t>
      </w:r>
      <w:r w:rsidRPr="00D65F2C">
        <w:rPr>
          <w:rFonts w:ascii="Arial" w:hAnsi="Arial" w:cs="Arial"/>
        </w:rPr>
        <w:t xml:space="preserve"> investing in areas like 'Clubcard Prices,' 'Aldi Price Match,' and 'Low Everyday Prices,' while improving the quality of its products, Tesco has also managed to see sales for Tesco Finest products rise by 15%</w:t>
      </w:r>
      <w:r w:rsidRPr="00D65F2C">
        <w:rPr>
          <w:rFonts w:ascii="Arial" w:hAnsi="Arial" w:cs="Arial"/>
        </w:rPr>
        <w:t>, which</w:t>
      </w:r>
      <w:r w:rsidRPr="00D65F2C">
        <w:rPr>
          <w:rFonts w:ascii="Arial" w:hAnsi="Arial" w:cs="Arial"/>
        </w:rPr>
        <w:t xml:space="preserve"> shows they are somewhat successful in terms of other product category options. </w:t>
      </w:r>
    </w:p>
    <w:p w14:paraId="54714C6A" w14:textId="2C22E498" w:rsidR="00D65F2C" w:rsidRPr="00D65F2C" w:rsidRDefault="00D65F2C" w:rsidP="00D65F2C">
      <w:pPr>
        <w:spacing w:line="480" w:lineRule="auto"/>
        <w:rPr>
          <w:rFonts w:ascii="Arial" w:hAnsi="Arial" w:cs="Arial"/>
        </w:rPr>
      </w:pPr>
      <w:r w:rsidRPr="00D65F2C">
        <w:rPr>
          <w:rFonts w:ascii="Arial" w:hAnsi="Arial" w:cs="Arial"/>
        </w:rPr>
        <w:t>But</w:t>
      </w:r>
      <w:r w:rsidRPr="00D65F2C">
        <w:rPr>
          <w:rFonts w:ascii="Arial" w:hAnsi="Arial" w:cs="Arial"/>
        </w:rPr>
        <w:t xml:space="preserve"> one measure that has shown a decline can be seen in Tesco's statutory operating margin which is shown below:</w:t>
      </w:r>
    </w:p>
    <w:p w14:paraId="6109E2E7" w14:textId="1A34B737" w:rsidR="00D65F2C" w:rsidRPr="00D65F2C" w:rsidRDefault="00D65F2C" w:rsidP="00D65F2C">
      <w:pPr>
        <w:spacing w:line="480" w:lineRule="auto"/>
        <w:rPr>
          <w:rFonts w:ascii="Arial" w:hAnsi="Arial" w:cs="Arial"/>
          <w:b/>
          <w:bCs/>
        </w:rPr>
      </w:pPr>
      <w:r w:rsidRPr="00D65F2C">
        <w:rPr>
          <w:rFonts w:ascii="Arial" w:hAnsi="Arial" w:cs="Arial"/>
        </w:rPr>
        <w:t xml:space="preserve">2024 statutory operating margin: </w:t>
      </w:r>
      <w:r w:rsidRPr="00D65F2C">
        <w:rPr>
          <w:rFonts w:ascii="Arial" w:hAnsi="Arial" w:cs="Arial"/>
          <w:b/>
          <w:bCs/>
        </w:rPr>
        <w:t xml:space="preserve">£2,821m </w:t>
      </w:r>
      <w:r>
        <w:rPr>
          <w:rFonts w:ascii="Arial" w:hAnsi="Arial" w:cs="Arial"/>
          <w:b/>
          <w:bCs/>
        </w:rPr>
        <w:t>/</w:t>
      </w:r>
      <w:r w:rsidRPr="00D65F2C">
        <w:rPr>
          <w:rFonts w:ascii="Arial" w:hAnsi="Arial" w:cs="Arial"/>
          <w:b/>
          <w:bCs/>
        </w:rPr>
        <w:t xml:space="preserve"> £68,187m x 100 = 4.14%</w:t>
      </w:r>
    </w:p>
    <w:p w14:paraId="2662FAF6" w14:textId="15A26ECF" w:rsidR="00D65F2C" w:rsidRPr="00D65F2C" w:rsidRDefault="00D65F2C" w:rsidP="00D65F2C">
      <w:pPr>
        <w:spacing w:line="480" w:lineRule="auto"/>
        <w:rPr>
          <w:rFonts w:ascii="Arial" w:hAnsi="Arial" w:cs="Arial"/>
          <w:b/>
          <w:bCs/>
        </w:rPr>
      </w:pPr>
      <w:r w:rsidRPr="00D65F2C">
        <w:rPr>
          <w:rFonts w:ascii="Arial" w:hAnsi="Arial" w:cs="Arial"/>
        </w:rPr>
        <w:t xml:space="preserve">2025 statutory operating margin: </w:t>
      </w:r>
      <w:r w:rsidRPr="00D65F2C">
        <w:rPr>
          <w:rFonts w:ascii="Arial" w:hAnsi="Arial" w:cs="Arial"/>
          <w:b/>
          <w:bCs/>
        </w:rPr>
        <w:t xml:space="preserve">£2,711 </w:t>
      </w:r>
      <w:r>
        <w:rPr>
          <w:rFonts w:ascii="Arial" w:hAnsi="Arial" w:cs="Arial"/>
          <w:b/>
          <w:bCs/>
        </w:rPr>
        <w:t>/</w:t>
      </w:r>
      <w:r w:rsidRPr="00D65F2C">
        <w:rPr>
          <w:rFonts w:ascii="Arial" w:hAnsi="Arial" w:cs="Arial"/>
          <w:b/>
          <w:bCs/>
        </w:rPr>
        <w:t xml:space="preserve"> £69,916m x 100 = 3.88%</w:t>
      </w:r>
    </w:p>
    <w:p w14:paraId="68C26155" w14:textId="77777777" w:rsidR="00FA1850" w:rsidRDefault="00D65F2C" w:rsidP="00D65F2C">
      <w:pPr>
        <w:spacing w:line="480" w:lineRule="auto"/>
        <w:rPr>
          <w:rFonts w:ascii="Arial" w:hAnsi="Arial" w:cs="Arial"/>
        </w:rPr>
      </w:pPr>
      <w:r w:rsidRPr="00D65F2C">
        <w:rPr>
          <w:rFonts w:ascii="Arial" w:hAnsi="Arial" w:cs="Arial"/>
        </w:rPr>
        <w:t xml:space="preserve">This indicates that there is a huge divide between the underlying performance and statutory performance by Tesco. Statutory operating </w:t>
      </w:r>
      <w:r w:rsidRPr="00D65F2C">
        <w:rPr>
          <w:rFonts w:ascii="Arial" w:hAnsi="Arial" w:cs="Arial"/>
        </w:rPr>
        <w:t>losses</w:t>
      </w:r>
      <w:r w:rsidRPr="00D65F2C">
        <w:rPr>
          <w:rFonts w:ascii="Arial" w:hAnsi="Arial" w:cs="Arial"/>
        </w:rPr>
        <w:t xml:space="preserve"> appeared </w:t>
      </w:r>
      <w:r w:rsidRPr="00D65F2C">
        <w:rPr>
          <w:rFonts w:ascii="Arial" w:hAnsi="Arial" w:cs="Arial"/>
        </w:rPr>
        <w:t>because of</w:t>
      </w:r>
      <w:r w:rsidRPr="00D65F2C">
        <w:rPr>
          <w:rFonts w:ascii="Arial" w:hAnsi="Arial" w:cs="Arial"/>
        </w:rPr>
        <w:t xml:space="preserve"> adjusting costs and </w:t>
      </w:r>
      <w:r w:rsidRPr="00D65F2C">
        <w:rPr>
          <w:rFonts w:ascii="Arial" w:hAnsi="Arial" w:cs="Arial"/>
        </w:rPr>
        <w:t>losses</w:t>
      </w:r>
      <w:r w:rsidRPr="00D65F2C">
        <w:rPr>
          <w:rFonts w:ascii="Arial" w:hAnsi="Arial" w:cs="Arial"/>
        </w:rPr>
        <w:t xml:space="preserve">. This also shows why ratio analysis needs to include underlying financial statements along with </w:t>
      </w:r>
      <w:r w:rsidRPr="00D65F2C">
        <w:rPr>
          <w:rFonts w:ascii="Arial" w:hAnsi="Arial" w:cs="Arial"/>
        </w:rPr>
        <w:t>calculations</w:t>
      </w:r>
      <w:r w:rsidRPr="00D65F2C">
        <w:rPr>
          <w:rFonts w:ascii="Arial" w:hAnsi="Arial" w:cs="Arial"/>
        </w:rPr>
        <w:t xml:space="preserve"> like statutory operating margins </w:t>
      </w:r>
      <w:r w:rsidRPr="00D65F2C">
        <w:rPr>
          <w:rFonts w:ascii="Arial" w:hAnsi="Arial" w:cs="Arial"/>
        </w:rPr>
        <w:t>to</w:t>
      </w:r>
      <w:r w:rsidRPr="00D65F2C">
        <w:rPr>
          <w:rFonts w:ascii="Arial" w:hAnsi="Arial" w:cs="Arial"/>
        </w:rPr>
        <w:t xml:space="preserve"> avoid misleading conclusions.</w:t>
      </w:r>
    </w:p>
    <w:p w14:paraId="65095C70" w14:textId="77777777" w:rsidR="00FA1850" w:rsidRDefault="00FA1850" w:rsidP="00D65F2C">
      <w:pPr>
        <w:spacing w:line="480" w:lineRule="auto"/>
        <w:rPr>
          <w:rFonts w:ascii="Arial" w:hAnsi="Arial" w:cs="Arial"/>
        </w:rPr>
      </w:pPr>
    </w:p>
    <w:p w14:paraId="414F2800" w14:textId="77777777" w:rsidR="00FA1850" w:rsidRDefault="00FA1850" w:rsidP="00D65F2C">
      <w:pPr>
        <w:spacing w:line="480" w:lineRule="auto"/>
        <w:rPr>
          <w:rFonts w:ascii="Arial" w:hAnsi="Arial" w:cs="Arial"/>
        </w:rPr>
      </w:pPr>
    </w:p>
    <w:p w14:paraId="7712DF67" w14:textId="332C308C" w:rsidR="00D65F2C" w:rsidRPr="00FA1850" w:rsidRDefault="00D65F2C" w:rsidP="00D65F2C">
      <w:pPr>
        <w:spacing w:line="480" w:lineRule="auto"/>
        <w:rPr>
          <w:rFonts w:ascii="Arial" w:hAnsi="Arial" w:cs="Arial"/>
        </w:rPr>
      </w:pPr>
      <w:r w:rsidRPr="00D65F2C">
        <w:rPr>
          <w:rFonts w:ascii="Arial" w:hAnsi="Arial" w:cs="Arial"/>
          <w:b/>
          <w:bCs/>
        </w:rPr>
        <w:lastRenderedPageBreak/>
        <w:t>Liquidity Analysis</w:t>
      </w:r>
    </w:p>
    <w:p w14:paraId="2A1164EA" w14:textId="606543E5" w:rsidR="00D65F2C" w:rsidRPr="00D65F2C" w:rsidRDefault="00D65F2C" w:rsidP="00D65F2C">
      <w:pPr>
        <w:spacing w:line="480" w:lineRule="auto"/>
        <w:rPr>
          <w:rFonts w:ascii="Arial" w:hAnsi="Arial" w:cs="Arial"/>
        </w:rPr>
      </w:pPr>
      <w:r w:rsidRPr="00D65F2C">
        <w:rPr>
          <w:rFonts w:ascii="Arial" w:hAnsi="Arial" w:cs="Arial"/>
        </w:rPr>
        <w:t xml:space="preserve">As </w:t>
      </w:r>
      <w:r w:rsidRPr="00D65F2C">
        <w:rPr>
          <w:rFonts w:ascii="Arial" w:hAnsi="Arial" w:cs="Arial"/>
        </w:rPr>
        <w:t>is known</w:t>
      </w:r>
      <w:r w:rsidRPr="00D65F2C">
        <w:rPr>
          <w:rFonts w:ascii="Arial" w:hAnsi="Arial" w:cs="Arial"/>
        </w:rPr>
        <w:t xml:space="preserve">, current ratio shows whether the company has enough current assets to cover </w:t>
      </w:r>
      <w:r w:rsidRPr="00D65F2C">
        <w:rPr>
          <w:rFonts w:ascii="Arial" w:hAnsi="Arial" w:cs="Arial"/>
        </w:rPr>
        <w:t>all</w:t>
      </w:r>
      <w:r w:rsidRPr="00D65F2C">
        <w:rPr>
          <w:rFonts w:ascii="Arial" w:hAnsi="Arial" w:cs="Arial"/>
        </w:rPr>
        <w:t xml:space="preserve"> its current liabilities. Liquidity ratio is a useful indicator in measuring short-term capability and overall financial performance of a company</w:t>
      </w:r>
    </w:p>
    <w:p w14:paraId="1C8E194D" w14:textId="77777777" w:rsidR="00D65F2C" w:rsidRDefault="00D65F2C" w:rsidP="00D65F2C">
      <w:pPr>
        <w:spacing w:line="480" w:lineRule="auto"/>
        <w:rPr>
          <w:rFonts w:ascii="Arial" w:hAnsi="Arial" w:cs="Arial"/>
        </w:rPr>
      </w:pPr>
      <w:r w:rsidRPr="00D65F2C">
        <w:rPr>
          <w:rFonts w:ascii="Arial" w:hAnsi="Arial" w:cs="Arial"/>
        </w:rPr>
        <w:t>The current ratio for 2024 can be calculated as follows:</w:t>
      </w:r>
      <w:r>
        <w:rPr>
          <w:rFonts w:ascii="Arial" w:hAnsi="Arial" w:cs="Arial"/>
        </w:rPr>
        <w:t xml:space="preserve"> </w:t>
      </w:r>
    </w:p>
    <w:p w14:paraId="0847C214" w14:textId="0703B753" w:rsidR="00D65F2C" w:rsidRPr="00D65F2C" w:rsidRDefault="00D65F2C" w:rsidP="00D65F2C">
      <w:pPr>
        <w:spacing w:line="480" w:lineRule="auto"/>
        <w:rPr>
          <w:rFonts w:ascii="Arial" w:hAnsi="Arial" w:cs="Arial"/>
          <w:b/>
          <w:bCs/>
        </w:rPr>
      </w:pPr>
      <w:r w:rsidRPr="00D65F2C">
        <w:rPr>
          <w:rFonts w:ascii="Arial" w:hAnsi="Arial" w:cs="Arial"/>
          <w:b/>
          <w:bCs/>
        </w:rPr>
        <w:t xml:space="preserve">2024 current ratio: £8,823m </w:t>
      </w:r>
      <w:r>
        <w:rPr>
          <w:rFonts w:ascii="Arial" w:hAnsi="Arial" w:cs="Arial"/>
          <w:b/>
          <w:bCs/>
        </w:rPr>
        <w:t>/</w:t>
      </w:r>
      <w:r w:rsidRPr="00D65F2C">
        <w:rPr>
          <w:rFonts w:ascii="Arial" w:hAnsi="Arial" w:cs="Arial"/>
          <w:b/>
          <w:bCs/>
        </w:rPr>
        <w:t xml:space="preserve"> £13,350m = 0.66</w:t>
      </w:r>
    </w:p>
    <w:p w14:paraId="7BB7F3C1" w14:textId="76CF000C" w:rsidR="00D65F2C" w:rsidRPr="00D65F2C" w:rsidRDefault="00D65F2C" w:rsidP="00D65F2C">
      <w:pPr>
        <w:spacing w:line="480" w:lineRule="auto"/>
        <w:rPr>
          <w:rFonts w:ascii="Arial" w:hAnsi="Arial" w:cs="Arial"/>
          <w:b/>
          <w:bCs/>
        </w:rPr>
      </w:pPr>
      <w:r w:rsidRPr="00D65F2C">
        <w:rPr>
          <w:rFonts w:ascii="Arial" w:hAnsi="Arial" w:cs="Arial"/>
        </w:rPr>
        <w:t xml:space="preserve">2025 current ratio: </w:t>
      </w:r>
      <w:r w:rsidRPr="00D65F2C">
        <w:rPr>
          <w:rFonts w:ascii="Arial" w:hAnsi="Arial" w:cs="Arial"/>
          <w:b/>
          <w:bCs/>
        </w:rPr>
        <w:t xml:space="preserve">£8,806m </w:t>
      </w:r>
      <w:r>
        <w:rPr>
          <w:rFonts w:ascii="Arial" w:hAnsi="Arial" w:cs="Arial"/>
          <w:b/>
          <w:bCs/>
        </w:rPr>
        <w:t>/</w:t>
      </w:r>
      <w:r w:rsidRPr="00D65F2C">
        <w:rPr>
          <w:rFonts w:ascii="Arial" w:hAnsi="Arial" w:cs="Arial"/>
          <w:b/>
          <w:bCs/>
        </w:rPr>
        <w:t xml:space="preserve"> £13820m = 0.64</w:t>
      </w:r>
    </w:p>
    <w:p w14:paraId="7041E6D4" w14:textId="405145B5" w:rsidR="00D65F2C" w:rsidRPr="00D65F2C" w:rsidRDefault="00D65F2C" w:rsidP="00D65F2C">
      <w:pPr>
        <w:spacing w:line="480" w:lineRule="auto"/>
        <w:rPr>
          <w:rFonts w:ascii="Arial" w:hAnsi="Arial" w:cs="Arial"/>
        </w:rPr>
      </w:pPr>
      <w:r w:rsidRPr="00D65F2C">
        <w:rPr>
          <w:rFonts w:ascii="Arial" w:hAnsi="Arial" w:cs="Arial"/>
        </w:rPr>
        <w:t xml:space="preserve">Decrease </w:t>
      </w:r>
      <w:r w:rsidRPr="00D65F2C">
        <w:rPr>
          <w:rFonts w:ascii="Arial" w:hAnsi="Arial" w:cs="Arial"/>
        </w:rPr>
        <w:t>in the current</w:t>
      </w:r>
      <w:r w:rsidRPr="00D65F2C">
        <w:rPr>
          <w:rFonts w:ascii="Arial" w:hAnsi="Arial" w:cs="Arial"/>
        </w:rPr>
        <w:t xml:space="preserve"> ratio means slight weakening of Tesco's liquidity position in terms of short term. According to 2025 balance sheet, Tesco's current assets have decreased while current liabilities have slightly increased.</w:t>
      </w:r>
    </w:p>
    <w:p w14:paraId="03958382" w14:textId="77777777" w:rsidR="00D65F2C" w:rsidRPr="00D65F2C" w:rsidRDefault="00D65F2C" w:rsidP="00D65F2C">
      <w:pPr>
        <w:spacing w:line="480" w:lineRule="auto"/>
        <w:rPr>
          <w:rFonts w:ascii="Arial" w:hAnsi="Arial" w:cs="Arial"/>
        </w:rPr>
      </w:pPr>
      <w:r w:rsidRPr="00D65F2C">
        <w:rPr>
          <w:rFonts w:ascii="Arial" w:hAnsi="Arial" w:cs="Arial"/>
        </w:rPr>
        <w:t>The quick ratio considers current assets without inventories which can be seen from the equations below:</w:t>
      </w:r>
    </w:p>
    <w:p w14:paraId="2991158B" w14:textId="370E3ABE" w:rsidR="00D65F2C" w:rsidRPr="00FA1850" w:rsidRDefault="00D65F2C" w:rsidP="00D65F2C">
      <w:pPr>
        <w:spacing w:line="480" w:lineRule="auto"/>
        <w:rPr>
          <w:rFonts w:ascii="Arial" w:hAnsi="Arial" w:cs="Arial"/>
          <w:b/>
          <w:bCs/>
        </w:rPr>
      </w:pPr>
      <w:r w:rsidRPr="00D65F2C">
        <w:rPr>
          <w:rFonts w:ascii="Arial" w:hAnsi="Arial" w:cs="Arial"/>
        </w:rPr>
        <w:t xml:space="preserve">2024 quick ratio: </w:t>
      </w:r>
      <w:r w:rsidRPr="00FA1850">
        <w:rPr>
          <w:rFonts w:ascii="Arial" w:hAnsi="Arial" w:cs="Arial"/>
          <w:b/>
          <w:bCs/>
        </w:rPr>
        <w:t xml:space="preserve">(£8,823m - £2,635m) </w:t>
      </w:r>
      <w:r w:rsidR="00FA1850">
        <w:rPr>
          <w:rFonts w:ascii="Arial" w:hAnsi="Arial" w:cs="Arial"/>
          <w:b/>
          <w:bCs/>
        </w:rPr>
        <w:t>/</w:t>
      </w:r>
      <w:r w:rsidRPr="00FA1850">
        <w:rPr>
          <w:rFonts w:ascii="Arial" w:hAnsi="Arial" w:cs="Arial"/>
          <w:b/>
          <w:bCs/>
        </w:rPr>
        <w:t xml:space="preserve"> £13,350m = 0.45</w:t>
      </w:r>
    </w:p>
    <w:p w14:paraId="5BB2002B" w14:textId="1AFE739C" w:rsidR="00D65F2C" w:rsidRPr="00FA1850" w:rsidRDefault="00D65F2C" w:rsidP="00D65F2C">
      <w:pPr>
        <w:spacing w:line="480" w:lineRule="auto"/>
        <w:rPr>
          <w:rFonts w:ascii="Arial" w:hAnsi="Arial" w:cs="Arial"/>
          <w:b/>
          <w:bCs/>
        </w:rPr>
      </w:pPr>
      <w:r w:rsidRPr="00D65F2C">
        <w:rPr>
          <w:rFonts w:ascii="Arial" w:hAnsi="Arial" w:cs="Arial"/>
        </w:rPr>
        <w:t xml:space="preserve">2025 quick ratio: </w:t>
      </w:r>
      <w:r w:rsidRPr="00FA1850">
        <w:rPr>
          <w:rFonts w:ascii="Arial" w:hAnsi="Arial" w:cs="Arial"/>
          <w:b/>
          <w:bCs/>
        </w:rPr>
        <w:t xml:space="preserve">(£8,806m - £2,768m) </w:t>
      </w:r>
      <w:r w:rsidR="00FA1850">
        <w:rPr>
          <w:rFonts w:ascii="Arial" w:hAnsi="Arial" w:cs="Arial"/>
          <w:b/>
          <w:bCs/>
        </w:rPr>
        <w:t>/</w:t>
      </w:r>
      <w:r w:rsidRPr="00FA1850">
        <w:rPr>
          <w:rFonts w:ascii="Arial" w:hAnsi="Arial" w:cs="Arial"/>
          <w:b/>
          <w:bCs/>
        </w:rPr>
        <w:t xml:space="preserve"> £13,820m = 0.44</w:t>
      </w:r>
    </w:p>
    <w:p w14:paraId="77BE2735" w14:textId="7BED748F" w:rsidR="00FA1850" w:rsidRDefault="00D65F2C" w:rsidP="00D65F2C">
      <w:pPr>
        <w:spacing w:line="480" w:lineRule="auto"/>
        <w:rPr>
          <w:rFonts w:ascii="Arial" w:hAnsi="Arial" w:cs="Arial"/>
        </w:rPr>
      </w:pPr>
      <w:r w:rsidRPr="00D65F2C">
        <w:rPr>
          <w:rFonts w:ascii="Arial" w:hAnsi="Arial" w:cs="Arial"/>
        </w:rPr>
        <w:t xml:space="preserve">Decline indicates that Tesco has faced </w:t>
      </w:r>
      <w:r w:rsidR="00FA1850" w:rsidRPr="00D65F2C">
        <w:rPr>
          <w:rFonts w:ascii="Arial" w:hAnsi="Arial" w:cs="Arial"/>
        </w:rPr>
        <w:t>a</w:t>
      </w:r>
      <w:r w:rsidRPr="00D65F2C">
        <w:rPr>
          <w:rFonts w:ascii="Arial" w:hAnsi="Arial" w:cs="Arial"/>
        </w:rPr>
        <w:t xml:space="preserve"> decline </w:t>
      </w:r>
      <w:r w:rsidR="00FA1850" w:rsidRPr="00D65F2C">
        <w:rPr>
          <w:rFonts w:ascii="Arial" w:hAnsi="Arial" w:cs="Arial"/>
        </w:rPr>
        <w:t>in</w:t>
      </w:r>
      <w:r w:rsidRPr="00D65F2C">
        <w:rPr>
          <w:rFonts w:ascii="Arial" w:hAnsi="Arial" w:cs="Arial"/>
        </w:rPr>
        <w:t xml:space="preserve"> liquid assets accordingly.</w:t>
      </w:r>
      <w:r w:rsidR="00FA1850">
        <w:rPr>
          <w:rFonts w:ascii="Arial" w:hAnsi="Arial" w:cs="Arial"/>
        </w:rPr>
        <w:t xml:space="preserve"> </w:t>
      </w:r>
      <w:r w:rsidRPr="00D65F2C">
        <w:rPr>
          <w:rFonts w:ascii="Arial" w:hAnsi="Arial" w:cs="Arial"/>
        </w:rPr>
        <w:t>Although finances ratios below 1.0 do not in themselves imply financial difficulties within any significant store chain, since consumers usually pay in cash while suppliers relay credit to them and some suppliers of credit facilities may also work with Tesco stores. It follows that effective internal control mechanisms and consistent liquidity tracking may be the best way to recogni</w:t>
      </w:r>
      <w:r w:rsidR="00FA1850">
        <w:rPr>
          <w:rFonts w:ascii="Arial" w:hAnsi="Arial" w:cs="Arial"/>
        </w:rPr>
        <w:t>s</w:t>
      </w:r>
      <w:r w:rsidRPr="00D65F2C">
        <w:rPr>
          <w:rFonts w:ascii="Arial" w:hAnsi="Arial" w:cs="Arial"/>
        </w:rPr>
        <w:t>e possible financial problems at the earliest stage (Fritze &amp; Jockel, 2025).</w:t>
      </w:r>
    </w:p>
    <w:p w14:paraId="54902474" w14:textId="41410DE0" w:rsidR="00D65F2C" w:rsidRPr="00FA1850" w:rsidRDefault="00D65F2C" w:rsidP="00D65F2C">
      <w:pPr>
        <w:spacing w:line="480" w:lineRule="auto"/>
        <w:rPr>
          <w:rFonts w:ascii="Arial" w:hAnsi="Arial" w:cs="Arial"/>
          <w:b/>
          <w:bCs/>
        </w:rPr>
      </w:pPr>
      <w:r w:rsidRPr="00FA1850">
        <w:rPr>
          <w:rFonts w:ascii="Arial" w:hAnsi="Arial" w:cs="Arial"/>
          <w:b/>
          <w:bCs/>
        </w:rPr>
        <w:lastRenderedPageBreak/>
        <w:t>Tesco’s Efficiency and Financial Stability</w:t>
      </w:r>
    </w:p>
    <w:p w14:paraId="1E39AEDE" w14:textId="77777777" w:rsidR="00D65F2C" w:rsidRPr="00D65F2C" w:rsidRDefault="00D65F2C" w:rsidP="00D65F2C">
      <w:pPr>
        <w:spacing w:line="480" w:lineRule="auto"/>
        <w:rPr>
          <w:rFonts w:ascii="Arial" w:hAnsi="Arial" w:cs="Arial"/>
        </w:rPr>
      </w:pPr>
      <w:r w:rsidRPr="00D65F2C">
        <w:rPr>
          <w:rFonts w:ascii="Arial" w:hAnsi="Arial" w:cs="Arial"/>
        </w:rPr>
        <w:t>Its ROCE has grown over two years.</w:t>
      </w:r>
    </w:p>
    <w:p w14:paraId="7A387F5F" w14:textId="2A763087" w:rsidR="00D65F2C" w:rsidRPr="00FA1850" w:rsidRDefault="00D65F2C" w:rsidP="00D65F2C">
      <w:pPr>
        <w:spacing w:line="480" w:lineRule="auto"/>
        <w:rPr>
          <w:rFonts w:ascii="Arial" w:hAnsi="Arial" w:cs="Arial"/>
          <w:b/>
          <w:bCs/>
        </w:rPr>
      </w:pPr>
      <w:r w:rsidRPr="00D65F2C">
        <w:rPr>
          <w:rFonts w:ascii="Arial" w:hAnsi="Arial" w:cs="Arial"/>
        </w:rPr>
        <w:t xml:space="preserve">2024 ROCE: </w:t>
      </w:r>
      <w:r w:rsidRPr="00FA1850">
        <w:rPr>
          <w:rFonts w:ascii="Arial" w:hAnsi="Arial" w:cs="Arial"/>
          <w:b/>
          <w:bCs/>
        </w:rPr>
        <w:t xml:space="preserve">£2,829m </w:t>
      </w:r>
      <w:r w:rsidR="00FA1850">
        <w:rPr>
          <w:rFonts w:ascii="Arial" w:hAnsi="Arial" w:cs="Arial"/>
          <w:b/>
          <w:bCs/>
        </w:rPr>
        <w:t>/</w:t>
      </w:r>
      <w:r w:rsidRPr="00FA1850">
        <w:rPr>
          <w:rFonts w:ascii="Arial" w:hAnsi="Arial" w:cs="Arial"/>
          <w:b/>
          <w:bCs/>
        </w:rPr>
        <w:t xml:space="preserve"> £21,072m × 100 = 13.4%</w:t>
      </w:r>
    </w:p>
    <w:p w14:paraId="493B1953" w14:textId="0F75A9A8" w:rsidR="00D65F2C" w:rsidRPr="00FA1850" w:rsidRDefault="00D65F2C" w:rsidP="00D65F2C">
      <w:pPr>
        <w:spacing w:line="480" w:lineRule="auto"/>
        <w:rPr>
          <w:rFonts w:ascii="Arial" w:hAnsi="Arial" w:cs="Arial"/>
          <w:b/>
          <w:bCs/>
        </w:rPr>
      </w:pPr>
      <w:r w:rsidRPr="00D65F2C">
        <w:rPr>
          <w:rFonts w:ascii="Arial" w:hAnsi="Arial" w:cs="Arial"/>
        </w:rPr>
        <w:t>2025 ROCE:</w:t>
      </w:r>
      <w:r w:rsidR="00FA1850">
        <w:rPr>
          <w:rFonts w:ascii="Arial" w:hAnsi="Arial" w:cs="Arial"/>
        </w:rPr>
        <w:t xml:space="preserve"> </w:t>
      </w:r>
      <w:r w:rsidRPr="00FA1850">
        <w:rPr>
          <w:rFonts w:ascii="Arial" w:hAnsi="Arial" w:cs="Arial"/>
          <w:b/>
          <w:bCs/>
        </w:rPr>
        <w:t xml:space="preserve">£3,128m </w:t>
      </w:r>
      <w:r w:rsidR="00FA1850" w:rsidRPr="00FA1850">
        <w:rPr>
          <w:rFonts w:ascii="Arial" w:hAnsi="Arial" w:cs="Arial"/>
          <w:b/>
          <w:bCs/>
        </w:rPr>
        <w:t>/</w:t>
      </w:r>
      <w:r w:rsidRPr="00FA1850">
        <w:rPr>
          <w:rFonts w:ascii="Arial" w:hAnsi="Arial" w:cs="Arial"/>
          <w:b/>
          <w:bCs/>
        </w:rPr>
        <w:t xml:space="preserve"> £21,475m × 100 = 14.6%</w:t>
      </w:r>
    </w:p>
    <w:p w14:paraId="7D7877E8" w14:textId="77777777" w:rsidR="00D65F2C" w:rsidRPr="00D65F2C" w:rsidRDefault="00D65F2C" w:rsidP="00D65F2C">
      <w:pPr>
        <w:spacing w:line="480" w:lineRule="auto"/>
        <w:rPr>
          <w:rFonts w:ascii="Arial" w:hAnsi="Arial" w:cs="Arial"/>
        </w:rPr>
      </w:pPr>
      <w:r w:rsidRPr="00D65F2C">
        <w:rPr>
          <w:rFonts w:ascii="Arial" w:hAnsi="Arial" w:cs="Arial"/>
        </w:rPr>
        <w:t>The rise in ROCE indicates that the company obtained higher amount of adjusted operating profit from the average amount of capital employed in its operations, which implies better operational and capital efficiency in 2025.</w:t>
      </w:r>
    </w:p>
    <w:p w14:paraId="3E091379" w14:textId="77777777" w:rsidR="00D65F2C" w:rsidRPr="00D65F2C" w:rsidRDefault="00D65F2C" w:rsidP="00D65F2C">
      <w:pPr>
        <w:spacing w:line="480" w:lineRule="auto"/>
        <w:rPr>
          <w:rFonts w:ascii="Arial" w:hAnsi="Arial" w:cs="Arial"/>
        </w:rPr>
      </w:pPr>
      <w:r w:rsidRPr="00D65F2C">
        <w:rPr>
          <w:rFonts w:ascii="Arial" w:hAnsi="Arial" w:cs="Arial"/>
        </w:rPr>
        <w:t>Net debt/EBITDA ratio of Tesco has also improved from 2.2 times in 2024 to 2.0 times in 2025; moreover, net debt has been lowered from a little less than £9.684 billion down to about £9.454 billion. The falling debt ratio may indicate improving financial stability and better capacity to cover financial liabilities, and careful monitoring of high leverage levels is certainly still needed (Al-Manaseer, 2024).</w:t>
      </w:r>
    </w:p>
    <w:p w14:paraId="1D2079E4" w14:textId="77777777" w:rsidR="00D65F2C" w:rsidRPr="00D65F2C" w:rsidRDefault="00D65F2C" w:rsidP="00D65F2C">
      <w:pPr>
        <w:spacing w:line="480" w:lineRule="auto"/>
        <w:rPr>
          <w:rFonts w:ascii="Arial" w:hAnsi="Arial" w:cs="Arial"/>
        </w:rPr>
      </w:pPr>
      <w:r w:rsidRPr="00D65F2C">
        <w:rPr>
          <w:rFonts w:ascii="Arial" w:hAnsi="Arial" w:cs="Arial"/>
        </w:rPr>
        <w:t>However, cash generation was far from positive. The amount of free cash flow has decreased from £2,063 million down to £1,750 million.</w:t>
      </w:r>
    </w:p>
    <w:p w14:paraId="629F2C69" w14:textId="6AF701F0" w:rsidR="00D65F2C" w:rsidRPr="00FA1850" w:rsidRDefault="00D65F2C" w:rsidP="00D65F2C">
      <w:pPr>
        <w:spacing w:line="480" w:lineRule="auto"/>
        <w:rPr>
          <w:rFonts w:ascii="Arial" w:hAnsi="Arial" w:cs="Arial"/>
          <w:b/>
          <w:bCs/>
        </w:rPr>
      </w:pPr>
      <w:r w:rsidRPr="00D65F2C">
        <w:rPr>
          <w:rFonts w:ascii="Arial" w:hAnsi="Arial" w:cs="Arial"/>
        </w:rPr>
        <w:t>2024 free cash flow/revenue:</w:t>
      </w:r>
      <w:r w:rsidR="00FA1850">
        <w:rPr>
          <w:rFonts w:ascii="Arial" w:hAnsi="Arial" w:cs="Arial"/>
        </w:rPr>
        <w:t xml:space="preserve"> </w:t>
      </w:r>
      <w:r w:rsidRPr="00FA1850">
        <w:rPr>
          <w:rFonts w:ascii="Arial" w:hAnsi="Arial" w:cs="Arial"/>
          <w:b/>
          <w:bCs/>
        </w:rPr>
        <w:t xml:space="preserve">£2,063m </w:t>
      </w:r>
      <w:r w:rsidR="00FA1850">
        <w:rPr>
          <w:rFonts w:ascii="Arial" w:hAnsi="Arial" w:cs="Arial"/>
          <w:b/>
          <w:bCs/>
        </w:rPr>
        <w:t>/</w:t>
      </w:r>
      <w:r w:rsidRPr="00FA1850">
        <w:rPr>
          <w:rFonts w:ascii="Arial" w:hAnsi="Arial" w:cs="Arial"/>
          <w:b/>
          <w:bCs/>
        </w:rPr>
        <w:t xml:space="preserve"> £68,187m × 100 = 3.03%</w:t>
      </w:r>
    </w:p>
    <w:p w14:paraId="18252079" w14:textId="49D0CCC1" w:rsidR="00D65F2C" w:rsidRPr="00FA1850" w:rsidRDefault="00D65F2C" w:rsidP="00D65F2C">
      <w:pPr>
        <w:spacing w:line="480" w:lineRule="auto"/>
        <w:rPr>
          <w:rFonts w:ascii="Arial" w:hAnsi="Arial" w:cs="Arial"/>
          <w:b/>
          <w:bCs/>
        </w:rPr>
      </w:pPr>
      <w:r w:rsidRPr="00D65F2C">
        <w:rPr>
          <w:rFonts w:ascii="Arial" w:hAnsi="Arial" w:cs="Arial"/>
        </w:rPr>
        <w:t>2025 free cash flow/revenue:</w:t>
      </w:r>
      <w:r w:rsidR="00FA1850">
        <w:rPr>
          <w:rFonts w:ascii="Arial" w:hAnsi="Arial" w:cs="Arial"/>
        </w:rPr>
        <w:t xml:space="preserve"> </w:t>
      </w:r>
      <w:r w:rsidRPr="00FA1850">
        <w:rPr>
          <w:rFonts w:ascii="Arial" w:hAnsi="Arial" w:cs="Arial"/>
          <w:b/>
          <w:bCs/>
        </w:rPr>
        <w:t>£1,750m</w:t>
      </w:r>
      <w:r w:rsidR="00FA1850">
        <w:rPr>
          <w:rFonts w:ascii="Arial" w:hAnsi="Arial" w:cs="Arial"/>
          <w:b/>
          <w:bCs/>
        </w:rPr>
        <w:t xml:space="preserve"> /</w:t>
      </w:r>
      <w:r w:rsidRPr="00FA1850">
        <w:rPr>
          <w:rFonts w:ascii="Arial" w:hAnsi="Arial" w:cs="Arial"/>
          <w:b/>
          <w:bCs/>
        </w:rPr>
        <w:t xml:space="preserve"> £69,916m × 100 = 2.50%</w:t>
      </w:r>
    </w:p>
    <w:p w14:paraId="67F92041" w14:textId="77777777" w:rsidR="00FA1850" w:rsidRDefault="00D65F2C" w:rsidP="00D65F2C">
      <w:pPr>
        <w:spacing w:line="480" w:lineRule="auto"/>
        <w:rPr>
          <w:rFonts w:ascii="Arial" w:hAnsi="Arial" w:cs="Arial"/>
        </w:rPr>
      </w:pPr>
      <w:r w:rsidRPr="00D65F2C">
        <w:rPr>
          <w:rFonts w:ascii="Arial" w:hAnsi="Arial" w:cs="Arial"/>
        </w:rPr>
        <w:t xml:space="preserve">This decrease indicates lower cash conversion ratio despite the increase in adjusted </w:t>
      </w:r>
      <w:r w:rsidR="00FA1850" w:rsidRPr="00D65F2C">
        <w:rPr>
          <w:rFonts w:ascii="Arial" w:hAnsi="Arial" w:cs="Arial"/>
        </w:rPr>
        <w:t>profitability. One</w:t>
      </w:r>
      <w:r w:rsidRPr="00D65F2C">
        <w:rPr>
          <w:rFonts w:ascii="Arial" w:hAnsi="Arial" w:cs="Arial"/>
        </w:rPr>
        <w:t xml:space="preserve"> of the reasons behind this was the rise in the investment amounts, with the capital expenditure rising from £1,314 million to £1,457 million. While that means a decrease in the cash flow at first, it allows the company to invest in the stores, technology, and infrastructure for long-term financial gains.</w:t>
      </w:r>
    </w:p>
    <w:p w14:paraId="20DB9D89" w14:textId="2A4BB1AB" w:rsidR="00D65F2C" w:rsidRPr="00FA1850" w:rsidRDefault="00FA1850" w:rsidP="00D65F2C">
      <w:pPr>
        <w:spacing w:line="480" w:lineRule="auto"/>
        <w:rPr>
          <w:rFonts w:ascii="Arial" w:hAnsi="Arial" w:cs="Arial"/>
          <w:b/>
          <w:bCs/>
        </w:rPr>
      </w:pPr>
      <w:r w:rsidRPr="00FA1850">
        <w:rPr>
          <w:rFonts w:ascii="Arial" w:hAnsi="Arial" w:cs="Arial"/>
          <w:b/>
          <w:bCs/>
        </w:rPr>
        <w:lastRenderedPageBreak/>
        <w:t>Recommendation</w:t>
      </w:r>
      <w:r w:rsidR="00D65F2C" w:rsidRPr="00FA1850">
        <w:rPr>
          <w:rFonts w:ascii="Arial" w:hAnsi="Arial" w:cs="Arial"/>
          <w:b/>
          <w:bCs/>
        </w:rPr>
        <w:t xml:space="preserve"> and Sustainability</w:t>
      </w:r>
    </w:p>
    <w:p w14:paraId="79C2F9B7" w14:textId="77777777" w:rsidR="00D65F2C" w:rsidRPr="00D65F2C" w:rsidRDefault="00D65F2C" w:rsidP="00D65F2C">
      <w:pPr>
        <w:spacing w:line="480" w:lineRule="auto"/>
        <w:rPr>
          <w:rFonts w:ascii="Arial" w:hAnsi="Arial" w:cs="Arial"/>
        </w:rPr>
      </w:pPr>
      <w:r w:rsidRPr="00D65F2C">
        <w:rPr>
          <w:rFonts w:ascii="Arial" w:hAnsi="Arial" w:cs="Arial"/>
        </w:rPr>
        <w:t>Tesco should continue to enhance the management of its working capital, focusing mainly on the improvement of the inventory forecasting and inventory control. The fact that the inventory has risen from £2,635 million to £2,768 million indicates that more financial resources are tied up in stocks. Thus, if Tesco improves its demand forecasting, it would be able to avoid excess inventory and improve liquidity.</w:t>
      </w:r>
    </w:p>
    <w:p w14:paraId="4BF9A60C" w14:textId="77777777" w:rsidR="00D65F2C" w:rsidRPr="00D65F2C" w:rsidRDefault="00D65F2C" w:rsidP="00D65F2C">
      <w:pPr>
        <w:spacing w:line="480" w:lineRule="auto"/>
        <w:rPr>
          <w:rFonts w:ascii="Arial" w:hAnsi="Arial" w:cs="Arial"/>
        </w:rPr>
      </w:pPr>
      <w:r w:rsidRPr="00D65F2C">
        <w:rPr>
          <w:rFonts w:ascii="Arial" w:hAnsi="Arial" w:cs="Arial"/>
        </w:rPr>
        <w:t>Another recommendation is the continued investment in digital technologies helping to streamline business. If implemented correctly, artificial intelligence combined with innovative financial technologies can enhance forecasting, financial reporting, and decision-making (</w:t>
      </w:r>
      <w:proofErr w:type="spellStart"/>
      <w:r w:rsidRPr="00D65F2C">
        <w:rPr>
          <w:rFonts w:ascii="Arial" w:hAnsi="Arial" w:cs="Arial"/>
        </w:rPr>
        <w:t>Odonkor</w:t>
      </w:r>
      <w:proofErr w:type="spellEnd"/>
      <w:r w:rsidRPr="00D65F2C">
        <w:rPr>
          <w:rFonts w:ascii="Arial" w:hAnsi="Arial" w:cs="Arial"/>
        </w:rPr>
        <w:t xml:space="preserve"> et al., 2024).</w:t>
      </w:r>
    </w:p>
    <w:p w14:paraId="6D8AAF76" w14:textId="77777777" w:rsidR="00D65F2C" w:rsidRPr="00D65F2C" w:rsidRDefault="00D65F2C" w:rsidP="00D65F2C">
      <w:pPr>
        <w:spacing w:line="480" w:lineRule="auto"/>
        <w:rPr>
          <w:rFonts w:ascii="Arial" w:hAnsi="Arial" w:cs="Arial"/>
        </w:rPr>
      </w:pPr>
      <w:r w:rsidRPr="00D65F2C">
        <w:rPr>
          <w:rFonts w:ascii="Arial" w:hAnsi="Arial" w:cs="Arial"/>
        </w:rPr>
        <w:t>The company should continue working on the reduction of the level of debt, because even if the ratio of net debt/EBITDA shows an improving result, Tesco still has many debts. It is important to achieve a sustainable equilibrium between the return to shareholders and the investment necessary to decrease the level of debts.</w:t>
      </w:r>
    </w:p>
    <w:p w14:paraId="79AFD96C" w14:textId="77777777" w:rsidR="00D65F2C" w:rsidRPr="00D65F2C" w:rsidRDefault="00D65F2C" w:rsidP="00D65F2C">
      <w:pPr>
        <w:spacing w:line="480" w:lineRule="auto"/>
        <w:rPr>
          <w:rFonts w:ascii="Arial" w:hAnsi="Arial" w:cs="Arial"/>
        </w:rPr>
      </w:pPr>
      <w:r w:rsidRPr="00D65F2C">
        <w:rPr>
          <w:rFonts w:ascii="Arial" w:hAnsi="Arial" w:cs="Arial"/>
        </w:rPr>
        <w:t xml:space="preserve">It is also essential to keep linking improvements in finance with sustainability issues. Company in the 21st century requires ESG data for its effective functioning (Cruz &amp; Matos, 2023). </w:t>
      </w:r>
    </w:p>
    <w:p w14:paraId="4F81E7CF" w14:textId="41F0D8D8" w:rsidR="00D65F2C" w:rsidRPr="00FA1850" w:rsidRDefault="00FA1850" w:rsidP="00D65F2C">
      <w:pPr>
        <w:spacing w:line="480" w:lineRule="auto"/>
        <w:rPr>
          <w:rFonts w:ascii="Arial" w:hAnsi="Arial" w:cs="Arial"/>
          <w:b/>
          <w:bCs/>
        </w:rPr>
      </w:pPr>
      <w:r w:rsidRPr="00FA1850">
        <w:rPr>
          <w:rFonts w:ascii="Arial" w:hAnsi="Arial" w:cs="Arial"/>
          <w:b/>
          <w:bCs/>
        </w:rPr>
        <w:t>Conclusion</w:t>
      </w:r>
    </w:p>
    <w:p w14:paraId="25591D8B" w14:textId="77777777" w:rsidR="00FA1850" w:rsidRDefault="00D65F2C" w:rsidP="00D65F2C">
      <w:pPr>
        <w:spacing w:line="480" w:lineRule="auto"/>
        <w:rPr>
          <w:rFonts w:ascii="Arial" w:hAnsi="Arial" w:cs="Arial"/>
        </w:rPr>
      </w:pPr>
      <w:r w:rsidRPr="00D65F2C">
        <w:rPr>
          <w:rFonts w:ascii="Arial" w:hAnsi="Arial" w:cs="Arial"/>
        </w:rPr>
        <w:t xml:space="preserve">Overall, it can be said that ratio analysis shows that in the period from 2024 to 2025 the financial performance of Tesco improved. The revenue went up by 2.54%, the adjusted operating margin grew from 4.15% to 4.47%, the number of </w:t>
      </w:r>
      <w:r w:rsidR="00FA1850" w:rsidRPr="00D65F2C">
        <w:rPr>
          <w:rFonts w:ascii="Arial" w:hAnsi="Arial" w:cs="Arial"/>
        </w:rPr>
        <w:t>returns on capital</w:t>
      </w:r>
      <w:r w:rsidRPr="00D65F2C">
        <w:rPr>
          <w:rFonts w:ascii="Arial" w:hAnsi="Arial" w:cs="Arial"/>
        </w:rPr>
        <w:t xml:space="preserve"> employed went up from 13.4% to 14.6%, and the level of net debt/EBITDA fell from 2.2 to 2.0. The </w:t>
      </w:r>
      <w:r w:rsidRPr="00D65F2C">
        <w:rPr>
          <w:rFonts w:ascii="Arial" w:hAnsi="Arial" w:cs="Arial"/>
        </w:rPr>
        <w:lastRenderedPageBreak/>
        <w:t>results show enhanced operational functioning, capital efficiency, and debt management.</w:t>
      </w:r>
    </w:p>
    <w:p w14:paraId="5CB7A346" w14:textId="32D61A98" w:rsidR="00325E28" w:rsidRDefault="00D65F2C" w:rsidP="00D65F2C">
      <w:pPr>
        <w:spacing w:line="480" w:lineRule="auto"/>
        <w:rPr>
          <w:rFonts w:ascii="Arial" w:hAnsi="Arial" w:cs="Arial"/>
        </w:rPr>
      </w:pPr>
      <w:r w:rsidRPr="00D65F2C">
        <w:rPr>
          <w:rFonts w:ascii="Arial" w:hAnsi="Arial" w:cs="Arial"/>
        </w:rPr>
        <w:t>However, weaknesses became obvious as well. Statutory operating margin declined, current and quick ratios became a bit weaker, the free cash flow decreased from 3.03% to 2.50%. The analysis of ratios showed that Tesco achieved improvement in financial performance that cannot be categori</w:t>
      </w:r>
      <w:r w:rsidR="00FA1850">
        <w:rPr>
          <w:rFonts w:ascii="Arial" w:hAnsi="Arial" w:cs="Arial"/>
        </w:rPr>
        <w:t>s</w:t>
      </w:r>
      <w:r w:rsidRPr="00D65F2C">
        <w:rPr>
          <w:rFonts w:ascii="Arial" w:hAnsi="Arial" w:cs="Arial"/>
        </w:rPr>
        <w:t xml:space="preserve">ed as an overall improvement or decline. Thus, the company became even more effective but faced some liquidity and cash generation issues (Olayinka, 2022; </w:t>
      </w:r>
      <w:proofErr w:type="spellStart"/>
      <w:r w:rsidRPr="00D65F2C">
        <w:rPr>
          <w:rFonts w:ascii="Arial" w:hAnsi="Arial" w:cs="Arial"/>
        </w:rPr>
        <w:t>Seretidou</w:t>
      </w:r>
      <w:proofErr w:type="spellEnd"/>
      <w:r w:rsidRPr="00D65F2C">
        <w:rPr>
          <w:rFonts w:ascii="Arial" w:hAnsi="Arial" w:cs="Arial"/>
        </w:rPr>
        <w:t xml:space="preserve"> et al., 2025).</w:t>
      </w:r>
    </w:p>
    <w:p w14:paraId="1EF71D5F" w14:textId="77777777" w:rsidR="00FA1850" w:rsidRDefault="00FA1850" w:rsidP="00D65F2C">
      <w:pPr>
        <w:spacing w:line="480" w:lineRule="auto"/>
        <w:rPr>
          <w:rFonts w:ascii="Arial" w:hAnsi="Arial" w:cs="Arial"/>
        </w:rPr>
      </w:pPr>
    </w:p>
    <w:p w14:paraId="5677187F" w14:textId="77777777" w:rsidR="00FA1850" w:rsidRDefault="00FA1850" w:rsidP="00D65F2C">
      <w:pPr>
        <w:spacing w:line="480" w:lineRule="auto"/>
        <w:rPr>
          <w:rFonts w:ascii="Arial" w:hAnsi="Arial" w:cs="Arial"/>
        </w:rPr>
      </w:pPr>
    </w:p>
    <w:p w14:paraId="69CE58D6" w14:textId="77777777" w:rsidR="00FA1850" w:rsidRDefault="00FA1850" w:rsidP="00D65F2C">
      <w:pPr>
        <w:spacing w:line="480" w:lineRule="auto"/>
        <w:rPr>
          <w:rFonts w:ascii="Arial" w:hAnsi="Arial" w:cs="Arial"/>
        </w:rPr>
      </w:pPr>
    </w:p>
    <w:p w14:paraId="3803D4C9" w14:textId="77777777" w:rsidR="00FA1850" w:rsidRDefault="00FA1850" w:rsidP="00D65F2C">
      <w:pPr>
        <w:spacing w:line="480" w:lineRule="auto"/>
        <w:rPr>
          <w:rFonts w:ascii="Arial" w:hAnsi="Arial" w:cs="Arial"/>
        </w:rPr>
      </w:pPr>
    </w:p>
    <w:p w14:paraId="51428215" w14:textId="77777777" w:rsidR="00FA1850" w:rsidRDefault="00FA1850" w:rsidP="00D65F2C">
      <w:pPr>
        <w:spacing w:line="480" w:lineRule="auto"/>
        <w:rPr>
          <w:rFonts w:ascii="Arial" w:hAnsi="Arial" w:cs="Arial"/>
        </w:rPr>
      </w:pPr>
    </w:p>
    <w:p w14:paraId="34A44625" w14:textId="77777777" w:rsidR="00FA1850" w:rsidRDefault="00FA1850" w:rsidP="00D65F2C">
      <w:pPr>
        <w:spacing w:line="480" w:lineRule="auto"/>
        <w:rPr>
          <w:rFonts w:ascii="Arial" w:hAnsi="Arial" w:cs="Arial"/>
        </w:rPr>
      </w:pPr>
    </w:p>
    <w:p w14:paraId="03A3B4DD" w14:textId="77777777" w:rsidR="00FA1850" w:rsidRDefault="00FA1850" w:rsidP="00D65F2C">
      <w:pPr>
        <w:spacing w:line="480" w:lineRule="auto"/>
        <w:rPr>
          <w:rFonts w:ascii="Arial" w:hAnsi="Arial" w:cs="Arial"/>
        </w:rPr>
      </w:pPr>
    </w:p>
    <w:p w14:paraId="4D7A71E8" w14:textId="77777777" w:rsidR="00FA1850" w:rsidRDefault="00FA1850" w:rsidP="00D65F2C">
      <w:pPr>
        <w:spacing w:line="480" w:lineRule="auto"/>
        <w:rPr>
          <w:rFonts w:ascii="Arial" w:hAnsi="Arial" w:cs="Arial"/>
        </w:rPr>
      </w:pPr>
    </w:p>
    <w:p w14:paraId="14C3A88F" w14:textId="77777777" w:rsidR="00FA1850" w:rsidRDefault="00FA1850" w:rsidP="00D65F2C">
      <w:pPr>
        <w:spacing w:line="480" w:lineRule="auto"/>
        <w:rPr>
          <w:rFonts w:ascii="Arial" w:hAnsi="Arial" w:cs="Arial"/>
        </w:rPr>
      </w:pPr>
    </w:p>
    <w:p w14:paraId="22B66DC0" w14:textId="77777777" w:rsidR="00FA1850" w:rsidRDefault="00FA1850" w:rsidP="00D65F2C">
      <w:pPr>
        <w:spacing w:line="480" w:lineRule="auto"/>
        <w:rPr>
          <w:rFonts w:ascii="Arial" w:hAnsi="Arial" w:cs="Arial"/>
        </w:rPr>
      </w:pPr>
    </w:p>
    <w:p w14:paraId="677A2294" w14:textId="77777777" w:rsidR="00FA1850" w:rsidRDefault="00FA1850" w:rsidP="00D65F2C">
      <w:pPr>
        <w:spacing w:line="480" w:lineRule="auto"/>
        <w:rPr>
          <w:rFonts w:ascii="Arial" w:hAnsi="Arial" w:cs="Arial"/>
        </w:rPr>
      </w:pPr>
    </w:p>
    <w:p w14:paraId="777808D5" w14:textId="77777777" w:rsidR="00FA1850" w:rsidRDefault="00FA1850" w:rsidP="00D65F2C">
      <w:pPr>
        <w:spacing w:line="480" w:lineRule="auto"/>
        <w:rPr>
          <w:rFonts w:ascii="Arial" w:hAnsi="Arial" w:cs="Arial"/>
        </w:rPr>
      </w:pPr>
    </w:p>
    <w:p w14:paraId="06CDA047" w14:textId="4B3ED60E" w:rsidR="00FA1850" w:rsidRPr="00FA1850" w:rsidRDefault="00FA1850" w:rsidP="00D65F2C">
      <w:pPr>
        <w:spacing w:line="480" w:lineRule="auto"/>
        <w:rPr>
          <w:rFonts w:ascii="Arial" w:hAnsi="Arial" w:cs="Arial"/>
          <w:b/>
          <w:bCs/>
        </w:rPr>
      </w:pPr>
      <w:r w:rsidRPr="00FA1850">
        <w:rPr>
          <w:rFonts w:ascii="Arial" w:hAnsi="Arial" w:cs="Arial"/>
          <w:b/>
          <w:bCs/>
        </w:rPr>
        <w:lastRenderedPageBreak/>
        <w:t xml:space="preserve">References </w:t>
      </w:r>
    </w:p>
    <w:p w14:paraId="56391606" w14:textId="77777777" w:rsidR="00FA1850" w:rsidRPr="00FA1850" w:rsidRDefault="00FA1850" w:rsidP="00FA1850">
      <w:pPr>
        <w:spacing w:line="480" w:lineRule="auto"/>
        <w:rPr>
          <w:rFonts w:ascii="Arial" w:hAnsi="Arial" w:cs="Arial"/>
        </w:rPr>
      </w:pPr>
      <w:r w:rsidRPr="00FA1850">
        <w:rPr>
          <w:rFonts w:ascii="Arial" w:hAnsi="Arial" w:cs="Arial"/>
        </w:rPr>
        <w:t xml:space="preserve">Al-Manaseer, S. R. (2024). The impact of debt ratio on financial stability through the mediating role of capital adequacy: Evidence from the regulatory framework of the banking industry. </w:t>
      </w:r>
      <w:r w:rsidRPr="00FA1850">
        <w:rPr>
          <w:rFonts w:ascii="Arial" w:hAnsi="Arial" w:cs="Arial"/>
          <w:i/>
          <w:iCs/>
        </w:rPr>
        <w:t>Journal of Governance &amp; Regulation, 13</w:t>
      </w:r>
      <w:r w:rsidRPr="00FA1850">
        <w:rPr>
          <w:rFonts w:ascii="Arial" w:hAnsi="Arial" w:cs="Arial"/>
        </w:rPr>
        <w:t>(4), 247–256.</w:t>
      </w:r>
    </w:p>
    <w:p w14:paraId="3D9680BA" w14:textId="77777777" w:rsidR="00FA1850" w:rsidRPr="00FA1850" w:rsidRDefault="00FA1850" w:rsidP="00FA1850">
      <w:pPr>
        <w:spacing w:line="480" w:lineRule="auto"/>
        <w:rPr>
          <w:rFonts w:ascii="Arial" w:hAnsi="Arial" w:cs="Arial"/>
        </w:rPr>
      </w:pPr>
      <w:r w:rsidRPr="00FA1850">
        <w:rPr>
          <w:rFonts w:ascii="Arial" w:hAnsi="Arial" w:cs="Arial"/>
          <w:lang w:val="pt-PT"/>
        </w:rPr>
        <w:t xml:space="preserve">Cruz, C. A., &amp; Matos, F. (2023). </w:t>
      </w:r>
      <w:r w:rsidRPr="00FA1850">
        <w:rPr>
          <w:rFonts w:ascii="Arial" w:hAnsi="Arial" w:cs="Arial"/>
        </w:rPr>
        <w:t xml:space="preserve">ESG maturity: A software framework for the challenges of ESG data in investment. </w:t>
      </w:r>
      <w:r w:rsidRPr="00FA1850">
        <w:rPr>
          <w:rFonts w:ascii="Arial" w:hAnsi="Arial" w:cs="Arial"/>
          <w:i/>
          <w:iCs/>
        </w:rPr>
        <w:t>Sustainability, 15</w:t>
      </w:r>
      <w:r w:rsidRPr="00FA1850">
        <w:rPr>
          <w:rFonts w:ascii="Arial" w:hAnsi="Arial" w:cs="Arial"/>
        </w:rPr>
        <w:t>(3), 2610.</w:t>
      </w:r>
    </w:p>
    <w:p w14:paraId="7C80FD62" w14:textId="77777777" w:rsidR="00FA1850" w:rsidRPr="00FA1850" w:rsidRDefault="00FA1850" w:rsidP="00FA1850">
      <w:pPr>
        <w:spacing w:line="480" w:lineRule="auto"/>
        <w:rPr>
          <w:rFonts w:ascii="Arial" w:hAnsi="Arial" w:cs="Arial"/>
        </w:rPr>
      </w:pPr>
      <w:r w:rsidRPr="00FA1850">
        <w:rPr>
          <w:rFonts w:ascii="Arial" w:hAnsi="Arial" w:cs="Arial"/>
          <w:lang w:val="de-DE"/>
        </w:rPr>
        <w:t xml:space="preserve">Eugenio, E., Angeline, A., Lee, B. P., Munthe, H., &amp; Nasib, N. (2023). </w:t>
      </w:r>
      <w:r w:rsidRPr="00FA1850">
        <w:rPr>
          <w:rFonts w:ascii="Arial" w:hAnsi="Arial" w:cs="Arial"/>
        </w:rPr>
        <w:t xml:space="preserve">The impact of NPM, ROI, ROE and cash ratio on financial distress. </w:t>
      </w:r>
      <w:proofErr w:type="spellStart"/>
      <w:r w:rsidRPr="00FA1850">
        <w:rPr>
          <w:rFonts w:ascii="Arial" w:hAnsi="Arial" w:cs="Arial"/>
          <w:i/>
          <w:iCs/>
        </w:rPr>
        <w:t>Jurnal</w:t>
      </w:r>
      <w:proofErr w:type="spellEnd"/>
      <w:r w:rsidRPr="00FA1850">
        <w:rPr>
          <w:rFonts w:ascii="Arial" w:hAnsi="Arial" w:cs="Arial"/>
          <w:i/>
          <w:iCs/>
        </w:rPr>
        <w:t xml:space="preserve"> Ekonomi, 12</w:t>
      </w:r>
      <w:r w:rsidRPr="00FA1850">
        <w:rPr>
          <w:rFonts w:ascii="Arial" w:hAnsi="Arial" w:cs="Arial"/>
        </w:rPr>
        <w:t>(2), 888–899.</w:t>
      </w:r>
    </w:p>
    <w:p w14:paraId="4C418B3E" w14:textId="77777777" w:rsidR="00FA1850" w:rsidRPr="00FA1850" w:rsidRDefault="00FA1850" w:rsidP="00FA1850">
      <w:pPr>
        <w:spacing w:line="480" w:lineRule="auto"/>
        <w:rPr>
          <w:rFonts w:ascii="Arial" w:hAnsi="Arial" w:cs="Arial"/>
        </w:rPr>
      </w:pPr>
      <w:r w:rsidRPr="00FA1850">
        <w:rPr>
          <w:rFonts w:ascii="Arial" w:hAnsi="Arial" w:cs="Arial"/>
        </w:rPr>
        <w:t xml:space="preserve">Fridson, M. S., &amp; Alvarez, F. (2022). </w:t>
      </w:r>
      <w:r w:rsidRPr="00FA1850">
        <w:rPr>
          <w:rFonts w:ascii="Arial" w:hAnsi="Arial" w:cs="Arial"/>
          <w:i/>
          <w:iCs/>
        </w:rPr>
        <w:t>Financial statement analysis: A practitioner's guide</w:t>
      </w:r>
      <w:r w:rsidRPr="00FA1850">
        <w:rPr>
          <w:rFonts w:ascii="Arial" w:hAnsi="Arial" w:cs="Arial"/>
        </w:rPr>
        <w:t>. John Wiley &amp; Sons.</w:t>
      </w:r>
    </w:p>
    <w:p w14:paraId="33597B0B" w14:textId="77777777" w:rsidR="00FA1850" w:rsidRPr="00FA1850" w:rsidRDefault="00FA1850" w:rsidP="00FA1850">
      <w:pPr>
        <w:spacing w:line="480" w:lineRule="auto"/>
        <w:rPr>
          <w:rFonts w:ascii="Arial" w:hAnsi="Arial" w:cs="Arial"/>
        </w:rPr>
      </w:pPr>
      <w:r w:rsidRPr="00FA1850">
        <w:rPr>
          <w:rFonts w:ascii="Arial" w:hAnsi="Arial" w:cs="Arial"/>
        </w:rPr>
        <w:t xml:space="preserve">Fritze, L., &amp; Jockel, O. (2025). Developing a model for an internal control system for usage in financial accounting and controlling. </w:t>
      </w:r>
      <w:r w:rsidRPr="00FA1850">
        <w:rPr>
          <w:rFonts w:ascii="Arial" w:hAnsi="Arial" w:cs="Arial"/>
          <w:i/>
          <w:iCs/>
        </w:rPr>
        <w:t>Journal of Financial Risk Management, 14</w:t>
      </w:r>
      <w:r w:rsidRPr="00FA1850">
        <w:rPr>
          <w:rFonts w:ascii="Arial" w:hAnsi="Arial" w:cs="Arial"/>
        </w:rPr>
        <w:t>(1), 18–36.</w:t>
      </w:r>
    </w:p>
    <w:p w14:paraId="485A453E" w14:textId="35CF8F09" w:rsidR="00FA1850" w:rsidRPr="00FA1850" w:rsidRDefault="00FA1850" w:rsidP="00FA1850">
      <w:pPr>
        <w:spacing w:line="480" w:lineRule="auto"/>
        <w:rPr>
          <w:rFonts w:ascii="Arial" w:hAnsi="Arial" w:cs="Arial"/>
        </w:rPr>
      </w:pPr>
      <w:proofErr w:type="spellStart"/>
      <w:r w:rsidRPr="00FA1850">
        <w:rPr>
          <w:rFonts w:ascii="Arial" w:hAnsi="Arial" w:cs="Arial"/>
          <w:lang w:val="fi-FI"/>
        </w:rPr>
        <w:t>Maheshwari</w:t>
      </w:r>
      <w:proofErr w:type="spellEnd"/>
      <w:r w:rsidRPr="00FA1850">
        <w:rPr>
          <w:rFonts w:ascii="Arial" w:hAnsi="Arial" w:cs="Arial"/>
          <w:lang w:val="fi-FI"/>
        </w:rPr>
        <w:t xml:space="preserve">, S. N., </w:t>
      </w:r>
      <w:proofErr w:type="spellStart"/>
      <w:r w:rsidRPr="00FA1850">
        <w:rPr>
          <w:rFonts w:ascii="Arial" w:hAnsi="Arial" w:cs="Arial"/>
          <w:lang w:val="fi-FI"/>
        </w:rPr>
        <w:t>Maheshwari</w:t>
      </w:r>
      <w:proofErr w:type="spellEnd"/>
      <w:r w:rsidRPr="00FA1850">
        <w:rPr>
          <w:rFonts w:ascii="Arial" w:hAnsi="Arial" w:cs="Arial"/>
          <w:lang w:val="fi-FI"/>
        </w:rPr>
        <w:t xml:space="preserve">, S. K., &amp; </w:t>
      </w:r>
      <w:proofErr w:type="spellStart"/>
      <w:r w:rsidRPr="00FA1850">
        <w:rPr>
          <w:rFonts w:ascii="Arial" w:hAnsi="Arial" w:cs="Arial"/>
          <w:lang w:val="fi-FI"/>
        </w:rPr>
        <w:t>Maheshwari</w:t>
      </w:r>
      <w:proofErr w:type="spellEnd"/>
      <w:r w:rsidRPr="00FA1850">
        <w:rPr>
          <w:rFonts w:ascii="Arial" w:hAnsi="Arial" w:cs="Arial"/>
          <w:lang w:val="fi-FI"/>
        </w:rPr>
        <w:t xml:space="preserve">, S. K. (2024). </w:t>
      </w:r>
      <w:r w:rsidRPr="00FA1850">
        <w:rPr>
          <w:rFonts w:ascii="Arial" w:hAnsi="Arial" w:cs="Arial"/>
          <w:i/>
          <w:iCs/>
        </w:rPr>
        <w:t>Management accounting and financial control.</w:t>
      </w:r>
      <w:r w:rsidRPr="00FA1850">
        <w:rPr>
          <w:rFonts w:ascii="Arial" w:hAnsi="Arial" w:cs="Arial"/>
        </w:rPr>
        <w:t xml:space="preserve"> Sultan Chand &amp; Sons.</w:t>
      </w:r>
    </w:p>
    <w:p w14:paraId="27D0FBB5" w14:textId="77777777" w:rsidR="00FA1850" w:rsidRDefault="00FA1850" w:rsidP="00FA1850">
      <w:pPr>
        <w:spacing w:line="480" w:lineRule="auto"/>
        <w:rPr>
          <w:rFonts w:ascii="Arial" w:hAnsi="Arial" w:cs="Arial"/>
        </w:rPr>
      </w:pPr>
      <w:proofErr w:type="spellStart"/>
      <w:r w:rsidRPr="00FA1850">
        <w:rPr>
          <w:rFonts w:ascii="Arial" w:hAnsi="Arial" w:cs="Arial"/>
        </w:rPr>
        <w:t>Odonkor</w:t>
      </w:r>
      <w:proofErr w:type="spellEnd"/>
      <w:r w:rsidRPr="00FA1850">
        <w:rPr>
          <w:rFonts w:ascii="Arial" w:hAnsi="Arial" w:cs="Arial"/>
        </w:rPr>
        <w:t xml:space="preserve">, B., Kaggwa, S., </w:t>
      </w:r>
      <w:proofErr w:type="spellStart"/>
      <w:r w:rsidRPr="00FA1850">
        <w:rPr>
          <w:rFonts w:ascii="Arial" w:hAnsi="Arial" w:cs="Arial"/>
        </w:rPr>
        <w:t>Uwaoma</w:t>
      </w:r>
      <w:proofErr w:type="spellEnd"/>
      <w:r w:rsidRPr="00FA1850">
        <w:rPr>
          <w:rFonts w:ascii="Arial" w:hAnsi="Arial" w:cs="Arial"/>
        </w:rPr>
        <w:t xml:space="preserve">, P. U., Hassan, A. O., &amp; </w:t>
      </w:r>
      <w:proofErr w:type="spellStart"/>
      <w:r w:rsidRPr="00FA1850">
        <w:rPr>
          <w:rFonts w:ascii="Arial" w:hAnsi="Arial" w:cs="Arial"/>
        </w:rPr>
        <w:t>Farayola</w:t>
      </w:r>
      <w:proofErr w:type="spellEnd"/>
      <w:r w:rsidRPr="00FA1850">
        <w:rPr>
          <w:rFonts w:ascii="Arial" w:hAnsi="Arial" w:cs="Arial"/>
        </w:rPr>
        <w:t xml:space="preserve">, O. A. (2024). The impact of AI on accounting practices: A review exploring how artificial intelligence is transforming traditional accounting methods and financial reporting. </w:t>
      </w:r>
      <w:r w:rsidRPr="00FA1850">
        <w:rPr>
          <w:rFonts w:ascii="Arial" w:hAnsi="Arial" w:cs="Arial"/>
          <w:i/>
          <w:iCs/>
        </w:rPr>
        <w:t>World Journal of Advanced Research and Reviews, 21</w:t>
      </w:r>
      <w:r w:rsidRPr="00FA1850">
        <w:rPr>
          <w:rFonts w:ascii="Arial" w:hAnsi="Arial" w:cs="Arial"/>
        </w:rPr>
        <w:t>(1), 172–188.</w:t>
      </w:r>
    </w:p>
    <w:p w14:paraId="33C0C493" w14:textId="37E0029C" w:rsidR="00FA1850" w:rsidRPr="00FA1850" w:rsidRDefault="00FA1850" w:rsidP="00FA1850">
      <w:pPr>
        <w:spacing w:line="480" w:lineRule="auto"/>
        <w:rPr>
          <w:rFonts w:ascii="Arial" w:hAnsi="Arial" w:cs="Arial"/>
        </w:rPr>
      </w:pPr>
      <w:r w:rsidRPr="00FA1850">
        <w:rPr>
          <w:rFonts w:ascii="Arial" w:hAnsi="Arial" w:cs="Arial"/>
        </w:rPr>
        <w:lastRenderedPageBreak/>
        <w:t xml:space="preserve">Olayinka, A. A. (2022). Financial statement analysis as a tool for investment decisions and assessment of companies' performance. </w:t>
      </w:r>
      <w:r w:rsidRPr="00FA1850">
        <w:rPr>
          <w:rFonts w:ascii="Arial" w:hAnsi="Arial" w:cs="Arial"/>
          <w:i/>
          <w:iCs/>
        </w:rPr>
        <w:t>International Journal of Financial, Accounting, and Management, 4</w:t>
      </w:r>
      <w:r w:rsidRPr="00FA1850">
        <w:rPr>
          <w:rFonts w:ascii="Arial" w:hAnsi="Arial" w:cs="Arial"/>
        </w:rPr>
        <w:t>(1), 49–66.</w:t>
      </w:r>
    </w:p>
    <w:p w14:paraId="50EB5794" w14:textId="77777777" w:rsidR="00FA1850" w:rsidRPr="00FA1850" w:rsidRDefault="00FA1850" w:rsidP="00FA1850">
      <w:pPr>
        <w:spacing w:line="480" w:lineRule="auto"/>
        <w:rPr>
          <w:rFonts w:ascii="Arial" w:hAnsi="Arial" w:cs="Arial"/>
        </w:rPr>
      </w:pPr>
      <w:r w:rsidRPr="00FA1850">
        <w:rPr>
          <w:rFonts w:ascii="Arial" w:hAnsi="Arial" w:cs="Arial"/>
          <w:lang w:val="de-DE"/>
        </w:rPr>
        <w:t xml:space="preserve">Rachman, S., </w:t>
      </w:r>
      <w:proofErr w:type="spellStart"/>
      <w:r w:rsidRPr="00FA1850">
        <w:rPr>
          <w:rFonts w:ascii="Arial" w:hAnsi="Arial" w:cs="Arial"/>
          <w:lang w:val="de-DE"/>
        </w:rPr>
        <w:t>Karyatun</w:t>
      </w:r>
      <w:proofErr w:type="spellEnd"/>
      <w:r w:rsidRPr="00FA1850">
        <w:rPr>
          <w:rFonts w:ascii="Arial" w:hAnsi="Arial" w:cs="Arial"/>
          <w:lang w:val="de-DE"/>
        </w:rPr>
        <w:t xml:space="preserve">, S., &amp; </w:t>
      </w:r>
      <w:proofErr w:type="spellStart"/>
      <w:r w:rsidRPr="00FA1850">
        <w:rPr>
          <w:rFonts w:ascii="Arial" w:hAnsi="Arial" w:cs="Arial"/>
          <w:lang w:val="de-DE"/>
        </w:rPr>
        <w:t>Digdowiseiso</w:t>
      </w:r>
      <w:proofErr w:type="spellEnd"/>
      <w:r w:rsidRPr="00FA1850">
        <w:rPr>
          <w:rFonts w:ascii="Arial" w:hAnsi="Arial" w:cs="Arial"/>
          <w:lang w:val="de-DE"/>
        </w:rPr>
        <w:t xml:space="preserve">, K. (2023). </w:t>
      </w:r>
      <w:r w:rsidRPr="00FA1850">
        <w:rPr>
          <w:rFonts w:ascii="Arial" w:hAnsi="Arial" w:cs="Arial"/>
        </w:rPr>
        <w:t xml:space="preserve">The effect of current ratio, debt to equity ratio, debt to asset ratio, and total asset turnover on financial performance. </w:t>
      </w:r>
      <w:r w:rsidRPr="00FA1850">
        <w:rPr>
          <w:rFonts w:ascii="Arial" w:hAnsi="Arial" w:cs="Arial"/>
          <w:i/>
          <w:iCs/>
        </w:rPr>
        <w:t>Journal Syntax Admiration, 4</w:t>
      </w:r>
      <w:r w:rsidRPr="00FA1850">
        <w:rPr>
          <w:rFonts w:ascii="Arial" w:hAnsi="Arial" w:cs="Arial"/>
        </w:rPr>
        <w:t>(2), 361–377.</w:t>
      </w:r>
    </w:p>
    <w:p w14:paraId="5A5A2C72" w14:textId="44DF6DA0" w:rsidR="00FA1850" w:rsidRPr="00FA1850" w:rsidRDefault="00FA1850" w:rsidP="00FA1850">
      <w:pPr>
        <w:spacing w:line="480" w:lineRule="auto"/>
        <w:rPr>
          <w:rFonts w:ascii="Arial" w:hAnsi="Arial" w:cs="Arial"/>
        </w:rPr>
      </w:pPr>
      <w:r w:rsidRPr="00FA1850">
        <w:rPr>
          <w:rFonts w:ascii="Arial" w:hAnsi="Arial" w:cs="Arial"/>
        </w:rPr>
        <w:t xml:space="preserve">Saputra, F. (2022). Analysis effect return on assets, return on equity and price </w:t>
      </w:r>
      <w:r w:rsidRPr="00FA1850">
        <w:rPr>
          <w:rFonts w:ascii="Arial" w:hAnsi="Arial" w:cs="Arial"/>
        </w:rPr>
        <w:t>earnings</w:t>
      </w:r>
      <w:r w:rsidRPr="00FA1850">
        <w:rPr>
          <w:rFonts w:ascii="Arial" w:hAnsi="Arial" w:cs="Arial"/>
        </w:rPr>
        <w:t xml:space="preserve"> ratio on stock prices</w:t>
      </w:r>
      <w:r w:rsidRPr="00FA1850">
        <w:rPr>
          <w:rFonts w:ascii="Arial" w:hAnsi="Arial" w:cs="Arial"/>
          <w:i/>
          <w:iCs/>
        </w:rPr>
        <w:t>. Dinasti International Journal of Economics, Finance and Accounting, 3</w:t>
      </w:r>
      <w:r w:rsidRPr="00FA1850">
        <w:rPr>
          <w:rFonts w:ascii="Arial" w:hAnsi="Arial" w:cs="Arial"/>
        </w:rPr>
        <w:t>(1), 82–94.</w:t>
      </w:r>
    </w:p>
    <w:p w14:paraId="3FC9D67D" w14:textId="77777777" w:rsidR="00FA1850" w:rsidRPr="00FA1850" w:rsidRDefault="00FA1850" w:rsidP="00FA1850">
      <w:pPr>
        <w:spacing w:line="480" w:lineRule="auto"/>
        <w:rPr>
          <w:rFonts w:ascii="Arial" w:hAnsi="Arial" w:cs="Arial"/>
        </w:rPr>
      </w:pPr>
      <w:proofErr w:type="spellStart"/>
      <w:r w:rsidRPr="00FA1850">
        <w:rPr>
          <w:rFonts w:ascii="Arial" w:hAnsi="Arial" w:cs="Arial"/>
          <w:lang w:val="pt-PT"/>
        </w:rPr>
        <w:t>Seretidou</w:t>
      </w:r>
      <w:proofErr w:type="spellEnd"/>
      <w:r w:rsidRPr="00FA1850">
        <w:rPr>
          <w:rFonts w:ascii="Arial" w:hAnsi="Arial" w:cs="Arial"/>
          <w:lang w:val="pt-PT"/>
        </w:rPr>
        <w:t xml:space="preserve">, D., </w:t>
      </w:r>
      <w:proofErr w:type="spellStart"/>
      <w:r w:rsidRPr="00FA1850">
        <w:rPr>
          <w:rFonts w:ascii="Arial" w:hAnsi="Arial" w:cs="Arial"/>
          <w:lang w:val="pt-PT"/>
        </w:rPr>
        <w:t>Billios</w:t>
      </w:r>
      <w:proofErr w:type="spellEnd"/>
      <w:r w:rsidRPr="00FA1850">
        <w:rPr>
          <w:rFonts w:ascii="Arial" w:hAnsi="Arial" w:cs="Arial"/>
          <w:lang w:val="pt-PT"/>
        </w:rPr>
        <w:t xml:space="preserve">, D., &amp; </w:t>
      </w:r>
      <w:proofErr w:type="spellStart"/>
      <w:r w:rsidRPr="00FA1850">
        <w:rPr>
          <w:rFonts w:ascii="Arial" w:hAnsi="Arial" w:cs="Arial"/>
          <w:lang w:val="pt-PT"/>
        </w:rPr>
        <w:t>Stavropoulos</w:t>
      </w:r>
      <w:proofErr w:type="spellEnd"/>
      <w:r w:rsidRPr="00FA1850">
        <w:rPr>
          <w:rFonts w:ascii="Arial" w:hAnsi="Arial" w:cs="Arial"/>
          <w:lang w:val="pt-PT"/>
        </w:rPr>
        <w:t xml:space="preserve">, A. (2025). </w:t>
      </w:r>
      <w:r w:rsidRPr="00FA1850">
        <w:rPr>
          <w:rFonts w:ascii="Arial" w:hAnsi="Arial" w:cs="Arial"/>
        </w:rPr>
        <w:t xml:space="preserve">Integrative analysis of traditional and cash flow financial ratios: Insights from a systematic comparative review. </w:t>
      </w:r>
      <w:r w:rsidRPr="00FA1850">
        <w:rPr>
          <w:rFonts w:ascii="Arial" w:hAnsi="Arial" w:cs="Arial"/>
          <w:i/>
          <w:iCs/>
        </w:rPr>
        <w:t>Risks, 13</w:t>
      </w:r>
      <w:r w:rsidRPr="00FA1850">
        <w:rPr>
          <w:rFonts w:ascii="Arial" w:hAnsi="Arial" w:cs="Arial"/>
        </w:rPr>
        <w:t>(4), 62.</w:t>
      </w:r>
    </w:p>
    <w:p w14:paraId="696C412D" w14:textId="77777777" w:rsidR="00FA1850" w:rsidRPr="00FA1850" w:rsidRDefault="00FA1850" w:rsidP="00FA1850">
      <w:pPr>
        <w:spacing w:line="480" w:lineRule="auto"/>
        <w:rPr>
          <w:rFonts w:ascii="Arial" w:hAnsi="Arial" w:cs="Arial"/>
        </w:rPr>
      </w:pPr>
      <w:proofErr w:type="spellStart"/>
      <w:r w:rsidRPr="00FA1850">
        <w:rPr>
          <w:rFonts w:ascii="Arial" w:hAnsi="Arial" w:cs="Arial"/>
        </w:rPr>
        <w:t>Suprapto</w:t>
      </w:r>
      <w:proofErr w:type="spellEnd"/>
      <w:r w:rsidRPr="00FA1850">
        <w:rPr>
          <w:rFonts w:ascii="Arial" w:hAnsi="Arial" w:cs="Arial"/>
        </w:rPr>
        <w:t xml:space="preserve">, Y., &amp; </w:t>
      </w:r>
      <w:proofErr w:type="spellStart"/>
      <w:r w:rsidRPr="00FA1850">
        <w:rPr>
          <w:rFonts w:ascii="Arial" w:hAnsi="Arial" w:cs="Arial"/>
        </w:rPr>
        <w:t>Lindawati</w:t>
      </w:r>
      <w:proofErr w:type="spellEnd"/>
      <w:r w:rsidRPr="00FA1850">
        <w:rPr>
          <w:rFonts w:ascii="Arial" w:hAnsi="Arial" w:cs="Arial"/>
        </w:rPr>
        <w:t xml:space="preserve">, L. (2023). The effect of financial ratio on firm value: Food and beverage sector listed in IDX. </w:t>
      </w:r>
      <w:r w:rsidRPr="00FA1850">
        <w:rPr>
          <w:rFonts w:ascii="Arial" w:hAnsi="Arial" w:cs="Arial"/>
          <w:i/>
          <w:iCs/>
        </w:rPr>
        <w:t xml:space="preserve">At-Tadbir: </w:t>
      </w:r>
      <w:proofErr w:type="spellStart"/>
      <w:r w:rsidRPr="00FA1850">
        <w:rPr>
          <w:rFonts w:ascii="Arial" w:hAnsi="Arial" w:cs="Arial"/>
          <w:i/>
          <w:iCs/>
        </w:rPr>
        <w:t>Jurnal</w:t>
      </w:r>
      <w:proofErr w:type="spellEnd"/>
      <w:r w:rsidRPr="00FA1850">
        <w:rPr>
          <w:rFonts w:ascii="Arial" w:hAnsi="Arial" w:cs="Arial"/>
          <w:i/>
          <w:iCs/>
        </w:rPr>
        <w:t xml:space="preserve"> </w:t>
      </w:r>
      <w:proofErr w:type="spellStart"/>
      <w:r w:rsidRPr="00FA1850">
        <w:rPr>
          <w:rFonts w:ascii="Arial" w:hAnsi="Arial" w:cs="Arial"/>
          <w:i/>
          <w:iCs/>
        </w:rPr>
        <w:t>Ilmiah</w:t>
      </w:r>
      <w:proofErr w:type="spellEnd"/>
      <w:r w:rsidRPr="00FA1850">
        <w:rPr>
          <w:rFonts w:ascii="Arial" w:hAnsi="Arial" w:cs="Arial"/>
          <w:i/>
          <w:iCs/>
        </w:rPr>
        <w:t xml:space="preserve"> Manajemen, 7</w:t>
      </w:r>
      <w:r w:rsidRPr="00FA1850">
        <w:rPr>
          <w:rFonts w:ascii="Arial" w:hAnsi="Arial" w:cs="Arial"/>
        </w:rPr>
        <w:t>(2), 139–152.</w:t>
      </w:r>
    </w:p>
    <w:p w14:paraId="0F0292F8" w14:textId="145B5FAD" w:rsidR="00FA1850" w:rsidRPr="00FA1850" w:rsidRDefault="00FA1850" w:rsidP="00FA1850">
      <w:pPr>
        <w:spacing w:line="480" w:lineRule="auto"/>
        <w:rPr>
          <w:rFonts w:ascii="Arial" w:hAnsi="Arial" w:cs="Arial"/>
        </w:rPr>
      </w:pPr>
      <w:r w:rsidRPr="00FA1850">
        <w:rPr>
          <w:rFonts w:ascii="Arial" w:hAnsi="Arial" w:cs="Arial"/>
        </w:rPr>
        <w:t>Tesco PLC. (2024). Annual report and financial statements 2024.</w:t>
      </w:r>
      <w:r>
        <w:rPr>
          <w:rFonts w:ascii="Arial" w:hAnsi="Arial" w:cs="Arial"/>
        </w:rPr>
        <w:t xml:space="preserve"> Available at: </w:t>
      </w:r>
      <w:hyperlink r:id="rId6" w:history="1">
        <w:r w:rsidRPr="00C26703">
          <w:rPr>
            <w:rStyle w:val="Hyperlink"/>
            <w:rFonts w:ascii="Arial" w:hAnsi="Arial" w:cs="Arial"/>
          </w:rPr>
          <w:t>https://www.tescoplc.com/investors/reports-results-and-presentations/annual-report-2024</w:t>
        </w:r>
      </w:hyperlink>
      <w:r>
        <w:rPr>
          <w:rFonts w:ascii="Arial" w:hAnsi="Arial" w:cs="Arial"/>
        </w:rPr>
        <w:t xml:space="preserve"> </w:t>
      </w:r>
    </w:p>
    <w:p w14:paraId="4BB2D0B0" w14:textId="169994FB" w:rsidR="00FA1850" w:rsidRPr="00D65F2C" w:rsidRDefault="00FA1850" w:rsidP="00FA1850">
      <w:pPr>
        <w:spacing w:line="480" w:lineRule="auto"/>
        <w:rPr>
          <w:rFonts w:ascii="Arial" w:hAnsi="Arial" w:cs="Arial"/>
        </w:rPr>
      </w:pPr>
      <w:r w:rsidRPr="00FA1850">
        <w:rPr>
          <w:rFonts w:ascii="Arial" w:hAnsi="Arial" w:cs="Arial"/>
        </w:rPr>
        <w:t>Tesco PLC. (2025). Annual report and financial statements 2025.</w:t>
      </w:r>
      <w:r>
        <w:rPr>
          <w:rFonts w:ascii="Arial" w:hAnsi="Arial" w:cs="Arial"/>
        </w:rPr>
        <w:t xml:space="preserve"> Available at: </w:t>
      </w:r>
      <w:hyperlink r:id="rId7" w:history="1">
        <w:r w:rsidRPr="00C26703">
          <w:rPr>
            <w:rStyle w:val="Hyperlink"/>
            <w:rFonts w:ascii="Arial" w:hAnsi="Arial" w:cs="Arial"/>
          </w:rPr>
          <w:t>https://www.tescoplc.com/investors/reports-results-and-presentations/annual-report-2025</w:t>
        </w:r>
      </w:hyperlink>
      <w:r>
        <w:rPr>
          <w:rFonts w:ascii="Arial" w:hAnsi="Arial" w:cs="Arial"/>
        </w:rPr>
        <w:t xml:space="preserve"> </w:t>
      </w:r>
    </w:p>
    <w:sectPr w:rsidR="00FA1850" w:rsidRPr="00D65F2C" w:rsidSect="00FA1850">
      <w:head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171E8" w14:textId="77777777" w:rsidR="008F04CD" w:rsidRDefault="008F04CD" w:rsidP="00FA1850">
      <w:pPr>
        <w:spacing w:after="0" w:line="240" w:lineRule="auto"/>
      </w:pPr>
      <w:r>
        <w:separator/>
      </w:r>
    </w:p>
  </w:endnote>
  <w:endnote w:type="continuationSeparator" w:id="0">
    <w:p w14:paraId="396A7F2C" w14:textId="77777777" w:rsidR="008F04CD" w:rsidRDefault="008F04CD" w:rsidP="00FA18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D58E4" w14:textId="77777777" w:rsidR="008F04CD" w:rsidRDefault="008F04CD" w:rsidP="00FA1850">
      <w:pPr>
        <w:spacing w:after="0" w:line="240" w:lineRule="auto"/>
      </w:pPr>
      <w:r>
        <w:separator/>
      </w:r>
    </w:p>
  </w:footnote>
  <w:footnote w:type="continuationSeparator" w:id="0">
    <w:p w14:paraId="12F388A9" w14:textId="77777777" w:rsidR="008F04CD" w:rsidRDefault="008F04CD" w:rsidP="00FA18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6524415"/>
      <w:docPartObj>
        <w:docPartGallery w:val="Page Numbers (Top of Page)"/>
        <w:docPartUnique/>
      </w:docPartObj>
    </w:sdtPr>
    <w:sdtEndPr>
      <w:rPr>
        <w:noProof/>
      </w:rPr>
    </w:sdtEndPr>
    <w:sdtContent>
      <w:p w14:paraId="27E4045D" w14:textId="10AE6BF3" w:rsidR="00FA1850" w:rsidRDefault="00FA185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99E4C92" w14:textId="77777777" w:rsidR="00FA1850" w:rsidRDefault="00FA185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F2C"/>
    <w:rsid w:val="001057C2"/>
    <w:rsid w:val="003171B4"/>
    <w:rsid w:val="00325E28"/>
    <w:rsid w:val="008F04CD"/>
    <w:rsid w:val="00D65F2C"/>
    <w:rsid w:val="00F8086D"/>
    <w:rsid w:val="00FA18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B7CCA"/>
  <w15:chartTrackingRefBased/>
  <w15:docId w15:val="{63484DEB-DEAE-46A4-B0DB-F79E905B2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5F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5F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5F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5F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5F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5F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5F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5F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5F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5F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5F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5F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5F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5F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5F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5F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5F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5F2C"/>
    <w:rPr>
      <w:rFonts w:eastAsiaTheme="majorEastAsia" w:cstheme="majorBidi"/>
      <w:color w:val="272727" w:themeColor="text1" w:themeTint="D8"/>
    </w:rPr>
  </w:style>
  <w:style w:type="paragraph" w:styleId="Title">
    <w:name w:val="Title"/>
    <w:basedOn w:val="Normal"/>
    <w:next w:val="Normal"/>
    <w:link w:val="TitleChar"/>
    <w:uiPriority w:val="10"/>
    <w:qFormat/>
    <w:rsid w:val="00D65F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5F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5F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5F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5F2C"/>
    <w:pPr>
      <w:spacing w:before="160"/>
      <w:jc w:val="center"/>
    </w:pPr>
    <w:rPr>
      <w:i/>
      <w:iCs/>
      <w:color w:val="404040" w:themeColor="text1" w:themeTint="BF"/>
    </w:rPr>
  </w:style>
  <w:style w:type="character" w:customStyle="1" w:styleId="QuoteChar">
    <w:name w:val="Quote Char"/>
    <w:basedOn w:val="DefaultParagraphFont"/>
    <w:link w:val="Quote"/>
    <w:uiPriority w:val="29"/>
    <w:rsid w:val="00D65F2C"/>
    <w:rPr>
      <w:i/>
      <w:iCs/>
      <w:color w:val="404040" w:themeColor="text1" w:themeTint="BF"/>
    </w:rPr>
  </w:style>
  <w:style w:type="paragraph" w:styleId="ListParagraph">
    <w:name w:val="List Paragraph"/>
    <w:basedOn w:val="Normal"/>
    <w:uiPriority w:val="34"/>
    <w:qFormat/>
    <w:rsid w:val="00D65F2C"/>
    <w:pPr>
      <w:ind w:left="720"/>
      <w:contextualSpacing/>
    </w:pPr>
  </w:style>
  <w:style w:type="character" w:styleId="IntenseEmphasis">
    <w:name w:val="Intense Emphasis"/>
    <w:basedOn w:val="DefaultParagraphFont"/>
    <w:uiPriority w:val="21"/>
    <w:qFormat/>
    <w:rsid w:val="00D65F2C"/>
    <w:rPr>
      <w:i/>
      <w:iCs/>
      <w:color w:val="0F4761" w:themeColor="accent1" w:themeShade="BF"/>
    </w:rPr>
  </w:style>
  <w:style w:type="paragraph" w:styleId="IntenseQuote">
    <w:name w:val="Intense Quote"/>
    <w:basedOn w:val="Normal"/>
    <w:next w:val="Normal"/>
    <w:link w:val="IntenseQuoteChar"/>
    <w:uiPriority w:val="30"/>
    <w:qFormat/>
    <w:rsid w:val="00D65F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5F2C"/>
    <w:rPr>
      <w:i/>
      <w:iCs/>
      <w:color w:val="0F4761" w:themeColor="accent1" w:themeShade="BF"/>
    </w:rPr>
  </w:style>
  <w:style w:type="character" w:styleId="IntenseReference">
    <w:name w:val="Intense Reference"/>
    <w:basedOn w:val="DefaultParagraphFont"/>
    <w:uiPriority w:val="32"/>
    <w:qFormat/>
    <w:rsid w:val="00D65F2C"/>
    <w:rPr>
      <w:b/>
      <w:bCs/>
      <w:smallCaps/>
      <w:color w:val="0F4761" w:themeColor="accent1" w:themeShade="BF"/>
      <w:spacing w:val="5"/>
    </w:rPr>
  </w:style>
  <w:style w:type="table" w:styleId="GridTable1Light-Accent3">
    <w:name w:val="Grid Table 1 Light Accent 3"/>
    <w:basedOn w:val="TableNormal"/>
    <w:uiPriority w:val="46"/>
    <w:rsid w:val="00D65F2C"/>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FA1850"/>
    <w:rPr>
      <w:color w:val="467886" w:themeColor="hyperlink"/>
      <w:u w:val="single"/>
    </w:rPr>
  </w:style>
  <w:style w:type="character" w:styleId="UnresolvedMention">
    <w:name w:val="Unresolved Mention"/>
    <w:basedOn w:val="DefaultParagraphFont"/>
    <w:uiPriority w:val="99"/>
    <w:semiHidden/>
    <w:unhideWhenUsed/>
    <w:rsid w:val="00FA1850"/>
    <w:rPr>
      <w:color w:val="605E5C"/>
      <w:shd w:val="clear" w:color="auto" w:fill="E1DFDD"/>
    </w:rPr>
  </w:style>
  <w:style w:type="paragraph" w:styleId="Header">
    <w:name w:val="header"/>
    <w:basedOn w:val="Normal"/>
    <w:link w:val="HeaderChar"/>
    <w:uiPriority w:val="99"/>
    <w:unhideWhenUsed/>
    <w:rsid w:val="00FA18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1850"/>
  </w:style>
  <w:style w:type="paragraph" w:styleId="Footer">
    <w:name w:val="footer"/>
    <w:basedOn w:val="Normal"/>
    <w:link w:val="FooterChar"/>
    <w:uiPriority w:val="99"/>
    <w:unhideWhenUsed/>
    <w:rsid w:val="00FA18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1850"/>
  </w:style>
  <w:style w:type="paragraph" w:styleId="NoSpacing">
    <w:name w:val="No Spacing"/>
    <w:link w:val="NoSpacingChar"/>
    <w:uiPriority w:val="1"/>
    <w:qFormat/>
    <w:rsid w:val="00FA1850"/>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FA1850"/>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tescoplc.com/investors/reports-results-and-presentations/annual-report-202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escoplc.com/investors/reports-results-and-presentations/annual-report-2024"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1836</Words>
  <Characters>10466</Characters>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2026-07-18T07:22:00Z</dcterms:created>
  <dcterms:modified xsi:type="dcterms:W3CDTF">2026-07-18T07:44:00Z</dcterms:modified>
</cp:coreProperties>
</file>