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68A8B" w14:textId="3BEE0383" w:rsidR="0053643E" w:rsidRDefault="0053643E" w:rsidP="0053643E">
      <w:pPr>
        <w:pStyle w:val="Title"/>
      </w:pPr>
      <w:r>
        <w:t xml:space="preserve">Gibbs’ Reflective Cycle: </w:t>
      </w:r>
      <w:r>
        <w:t xml:space="preserve"> </w:t>
      </w:r>
    </w:p>
    <w:p w14:paraId="4A68E176" w14:textId="77777777" w:rsidR="0053643E" w:rsidRDefault="0053643E" w:rsidP="0053643E"/>
    <w:p w14:paraId="0D07FAED" w14:textId="47A369B7" w:rsidR="0053643E" w:rsidRDefault="0053643E" w:rsidP="0053643E">
      <w:r>
        <w:t>Introduction</w:t>
      </w:r>
    </w:p>
    <w:p w14:paraId="77E636FC" w14:textId="2BF71139" w:rsidR="0053643E" w:rsidRDefault="0053643E" w:rsidP="0053643E">
      <w:r>
        <w:t>This essay applies Gibbs’ Reflective Cycle as a structured framework to explore my transition into higher education in 2025. Gibbs’ model—comprising description, feelings, evaluation, analysis, conclusion, and action planning—provides a systematic approach that moves beyond recounting events toward meaningful interpretation and growth (Bulman &amp; Schutz, 2013). To deepen this reflection, empowerment theory is integrated throughout, linking proactive behaviours such as seeking advice, attending workshops, and engaging with support networks to increased self</w:t>
      </w:r>
      <w:r>
        <w:rPr>
          <w:rFonts w:ascii="Cambria Math" w:hAnsi="Cambria Math" w:cs="Cambria Math"/>
        </w:rPr>
        <w:t>‑</w:t>
      </w:r>
      <w:r>
        <w:t>efficacy and reduced barriers to learning. By combining reflective and empowerment</w:t>
      </w:r>
      <w:r>
        <w:rPr>
          <w:rFonts w:ascii="Cambria Math" w:hAnsi="Cambria Math" w:cs="Cambria Math"/>
        </w:rPr>
        <w:t>‑</w:t>
      </w:r>
      <w:r>
        <w:t>based perspectives, this essay demonstrates how theory and experience interact to shape personal development. Each stage concludes with a summary to reinforce key insights for learners, educators, and assessors.</w:t>
      </w:r>
    </w:p>
    <w:p w14:paraId="55D86A71" w14:textId="77777777" w:rsidR="0053643E" w:rsidRDefault="0053643E" w:rsidP="0053643E"/>
    <w:p w14:paraId="6A78457E" w14:textId="77777777" w:rsidR="0053643E" w:rsidRDefault="0053643E" w:rsidP="0053643E">
      <w:r>
        <w:t>Description</w:t>
      </w:r>
    </w:p>
    <w:p w14:paraId="230EE7D0" w14:textId="77777777" w:rsidR="0053643E" w:rsidRDefault="0053643E" w:rsidP="0053643E">
      <w:r>
        <w:t>The description stage of Gibbs’ cycle focuses on outlining what happened without interpretation or judgement (Bulman &amp; Schutz, 2013). My journey into higher education began in 2025, motivated by a desire for career progression and personal growth. Recognising the importance of making an informed decision, I conducted extensive research into local universities, exploring course structures, entry requirements, student support services, and overall institutional reputation. I attended online open days, reviewed prospectuses, and consulted career advisors to gain a clearer understanding of what each university offered. After gathering this information, I created a shortlist and ranked institutions based on factors such as student satisfaction, course flexibility, and alignment with my long</w:t>
      </w:r>
      <w:r>
        <w:rPr>
          <w:rFonts w:ascii="Cambria Math" w:hAnsi="Cambria Math" w:cs="Cambria Math"/>
        </w:rPr>
        <w:t>‑</w:t>
      </w:r>
      <w:r>
        <w:t>term goals.</w:t>
      </w:r>
    </w:p>
    <w:p w14:paraId="0DDFE5C4" w14:textId="77777777" w:rsidR="0053643E" w:rsidRDefault="0053643E" w:rsidP="0053643E">
      <w:r>
        <w:t>Financial stability was a major consideration, so I contacted the local council to enquire about grants, loans, and additional funding opportunities. I also reached out to university admissions teams to clarify application requirements and ensure I understood the process fully. A particularly influential moment was speaking with Serena, a current university student, who provided honest insights into academic expectations, workload, and student life. Her advice helped me visualise what the transition might look like and reduced some of my initial uncertainty.</w:t>
      </w:r>
    </w:p>
    <w:p w14:paraId="617E4374" w14:textId="77777777" w:rsidR="0053643E" w:rsidRDefault="0053643E" w:rsidP="0053643E">
      <w:r>
        <w:t xml:space="preserve">This proactive approach aligns with empowerment theory, which emphasises that seeking information, building support networks, and taking initiative strengthens personal agency and confidence (Christens, 2012). To further prepare myself, I attended </w:t>
      </w:r>
      <w:r>
        <w:lastRenderedPageBreak/>
        <w:t>workshops on academic writing, digital skills, and time management. These sessions equipped me with practical strategies and made me feel more capable of handling the demands of higher education. With careful planning and encouragement from family and friends, I felt increasingly prepared and confident as I approached this significant transition.</w:t>
      </w:r>
    </w:p>
    <w:p w14:paraId="43EE9C45" w14:textId="77777777" w:rsidR="0053643E" w:rsidRDefault="0053643E" w:rsidP="0053643E">
      <w:r>
        <w:t>Summary: Through research, advice</w:t>
      </w:r>
      <w:r>
        <w:rPr>
          <w:rFonts w:ascii="Cambria Math" w:hAnsi="Cambria Math" w:cs="Cambria Math"/>
        </w:rPr>
        <w:t>‑</w:t>
      </w:r>
      <w:r>
        <w:t>seeking, and skill</w:t>
      </w:r>
      <w:r>
        <w:rPr>
          <w:rFonts w:ascii="Cambria Math" w:hAnsi="Cambria Math" w:cs="Cambria Math"/>
        </w:rPr>
        <w:t>‑</w:t>
      </w:r>
      <w:r>
        <w:t>building, I strengthened my confidence and reduced the challenges associated with entering higher education.</w:t>
      </w:r>
    </w:p>
    <w:p w14:paraId="33EDE8D2" w14:textId="77777777" w:rsidR="0053643E" w:rsidRDefault="0053643E" w:rsidP="0053643E"/>
    <w:p w14:paraId="49098D64" w14:textId="77777777" w:rsidR="0053643E" w:rsidRDefault="0053643E" w:rsidP="0053643E">
      <w:r>
        <w:t>Feelings</w:t>
      </w:r>
    </w:p>
    <w:p w14:paraId="0E820BA6" w14:textId="77777777" w:rsidR="0053643E" w:rsidRDefault="0053643E" w:rsidP="0053643E">
      <w:r>
        <w:t>Gibbs highlights the importance of acknowledging emotions, as they significantly influence behaviour, decision</w:t>
      </w:r>
      <w:r>
        <w:rPr>
          <w:rFonts w:ascii="Cambria Math" w:hAnsi="Cambria Math" w:cs="Cambria Math"/>
        </w:rPr>
        <w:t>‑</w:t>
      </w:r>
      <w:r>
        <w:t>making, and learning (Bulman &amp; Schutz, 2013). Throughout the admissions process, my emotions fluctuated between excitement and anxiety. On one hand, I felt enthusiastic about starting a new chapter and pursuing a meaningful goal. On the other hand, I experienced uncertainty and self</w:t>
      </w:r>
      <w:r>
        <w:rPr>
          <w:rFonts w:ascii="Cambria Math" w:hAnsi="Cambria Math" w:cs="Cambria Math"/>
        </w:rPr>
        <w:t>‑</w:t>
      </w:r>
      <w:r>
        <w:t>doubt, particularly because I had been away from formal education for several years. I worried about whether I would be able to keep up academically, adapt to new expectations, and integrate into the university community.</w:t>
      </w:r>
    </w:p>
    <w:p w14:paraId="2E059C5F" w14:textId="77777777" w:rsidR="0053643E" w:rsidRDefault="0053643E" w:rsidP="0053643E">
      <w:r>
        <w:t>Preparing applications and interviews intensified these feelings. I often questioned whether I was capable enough or whether I had left education for too long. However, despite these concerns, I remained determined. I prepared thoroughly for interviews, practising responses and researching each institution in depth. This preparation gradually increased my confidence, and when I received my acceptance letter, I felt an overwhelming sense of relief and validation.</w:t>
      </w:r>
    </w:p>
    <w:p w14:paraId="284CC3C7" w14:textId="4690D9B3" w:rsidR="0053643E" w:rsidRDefault="0053643E" w:rsidP="0053643E">
      <w:r>
        <w:t>Empowerment theory suggests that supportive relationships play a crucial role in helping individuals navigate challenges and build resilience (Christens, 2012). Serena’s guidance, along with encouragement from my family, helped me manage my anxiety and reminded me that my goals were achievable. Reflecting on this stage, I recognise that feelings of vulnerability are common during major transitions</w:t>
      </w:r>
      <w:r>
        <w:t xml:space="preserve"> </w:t>
      </w:r>
      <w:r>
        <w:t>and acknowledging them—rather than suppressing them—allowed me to seek support and develop healthier coping strategies.</w:t>
      </w:r>
    </w:p>
    <w:p w14:paraId="23FF65E9" w14:textId="77777777" w:rsidR="0053643E" w:rsidRDefault="0053643E" w:rsidP="0053643E">
      <w:r>
        <w:t>Summary: By recognising my emotions and seeking support, I strengthened my resilience and ability to manage uncertainty during the transition.</w:t>
      </w:r>
    </w:p>
    <w:p w14:paraId="17F57377" w14:textId="77777777" w:rsidR="0053643E" w:rsidRDefault="0053643E" w:rsidP="0053643E"/>
    <w:p w14:paraId="3E5B4B36" w14:textId="77777777" w:rsidR="0053643E" w:rsidRDefault="0053643E" w:rsidP="0053643E">
      <w:r>
        <w:t>Evaluation</w:t>
      </w:r>
    </w:p>
    <w:p w14:paraId="4F612C2F" w14:textId="77777777" w:rsidR="0053643E" w:rsidRDefault="0053643E" w:rsidP="0053643E">
      <w:r>
        <w:t xml:space="preserve">The evaluation stage of Gibbs’ model involves identifying both the positive and negative aspects of the experience (Bulman &amp; Schutz, 2013). Several aspects of my transition </w:t>
      </w:r>
      <w:r>
        <w:lastRenderedPageBreak/>
        <w:t>into higher education were positive. Engaging in academic activities early on boosted my confidence, and participating in discussions helped me develop communication skills and openness to diverse perspectives. The supportive environment created by peers and staff fostered a sense of belonging, which made the transition smoother. Sharing ideas in seminars broadened my understanding and encouraged me to think more critically.</w:t>
      </w:r>
    </w:p>
    <w:p w14:paraId="5DE8F18C" w14:textId="77777777" w:rsidR="0053643E" w:rsidRDefault="0053643E" w:rsidP="0053643E">
      <w:r>
        <w:t>However, I also encountered challenges. The volume of reading required for my course was initially overwhelming, and managing deadlines proved difficult. These challenges led to frustration and moments of self</w:t>
      </w:r>
      <w:r>
        <w:rPr>
          <w:rFonts w:ascii="Cambria Math" w:hAnsi="Cambria Math" w:cs="Cambria Math"/>
        </w:rPr>
        <w:t>‑</w:t>
      </w:r>
      <w:r>
        <w:t>doubt. I questioned whether I had the academic ability to succeed and whether I had underestimated the demands of university study.</w:t>
      </w:r>
    </w:p>
    <w:p w14:paraId="4C8765F8" w14:textId="77777777" w:rsidR="0053643E" w:rsidRDefault="0053643E" w:rsidP="0053643E">
      <w:r>
        <w:t>To address these difficulties, I implemented several strategies. I created a weekly study schedule that broke tasks into manageable sections, prioritised essential readings, and allocated specific times for assignments. I attended academic workshops and joined study groups, which provided shared motivation and practical techniques for tackling complex material. Time</w:t>
      </w:r>
      <w:r>
        <w:rPr>
          <w:rFonts w:ascii="Cambria Math" w:hAnsi="Cambria Math" w:cs="Cambria Math"/>
        </w:rPr>
        <w:t>‑</w:t>
      </w:r>
      <w:r>
        <w:t>management sessions helped me structure my workload more effectively, and feedback from tutors guided my improvement. These actions reflect empowerment theory, as each strategy increased my self</w:t>
      </w:r>
      <w:r>
        <w:rPr>
          <w:rFonts w:ascii="Cambria Math" w:hAnsi="Cambria Math" w:cs="Cambria Math"/>
        </w:rPr>
        <w:t>‑</w:t>
      </w:r>
      <w:r>
        <w:t>efficacy and transformed obstacles into opportunities for growth (Zimmerman, 2000). Engaging with peers and seeking help reduced feelings of isolation and strengthened my adaptability.</w:t>
      </w:r>
    </w:p>
    <w:p w14:paraId="015FBA55" w14:textId="77777777" w:rsidR="0053643E" w:rsidRDefault="0053643E" w:rsidP="0053643E">
      <w:r>
        <w:t>Summary: Through structured planning, collaborative learning, and academic support, I overcame challenges and developed greater self</w:t>
      </w:r>
      <w:r>
        <w:rPr>
          <w:rFonts w:ascii="Cambria Math" w:hAnsi="Cambria Math" w:cs="Cambria Math"/>
        </w:rPr>
        <w:t>‑</w:t>
      </w:r>
      <w:r>
        <w:t>efficacy.</w:t>
      </w:r>
    </w:p>
    <w:p w14:paraId="507BFD2F" w14:textId="77777777" w:rsidR="0053643E" w:rsidRDefault="0053643E" w:rsidP="0053643E"/>
    <w:p w14:paraId="3FACD7A8" w14:textId="77777777" w:rsidR="0053643E" w:rsidRDefault="0053643E" w:rsidP="0053643E">
      <w:r>
        <w:t>Analysis</w:t>
      </w:r>
    </w:p>
    <w:p w14:paraId="64DA1654" w14:textId="77777777" w:rsidR="0053643E" w:rsidRDefault="0053643E" w:rsidP="0053643E">
      <w:r>
        <w:t>The analysis stage deepens understanding by linking theory to experience (Bulman &amp; Schutz, 2013). Empowerment theory emphasises that proactive engagement, access to support, and opportunities for skill development enhance personal agency and self</w:t>
      </w:r>
      <w:r>
        <w:rPr>
          <w:rFonts w:ascii="Cambria Math" w:hAnsi="Cambria Math" w:cs="Cambria Math"/>
        </w:rPr>
        <w:t>‑</w:t>
      </w:r>
      <w:r>
        <w:t>efficacy (Christens, 2012). My actions</w:t>
      </w:r>
      <w:r>
        <w:rPr>
          <w:rFonts w:ascii="Aptos" w:hAnsi="Aptos" w:cs="Aptos"/>
        </w:rPr>
        <w:t>—</w:t>
      </w:r>
      <w:r>
        <w:t>seeking advice, attending workshops, and joining study groups</w:t>
      </w:r>
      <w:r>
        <w:rPr>
          <w:rFonts w:ascii="Aptos" w:hAnsi="Aptos" w:cs="Aptos"/>
        </w:rPr>
        <w:t>—</w:t>
      </w:r>
      <w:r>
        <w:t>demonstrated empowerment in practice. These behaviours helped transform uncertainty into confidence and reinforced a cycle of growth: the more challenges I overcame, the more capable I felt, which encouraged further proactive behaviour.</w:t>
      </w:r>
    </w:p>
    <w:p w14:paraId="1D978D9A" w14:textId="77777777" w:rsidR="0053643E" w:rsidRDefault="0053643E" w:rsidP="0053643E">
      <w:r>
        <w:t xml:space="preserve">Gibbs’ model highlights the importance of structured reflection and feedback in promoting learning. Peer support and tutor guidance played a significant role in helping me refine my academic skills. Collaborative activities strengthened my teamwork abilities and resilience, while reflective practice enabled me to apply insights to new contexts. Research shows that reflection enhances critical thinking, supports deeper </w:t>
      </w:r>
      <w:r>
        <w:lastRenderedPageBreak/>
        <w:t>learning, and helps students develop transferable skills essential for academic and professional success (Mann et al., 2009).</w:t>
      </w:r>
    </w:p>
    <w:p w14:paraId="5A2014CD" w14:textId="77777777" w:rsidR="0053643E" w:rsidRDefault="0053643E" w:rsidP="0053643E">
      <w:r>
        <w:t>By systematically reflecting on my experiences and linking them to theoretical concepts, I gained a clearer understanding of how empowerment and reflective practice interact. This process not only improved my academic abilities but also strengthened my confidence, independence, and long</w:t>
      </w:r>
      <w:r>
        <w:rPr>
          <w:rFonts w:ascii="Cambria Math" w:hAnsi="Cambria Math" w:cs="Cambria Math"/>
        </w:rPr>
        <w:t>‑</w:t>
      </w:r>
      <w:r>
        <w:t>term motivation.</w:t>
      </w:r>
    </w:p>
    <w:p w14:paraId="1BCADDBB" w14:textId="77777777" w:rsidR="0053643E" w:rsidRDefault="0053643E" w:rsidP="0053643E">
      <w:r>
        <w:t>Summary: Empowerment theory and Gibbs’ model were applied through active learning, support</w:t>
      </w:r>
      <w:r>
        <w:rPr>
          <w:rFonts w:ascii="Cambria Math" w:hAnsi="Cambria Math" w:cs="Cambria Math"/>
        </w:rPr>
        <w:t>‑</w:t>
      </w:r>
      <w:r>
        <w:t>seeking, and reflection, strengthening my self</w:t>
      </w:r>
      <w:r>
        <w:rPr>
          <w:rFonts w:ascii="Cambria Math" w:hAnsi="Cambria Math" w:cs="Cambria Math"/>
        </w:rPr>
        <w:t>‑</w:t>
      </w:r>
      <w:r>
        <w:t>efficacy and transferable skills.</w:t>
      </w:r>
    </w:p>
    <w:p w14:paraId="50A91FEE" w14:textId="77777777" w:rsidR="0053643E" w:rsidRDefault="0053643E" w:rsidP="0053643E"/>
    <w:p w14:paraId="033AD4DE" w14:textId="77777777" w:rsidR="0053643E" w:rsidRDefault="0053643E" w:rsidP="0053643E">
      <w:r>
        <w:t>Conclusion</w:t>
      </w:r>
    </w:p>
    <w:p w14:paraId="0304EF3E" w14:textId="77777777" w:rsidR="0053643E" w:rsidRDefault="0053643E" w:rsidP="0053643E">
      <w:r>
        <w:t>Reflecting on my transition into higher education has provided valuable insights into the factors that shaped my experience. Preparation, emotional awareness, and support networks were essential in helping me navigate this significant change. Using Gibbs’ Reflective Cycle and empowerment theory highlighted how structured reflection and proactive behaviour foster resilience, confidence, and self</w:t>
      </w:r>
      <w:r>
        <w:rPr>
          <w:rFonts w:ascii="Cambria Math" w:hAnsi="Cambria Math" w:cs="Cambria Math"/>
        </w:rPr>
        <w:t>‑</w:t>
      </w:r>
      <w:r>
        <w:t>efficacy (Bulman &amp; Schutz, 2013; Christens, 2012). Key lessons include the importance of linking theory to practice, seeking support to overcome barriers, and remaining open to feedback. This reflective process has strengthened my sense of purpose and increased my confidence in facing future academic and personal challenges.</w:t>
      </w:r>
    </w:p>
    <w:p w14:paraId="6F5ABF8A" w14:textId="77777777" w:rsidR="0053643E" w:rsidRDefault="0053643E" w:rsidP="0053643E">
      <w:r>
        <w:t>Summary: Structured reflection and empowerment</w:t>
      </w:r>
      <w:r>
        <w:rPr>
          <w:rFonts w:ascii="Cambria Math" w:hAnsi="Cambria Math" w:cs="Cambria Math"/>
        </w:rPr>
        <w:t>‑</w:t>
      </w:r>
      <w:r>
        <w:t>based actions supported my academic and personal development, reinforcing resilience and long</w:t>
      </w:r>
      <w:r>
        <w:rPr>
          <w:rFonts w:ascii="Cambria Math" w:hAnsi="Cambria Math" w:cs="Cambria Math"/>
        </w:rPr>
        <w:t>‑</w:t>
      </w:r>
      <w:r>
        <w:t>term growth.</w:t>
      </w:r>
    </w:p>
    <w:p w14:paraId="077313CF" w14:textId="77777777" w:rsidR="0053643E" w:rsidRDefault="0053643E" w:rsidP="0053643E"/>
    <w:p w14:paraId="64CB8FCA" w14:textId="77777777" w:rsidR="0053643E" w:rsidRDefault="0053643E" w:rsidP="0053643E">
      <w:r>
        <w:t>Action Plan</w:t>
      </w:r>
    </w:p>
    <w:p w14:paraId="70581CEF" w14:textId="77777777" w:rsidR="0053643E" w:rsidRDefault="0053643E" w:rsidP="0053643E">
      <w:r>
        <w:t>My action plan builds on the principles of empowerment and reflective practice. I aim to remain actively engaged in academic life by contributing to seminars, participating in group discussions, and taking on roles that challenge me intellectually. I will continue seeking tutor feedback to identify areas for improvement and refine my academic skills. Setting aside dedicated weekly time for reading, writing, and revision will support my independence and confidence.</w:t>
      </w:r>
    </w:p>
    <w:p w14:paraId="7F5AF3E2" w14:textId="77777777" w:rsidR="0053643E" w:rsidRDefault="0053643E" w:rsidP="0053643E">
      <w:r>
        <w:t>I plan to attend workshops on research methods, critical thinking, and digital literacy to strengthen my academic toolkit. I will also make use of university resources such as the library, academic support services, and online learning platforms. Joining clubs and societies related to my interests will help me build connections and develop a sense of belonging. These steps reflect empowerment theory, as each action strengthens self</w:t>
      </w:r>
      <w:r>
        <w:rPr>
          <w:rFonts w:ascii="Cambria Math" w:hAnsi="Cambria Math" w:cs="Cambria Math"/>
        </w:rPr>
        <w:t>‑</w:t>
      </w:r>
      <w:r>
        <w:t>belief and prepares me for future challenges (Zimmerman, 2000).</w:t>
      </w:r>
    </w:p>
    <w:p w14:paraId="5F4B1711" w14:textId="77777777" w:rsidR="0053643E" w:rsidRDefault="0053643E" w:rsidP="0053643E">
      <w:r>
        <w:lastRenderedPageBreak/>
        <w:t>As I prepare for future study, I will research degree programmes aligned with my long</w:t>
      </w:r>
      <w:r>
        <w:rPr>
          <w:rFonts w:ascii="Cambria Math" w:hAnsi="Cambria Math" w:cs="Cambria Math"/>
        </w:rPr>
        <w:t>‑</w:t>
      </w:r>
      <w:r>
        <w:t>term aspirations. Strengthening my applications will involve academic excellence, participation in extracurricular activities, and engagement in voluntary work that reflects my values. I will maintain a reflective journal to track my progress, challenges, and achievements, supporting ongoing development (Ryan, 2011). I also plan to seek mentors who can provide guidance and help me expand my professional network. These strategies reinforce empowerment and ensure I am prepared for future academic and career pathways.</w:t>
      </w:r>
    </w:p>
    <w:p w14:paraId="5EC0CBA7" w14:textId="77777777" w:rsidR="0053643E" w:rsidRDefault="0053643E" w:rsidP="0053643E">
      <w:r>
        <w:t>Summary: My action plan focuses on self</w:t>
      </w:r>
      <w:r>
        <w:rPr>
          <w:rFonts w:ascii="Cambria Math" w:hAnsi="Cambria Math" w:cs="Cambria Math"/>
        </w:rPr>
        <w:t>‑</w:t>
      </w:r>
      <w:r>
        <w:t>efficacy, skill development, and reflective practice to support ongoing academic and professional growth.</w:t>
      </w:r>
    </w:p>
    <w:p w14:paraId="2551B5C3" w14:textId="77777777" w:rsidR="0053643E" w:rsidRDefault="0053643E" w:rsidP="0053643E"/>
    <w:p w14:paraId="4AB6C97D" w14:textId="10CA1EE1" w:rsidR="0053643E" w:rsidRDefault="0053643E" w:rsidP="0053643E">
      <w:r>
        <w:t xml:space="preserve">References </w:t>
      </w:r>
    </w:p>
    <w:p w14:paraId="615C9D78" w14:textId="77777777" w:rsidR="0053643E" w:rsidRDefault="0053643E" w:rsidP="0053643E">
      <w:r>
        <w:t>Bulman, C., &amp; Schutz, S. (2013). Reflective Practice in Nursing. Wiley</w:t>
      </w:r>
      <w:r>
        <w:rPr>
          <w:rFonts w:ascii="Cambria Math" w:hAnsi="Cambria Math" w:cs="Cambria Math"/>
        </w:rPr>
        <w:t>‑</w:t>
      </w:r>
      <w:r>
        <w:t>Blackwell.</w:t>
      </w:r>
    </w:p>
    <w:p w14:paraId="3911F55D" w14:textId="77777777" w:rsidR="0053643E" w:rsidRDefault="0053643E" w:rsidP="0053643E">
      <w:r>
        <w:t>Christens, B. D. (2012). Toward relational empowerment. American Journal of Community Psychology, 50(1–2), 114–128.</w:t>
      </w:r>
    </w:p>
    <w:p w14:paraId="00FEB26D" w14:textId="77777777" w:rsidR="0053643E" w:rsidRDefault="0053643E" w:rsidP="0053643E">
      <w:r>
        <w:t>Mann, K., Gordon, J., &amp; MacLeod, A. (2009). Reflection and reflective practice in health professions education. Advances in Health Sciences Education, 14(4), 595–621.</w:t>
      </w:r>
    </w:p>
    <w:p w14:paraId="460FB792" w14:textId="77777777" w:rsidR="0053643E" w:rsidRDefault="0053643E" w:rsidP="0053643E">
      <w:r>
        <w:t>Ryan, M. (2011). Improving reflective writing in higher education. Teaching in Higher Education, 16(1), 99–111.</w:t>
      </w:r>
    </w:p>
    <w:p w14:paraId="640229D0" w14:textId="77777777" w:rsidR="0053643E" w:rsidRDefault="0053643E" w:rsidP="0053643E">
      <w:r>
        <w:t>Zimmerman, B. J. (2000). Self</w:t>
      </w:r>
      <w:r>
        <w:rPr>
          <w:rFonts w:ascii="Cambria Math" w:hAnsi="Cambria Math" w:cs="Cambria Math"/>
        </w:rPr>
        <w:t>‑</w:t>
      </w:r>
      <w:r>
        <w:t>efficacy: An essential motive for learning. Contemporary Educational Psychology, 25(1), 82</w:t>
      </w:r>
      <w:r>
        <w:rPr>
          <w:rFonts w:ascii="Aptos" w:hAnsi="Aptos" w:cs="Aptos"/>
        </w:rPr>
        <w:t>–</w:t>
      </w:r>
      <w:r>
        <w:t>91.</w:t>
      </w:r>
    </w:p>
    <w:p w14:paraId="420B0AB2" w14:textId="77777777" w:rsidR="0053643E" w:rsidRDefault="0053643E" w:rsidP="0053643E"/>
    <w:p w14:paraId="3D018968" w14:textId="40B7B5D3" w:rsidR="0053643E" w:rsidRDefault="0053643E" w:rsidP="0053643E"/>
    <w:sectPr w:rsidR="005364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43E"/>
    <w:rsid w:val="003374E0"/>
    <w:rsid w:val="00536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9EA73"/>
  <w15:chartTrackingRefBased/>
  <w15:docId w15:val="{83B15C35-26A3-4DAA-98BE-412AC1D83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6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6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6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6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6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43E"/>
    <w:rPr>
      <w:rFonts w:eastAsiaTheme="majorEastAsia" w:cstheme="majorBidi"/>
      <w:color w:val="272727" w:themeColor="text1" w:themeTint="D8"/>
    </w:rPr>
  </w:style>
  <w:style w:type="paragraph" w:styleId="Title">
    <w:name w:val="Title"/>
    <w:basedOn w:val="Normal"/>
    <w:next w:val="Normal"/>
    <w:link w:val="TitleChar"/>
    <w:uiPriority w:val="10"/>
    <w:qFormat/>
    <w:rsid w:val="00536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43E"/>
    <w:pPr>
      <w:spacing w:before="160"/>
      <w:jc w:val="center"/>
    </w:pPr>
    <w:rPr>
      <w:i/>
      <w:iCs/>
      <w:color w:val="404040" w:themeColor="text1" w:themeTint="BF"/>
    </w:rPr>
  </w:style>
  <w:style w:type="character" w:customStyle="1" w:styleId="QuoteChar">
    <w:name w:val="Quote Char"/>
    <w:basedOn w:val="DefaultParagraphFont"/>
    <w:link w:val="Quote"/>
    <w:uiPriority w:val="29"/>
    <w:rsid w:val="0053643E"/>
    <w:rPr>
      <w:i/>
      <w:iCs/>
      <w:color w:val="404040" w:themeColor="text1" w:themeTint="BF"/>
    </w:rPr>
  </w:style>
  <w:style w:type="paragraph" w:styleId="ListParagraph">
    <w:name w:val="List Paragraph"/>
    <w:basedOn w:val="Normal"/>
    <w:uiPriority w:val="34"/>
    <w:qFormat/>
    <w:rsid w:val="0053643E"/>
    <w:pPr>
      <w:ind w:left="720"/>
      <w:contextualSpacing/>
    </w:pPr>
  </w:style>
  <w:style w:type="character" w:styleId="IntenseEmphasis">
    <w:name w:val="Intense Emphasis"/>
    <w:basedOn w:val="DefaultParagraphFont"/>
    <w:uiPriority w:val="21"/>
    <w:qFormat/>
    <w:rsid w:val="0053643E"/>
    <w:rPr>
      <w:i/>
      <w:iCs/>
      <w:color w:val="0F4761" w:themeColor="accent1" w:themeShade="BF"/>
    </w:rPr>
  </w:style>
  <w:style w:type="paragraph" w:styleId="IntenseQuote">
    <w:name w:val="Intense Quote"/>
    <w:basedOn w:val="Normal"/>
    <w:next w:val="Normal"/>
    <w:link w:val="IntenseQuoteChar"/>
    <w:uiPriority w:val="30"/>
    <w:qFormat/>
    <w:rsid w:val="00536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43E"/>
    <w:rPr>
      <w:i/>
      <w:iCs/>
      <w:color w:val="0F4761" w:themeColor="accent1" w:themeShade="BF"/>
    </w:rPr>
  </w:style>
  <w:style w:type="character" w:styleId="IntenseReference">
    <w:name w:val="Intense Reference"/>
    <w:basedOn w:val="DefaultParagraphFont"/>
    <w:uiPriority w:val="32"/>
    <w:qFormat/>
    <w:rsid w:val="005364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1718</Words>
  <Characters>9794</Characters>
  <Application>Microsoft Office Word</Application>
  <DocSecurity>0</DocSecurity>
  <Lines>81</Lines>
  <Paragraphs>22</Paragraphs>
  <ScaleCrop>false</ScaleCrop>
  <Company/>
  <LinksUpToDate>false</LinksUpToDate>
  <CharactersWithSpaces>11490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ashh 12</dc:creator>
  <cp:keywords/>
  <dc:description/>
  <cp:lastModifiedBy>ashh 12</cp:lastModifiedBy>
  <cp:revision>1</cp:revision>
  <dcterms:created xsi:type="dcterms:W3CDTF">2026-03-07T21:45:00Z</dcterms:created>
  <dcterms:modified xsi:type="dcterms:W3CDTF">2026-03-07T21:51:00Z</dcterms:modified>
</cp:coreProperties>
</file>