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E82C0A" w14:textId="29DFEF7A" w:rsidR="00CE24BC" w:rsidRPr="006F55C1" w:rsidRDefault="006F48C9">
      <w:pPr>
        <w:rPr>
          <w:rFonts w:ascii="Arial" w:hAnsi="Arial" w:cs="Arial"/>
          <w:sz w:val="24"/>
          <w:szCs w:val="24"/>
        </w:rPr>
      </w:pPr>
      <w:r w:rsidRPr="006F55C1">
        <w:rPr>
          <w:rFonts w:ascii="Arial" w:hAnsi="Arial" w:cs="Arial"/>
          <w:sz w:val="24"/>
          <w:szCs w:val="24"/>
        </w:rPr>
        <w:t>Moyles (2010) suggests that babies and young children respond to their primary caregivers and their environment almost immediately. Whitehead et al., (2012, p3) compares play with work, categorising p</w:t>
      </w:r>
      <w:r w:rsidR="00314948" w:rsidRPr="006F55C1">
        <w:rPr>
          <w:rFonts w:ascii="Arial" w:hAnsi="Arial" w:cs="Arial"/>
          <w:sz w:val="24"/>
          <w:szCs w:val="24"/>
        </w:rPr>
        <w:t>la</w:t>
      </w:r>
      <w:r w:rsidRPr="006F55C1">
        <w:rPr>
          <w:rFonts w:ascii="Arial" w:hAnsi="Arial" w:cs="Arial"/>
          <w:sz w:val="24"/>
          <w:szCs w:val="24"/>
        </w:rPr>
        <w:t xml:space="preserve">y as a less serious activity, without a particular purpose. However, Brock (2013) calls play a child’s “life’s work”. In addition, Herrington and </w:t>
      </w:r>
      <w:proofErr w:type="spellStart"/>
      <w:r w:rsidRPr="006F55C1">
        <w:rPr>
          <w:rFonts w:ascii="Arial" w:hAnsi="Arial" w:cs="Arial"/>
          <w:sz w:val="24"/>
          <w:szCs w:val="24"/>
        </w:rPr>
        <w:t>Brussoni</w:t>
      </w:r>
      <w:proofErr w:type="spellEnd"/>
      <w:r w:rsidRPr="006F55C1">
        <w:rPr>
          <w:rFonts w:ascii="Arial" w:hAnsi="Arial" w:cs="Arial"/>
          <w:sz w:val="24"/>
          <w:szCs w:val="24"/>
        </w:rPr>
        <w:t xml:space="preserve"> (2015) stress the right to play as defined by the United Nations</w:t>
      </w:r>
      <w:r w:rsidR="00451D3D" w:rsidRPr="006F55C1">
        <w:rPr>
          <w:rFonts w:ascii="Arial" w:hAnsi="Arial" w:cs="Arial"/>
          <w:sz w:val="24"/>
          <w:szCs w:val="24"/>
        </w:rPr>
        <w:t xml:space="preserve">. </w:t>
      </w:r>
      <w:r w:rsidR="00314948" w:rsidRPr="006F55C1">
        <w:rPr>
          <w:rFonts w:ascii="Arial" w:hAnsi="Arial" w:cs="Arial"/>
          <w:sz w:val="24"/>
          <w:szCs w:val="24"/>
        </w:rPr>
        <w:t>Furthermore,</w:t>
      </w:r>
      <w:r w:rsidR="00451D3D" w:rsidRPr="006F55C1">
        <w:rPr>
          <w:rFonts w:ascii="Arial" w:hAnsi="Arial" w:cs="Arial"/>
          <w:sz w:val="24"/>
          <w:szCs w:val="24"/>
        </w:rPr>
        <w:t xml:space="preserve"> Early years Matters (2018) asserts that play is physical and sensory, so all physical play is learning.</w:t>
      </w:r>
    </w:p>
    <w:p w14:paraId="61437D05" w14:textId="77777777" w:rsidR="00F1494B" w:rsidRPr="006F55C1" w:rsidRDefault="00F1494B">
      <w:pPr>
        <w:rPr>
          <w:rFonts w:ascii="Arial" w:hAnsi="Arial" w:cs="Arial"/>
          <w:sz w:val="24"/>
          <w:szCs w:val="24"/>
        </w:rPr>
      </w:pPr>
    </w:p>
    <w:p w14:paraId="690FAD52" w14:textId="762E7331" w:rsidR="00F1494B" w:rsidRPr="006F55C1" w:rsidRDefault="00F1494B">
      <w:pPr>
        <w:rPr>
          <w:rFonts w:ascii="Arial" w:hAnsi="Arial" w:cs="Arial"/>
          <w:sz w:val="24"/>
          <w:szCs w:val="24"/>
        </w:rPr>
      </w:pPr>
      <w:r w:rsidRPr="006F55C1">
        <w:rPr>
          <w:rFonts w:ascii="Arial" w:hAnsi="Arial" w:cs="Arial"/>
          <w:sz w:val="24"/>
          <w:szCs w:val="24"/>
        </w:rPr>
        <w:t>References:</w:t>
      </w:r>
    </w:p>
    <w:p w14:paraId="5792CA1C" w14:textId="6EB04F56" w:rsidR="00F1494B" w:rsidRPr="006F55C1" w:rsidRDefault="00F1494B">
      <w:pPr>
        <w:rPr>
          <w:rFonts w:ascii="Arial" w:hAnsi="Arial" w:cs="Arial"/>
          <w:sz w:val="24"/>
          <w:szCs w:val="24"/>
        </w:rPr>
      </w:pPr>
      <w:r w:rsidRPr="006F55C1">
        <w:rPr>
          <w:rFonts w:ascii="Arial" w:hAnsi="Arial" w:cs="Arial"/>
          <w:sz w:val="24"/>
          <w:szCs w:val="24"/>
        </w:rPr>
        <w:t xml:space="preserve">Brock, A., Dodds, S., Jarvis, P., and </w:t>
      </w:r>
      <w:proofErr w:type="spellStart"/>
      <w:r w:rsidRPr="006F55C1">
        <w:rPr>
          <w:rFonts w:ascii="Arial" w:hAnsi="Arial" w:cs="Arial"/>
          <w:sz w:val="24"/>
          <w:szCs w:val="24"/>
        </w:rPr>
        <w:t>Olunga</w:t>
      </w:r>
      <w:proofErr w:type="spellEnd"/>
      <w:r w:rsidRPr="006F55C1">
        <w:rPr>
          <w:rFonts w:ascii="Arial" w:hAnsi="Arial" w:cs="Arial"/>
          <w:sz w:val="24"/>
          <w:szCs w:val="24"/>
        </w:rPr>
        <w:t xml:space="preserve">, Y. (2013) </w:t>
      </w:r>
      <w:r w:rsidRPr="006F55C1">
        <w:rPr>
          <w:rFonts w:ascii="Arial" w:hAnsi="Arial" w:cs="Arial"/>
          <w:i/>
          <w:iCs/>
          <w:sz w:val="24"/>
          <w:szCs w:val="24"/>
        </w:rPr>
        <w:t>perspectives on</w:t>
      </w:r>
      <w:r w:rsidRPr="006F55C1">
        <w:rPr>
          <w:rFonts w:ascii="Arial" w:hAnsi="Arial" w:cs="Arial"/>
          <w:sz w:val="24"/>
          <w:szCs w:val="24"/>
        </w:rPr>
        <w:t xml:space="preserve"> </w:t>
      </w:r>
      <w:r w:rsidRPr="006F55C1">
        <w:rPr>
          <w:rFonts w:ascii="Arial" w:hAnsi="Arial" w:cs="Arial"/>
          <w:i/>
          <w:iCs/>
          <w:sz w:val="24"/>
          <w:szCs w:val="24"/>
        </w:rPr>
        <w:t>play: learning for life.</w:t>
      </w:r>
      <w:r w:rsidRPr="006F55C1">
        <w:rPr>
          <w:rFonts w:ascii="Arial" w:hAnsi="Arial" w:cs="Arial"/>
          <w:sz w:val="24"/>
          <w:szCs w:val="24"/>
        </w:rPr>
        <w:t xml:space="preserve"> Oxon: Routledge</w:t>
      </w:r>
      <w:r w:rsidR="00F35F8A" w:rsidRPr="006F55C1">
        <w:rPr>
          <w:rFonts w:ascii="Arial" w:hAnsi="Arial" w:cs="Arial"/>
          <w:sz w:val="24"/>
          <w:szCs w:val="24"/>
        </w:rPr>
        <w:t>.</w:t>
      </w:r>
    </w:p>
    <w:p w14:paraId="4B15D1E8" w14:textId="21CC71BD" w:rsidR="00F35F8A" w:rsidRPr="006F55C1" w:rsidRDefault="00F35F8A">
      <w:pPr>
        <w:rPr>
          <w:rFonts w:ascii="Arial" w:hAnsi="Arial" w:cs="Arial"/>
          <w:sz w:val="24"/>
          <w:szCs w:val="24"/>
        </w:rPr>
      </w:pPr>
      <w:r w:rsidRPr="006F55C1">
        <w:rPr>
          <w:rFonts w:ascii="Arial" w:hAnsi="Arial" w:cs="Arial"/>
          <w:sz w:val="24"/>
          <w:szCs w:val="24"/>
        </w:rPr>
        <w:t xml:space="preserve">Moyles, J. (2010) </w:t>
      </w:r>
      <w:r w:rsidRPr="006F55C1">
        <w:rPr>
          <w:rFonts w:ascii="Arial" w:hAnsi="Arial" w:cs="Arial"/>
          <w:i/>
          <w:iCs/>
          <w:sz w:val="24"/>
          <w:szCs w:val="24"/>
        </w:rPr>
        <w:t>The Excellence of Play</w:t>
      </w:r>
      <w:r w:rsidRPr="006F55C1">
        <w:rPr>
          <w:rFonts w:ascii="Arial" w:hAnsi="Arial" w:cs="Arial"/>
          <w:sz w:val="24"/>
          <w:szCs w:val="24"/>
        </w:rPr>
        <w:t>. 2</w:t>
      </w:r>
      <w:r w:rsidRPr="006F55C1">
        <w:rPr>
          <w:rFonts w:ascii="Arial" w:hAnsi="Arial" w:cs="Arial"/>
          <w:sz w:val="24"/>
          <w:szCs w:val="24"/>
          <w:vertAlign w:val="superscript"/>
        </w:rPr>
        <w:t>nd</w:t>
      </w:r>
      <w:r w:rsidRPr="006F55C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F55C1">
        <w:rPr>
          <w:rFonts w:ascii="Arial" w:hAnsi="Arial" w:cs="Arial"/>
          <w:sz w:val="24"/>
          <w:szCs w:val="24"/>
        </w:rPr>
        <w:t>edn</w:t>
      </w:r>
      <w:proofErr w:type="spellEnd"/>
      <w:r w:rsidRPr="006F55C1">
        <w:rPr>
          <w:rFonts w:ascii="Arial" w:hAnsi="Arial" w:cs="Arial"/>
          <w:sz w:val="24"/>
          <w:szCs w:val="24"/>
        </w:rPr>
        <w:t>. Berkshire. Open University Press.</w:t>
      </w:r>
    </w:p>
    <w:p w14:paraId="5A27BC5B" w14:textId="21DD7DA0" w:rsidR="00F35F8A" w:rsidRPr="006F55C1" w:rsidRDefault="00F35F8A">
      <w:pPr>
        <w:rPr>
          <w:rFonts w:ascii="Arial" w:hAnsi="Arial" w:cs="Arial"/>
          <w:sz w:val="24"/>
          <w:szCs w:val="24"/>
        </w:rPr>
      </w:pPr>
      <w:proofErr w:type="spellStart"/>
      <w:r w:rsidRPr="006F55C1">
        <w:rPr>
          <w:rFonts w:ascii="Arial" w:hAnsi="Arial" w:cs="Arial"/>
          <w:sz w:val="24"/>
          <w:szCs w:val="24"/>
        </w:rPr>
        <w:t>Herringtons</w:t>
      </w:r>
      <w:proofErr w:type="spellEnd"/>
      <w:r w:rsidRPr="006F55C1">
        <w:rPr>
          <w:rFonts w:ascii="Arial" w:hAnsi="Arial" w:cs="Arial"/>
          <w:sz w:val="24"/>
          <w:szCs w:val="24"/>
        </w:rPr>
        <w:t xml:space="preserve">, S and </w:t>
      </w:r>
      <w:proofErr w:type="spellStart"/>
      <w:r w:rsidRPr="006F55C1">
        <w:rPr>
          <w:rFonts w:ascii="Arial" w:hAnsi="Arial" w:cs="Arial"/>
          <w:sz w:val="24"/>
          <w:szCs w:val="24"/>
        </w:rPr>
        <w:t>Brussoni</w:t>
      </w:r>
      <w:proofErr w:type="spellEnd"/>
      <w:r w:rsidRPr="006F55C1">
        <w:rPr>
          <w:rFonts w:ascii="Arial" w:hAnsi="Arial" w:cs="Arial"/>
          <w:sz w:val="24"/>
          <w:szCs w:val="24"/>
        </w:rPr>
        <w:t xml:space="preserve">, M (2015) </w:t>
      </w:r>
      <w:r w:rsidRPr="006F55C1">
        <w:rPr>
          <w:rFonts w:ascii="Arial" w:hAnsi="Arial" w:cs="Arial"/>
          <w:i/>
          <w:iCs/>
          <w:sz w:val="24"/>
          <w:szCs w:val="24"/>
        </w:rPr>
        <w:t>Beyond Physical Activity: The</w:t>
      </w:r>
      <w:r w:rsidRPr="006F55C1">
        <w:rPr>
          <w:rFonts w:ascii="Arial" w:hAnsi="Arial" w:cs="Arial"/>
          <w:sz w:val="24"/>
          <w:szCs w:val="24"/>
        </w:rPr>
        <w:t xml:space="preserve"> </w:t>
      </w:r>
      <w:r w:rsidRPr="006F55C1">
        <w:rPr>
          <w:rFonts w:ascii="Arial" w:hAnsi="Arial" w:cs="Arial"/>
          <w:i/>
          <w:iCs/>
          <w:sz w:val="24"/>
          <w:szCs w:val="24"/>
        </w:rPr>
        <w:t>Importance of Play and Nature-Based Play Spaces for Children’s Health and Development, Current Obesity Reports</w:t>
      </w:r>
      <w:r w:rsidRPr="006F55C1">
        <w:rPr>
          <w:rFonts w:ascii="Arial" w:hAnsi="Arial" w:cs="Arial"/>
          <w:sz w:val="24"/>
          <w:szCs w:val="24"/>
        </w:rPr>
        <w:t>, Volume 4 (4) pp 477-483</w:t>
      </w:r>
    </w:p>
    <w:p w14:paraId="1F435994" w14:textId="0D022DD4" w:rsidR="00F35F8A" w:rsidRPr="006F55C1" w:rsidRDefault="00F35F8A">
      <w:pPr>
        <w:rPr>
          <w:rFonts w:ascii="Arial" w:hAnsi="Arial" w:cs="Arial"/>
          <w:sz w:val="24"/>
          <w:szCs w:val="24"/>
        </w:rPr>
      </w:pPr>
      <w:r w:rsidRPr="006F55C1">
        <w:rPr>
          <w:rFonts w:ascii="Arial" w:hAnsi="Arial" w:cs="Arial"/>
          <w:sz w:val="24"/>
          <w:szCs w:val="24"/>
        </w:rPr>
        <w:t xml:space="preserve">Early Years Matters (2018) </w:t>
      </w:r>
      <w:r w:rsidRPr="006F55C1">
        <w:rPr>
          <w:rFonts w:ascii="Arial" w:hAnsi="Arial" w:cs="Arial"/>
          <w:i/>
          <w:iCs/>
          <w:sz w:val="24"/>
          <w:szCs w:val="24"/>
        </w:rPr>
        <w:t xml:space="preserve">The importance of Play </w:t>
      </w:r>
      <w:r w:rsidRPr="006F55C1">
        <w:rPr>
          <w:rFonts w:ascii="Arial" w:hAnsi="Arial" w:cs="Arial"/>
          <w:sz w:val="24"/>
          <w:szCs w:val="24"/>
        </w:rPr>
        <w:t xml:space="preserve">available at: </w:t>
      </w:r>
      <w:hyperlink r:id="rId4" w:history="1">
        <w:r w:rsidR="00FC4077" w:rsidRPr="006F55C1">
          <w:rPr>
            <w:rStyle w:val="Hyperlink"/>
            <w:rFonts w:ascii="Arial" w:hAnsi="Arial" w:cs="Arial"/>
            <w:sz w:val="24"/>
            <w:szCs w:val="24"/>
          </w:rPr>
          <w:t>http://www.earlyyearsmatters.co.uk/eyfs/a-unique-child/play-learning/</w:t>
        </w:r>
      </w:hyperlink>
      <w:r w:rsidR="00FC4077" w:rsidRPr="006F55C1">
        <w:rPr>
          <w:rFonts w:ascii="Arial" w:hAnsi="Arial" w:cs="Arial"/>
          <w:sz w:val="24"/>
          <w:szCs w:val="24"/>
        </w:rPr>
        <w:t xml:space="preserve"> (accessed: 10 October2023)</w:t>
      </w:r>
    </w:p>
    <w:p w14:paraId="795EBC6F" w14:textId="3F4404F3" w:rsidR="00FC4077" w:rsidRPr="006F55C1" w:rsidRDefault="00FC4077">
      <w:pPr>
        <w:rPr>
          <w:rFonts w:ascii="Arial" w:hAnsi="Arial" w:cs="Arial"/>
          <w:sz w:val="24"/>
          <w:szCs w:val="24"/>
        </w:rPr>
      </w:pPr>
      <w:r w:rsidRPr="006F55C1">
        <w:rPr>
          <w:rFonts w:ascii="Arial" w:hAnsi="Arial" w:cs="Arial"/>
          <w:sz w:val="24"/>
          <w:szCs w:val="24"/>
        </w:rPr>
        <w:t xml:space="preserve">Whitehead, D., Basilio, M., </w:t>
      </w:r>
      <w:proofErr w:type="spellStart"/>
      <w:r w:rsidRPr="006F55C1">
        <w:rPr>
          <w:rFonts w:ascii="Arial" w:hAnsi="Arial" w:cs="Arial"/>
          <w:sz w:val="24"/>
          <w:szCs w:val="24"/>
        </w:rPr>
        <w:t>Kuvalja</w:t>
      </w:r>
      <w:proofErr w:type="spellEnd"/>
      <w:r w:rsidRPr="006F55C1">
        <w:rPr>
          <w:rFonts w:ascii="Arial" w:hAnsi="Arial" w:cs="Arial"/>
          <w:sz w:val="24"/>
          <w:szCs w:val="24"/>
        </w:rPr>
        <w:t xml:space="preserve">, M., and Verma, M. (2012) </w:t>
      </w:r>
      <w:r w:rsidRPr="006F55C1">
        <w:rPr>
          <w:rFonts w:ascii="Arial" w:hAnsi="Arial" w:cs="Arial"/>
          <w:i/>
          <w:iCs/>
          <w:sz w:val="24"/>
          <w:szCs w:val="24"/>
        </w:rPr>
        <w:t xml:space="preserve">The importance of Play. </w:t>
      </w:r>
      <w:r w:rsidRPr="006F55C1">
        <w:rPr>
          <w:rFonts w:ascii="Arial" w:hAnsi="Arial" w:cs="Arial"/>
          <w:sz w:val="24"/>
          <w:szCs w:val="24"/>
        </w:rPr>
        <w:t xml:space="preserve">Available at: </w:t>
      </w:r>
      <w:hyperlink r:id="rId5" w:history="1">
        <w:r w:rsidRPr="006F55C1">
          <w:rPr>
            <w:rStyle w:val="Hyperlink"/>
            <w:rFonts w:ascii="Arial" w:hAnsi="Arial" w:cs="Arial"/>
            <w:sz w:val="24"/>
            <w:szCs w:val="24"/>
          </w:rPr>
          <w:t>http://www.Importance</w:t>
        </w:r>
      </w:hyperlink>
      <w:r w:rsidRPr="006F55C1">
        <w:rPr>
          <w:rFonts w:ascii="Arial" w:hAnsi="Arial" w:cs="Arial"/>
          <w:sz w:val="24"/>
          <w:szCs w:val="24"/>
        </w:rPr>
        <w:t>ofplay</w:t>
      </w:r>
      <w:r w:rsidRPr="006F55C1">
        <w:rPr>
          <w:rFonts w:ascii="Arial" w:hAnsi="Arial" w:cs="Arial"/>
          <w:i/>
          <w:iCs/>
          <w:sz w:val="24"/>
          <w:szCs w:val="24"/>
        </w:rPr>
        <w:t>.</w:t>
      </w:r>
      <w:r w:rsidRPr="006F55C1">
        <w:rPr>
          <w:rFonts w:ascii="Arial" w:hAnsi="Arial" w:cs="Arial"/>
          <w:sz w:val="24"/>
          <w:szCs w:val="24"/>
        </w:rPr>
        <w:t>eu/IMG/pdf/</w:t>
      </w:r>
      <w:proofErr w:type="gramStart"/>
      <w:r w:rsidRPr="006F55C1">
        <w:rPr>
          <w:rFonts w:ascii="Arial" w:hAnsi="Arial" w:cs="Arial"/>
          <w:sz w:val="24"/>
          <w:szCs w:val="24"/>
        </w:rPr>
        <w:t xml:space="preserve">dr  </w:t>
      </w:r>
      <w:proofErr w:type="spellStart"/>
      <w:r w:rsidRPr="006F55C1">
        <w:rPr>
          <w:rFonts w:ascii="Arial" w:hAnsi="Arial" w:cs="Arial"/>
          <w:sz w:val="24"/>
          <w:szCs w:val="24"/>
        </w:rPr>
        <w:t>david</w:t>
      </w:r>
      <w:proofErr w:type="spellEnd"/>
      <w:proofErr w:type="gramEnd"/>
      <w:r w:rsidRPr="006F55C1">
        <w:rPr>
          <w:rFonts w:ascii="Arial" w:hAnsi="Arial" w:cs="Arial"/>
          <w:sz w:val="24"/>
          <w:szCs w:val="24"/>
        </w:rPr>
        <w:t xml:space="preserve"> whitehead – the  importance  of play.pdf. (accessed 10 October 2023)</w:t>
      </w:r>
    </w:p>
    <w:sectPr w:rsidR="00FC4077" w:rsidRPr="006F55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48C9"/>
    <w:rsid w:val="00314948"/>
    <w:rsid w:val="00451D3D"/>
    <w:rsid w:val="006F48C9"/>
    <w:rsid w:val="006F55C1"/>
    <w:rsid w:val="00721EB8"/>
    <w:rsid w:val="00CE24BC"/>
    <w:rsid w:val="00F1494B"/>
    <w:rsid w:val="00F35F8A"/>
    <w:rsid w:val="00FC40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01AF46"/>
  <w15:chartTrackingRefBased/>
  <w15:docId w15:val="{EBF43DA1-0F59-4B38-819B-68FCAF93BF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C407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407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Importance" TargetMode="External"/><Relationship Id="rId4" Type="http://schemas.openxmlformats.org/officeDocument/2006/relationships/hyperlink" Target="http://www.earlyyearsmatters.co.uk/eyfs/a-unique-child/play-learn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217</Words>
  <Characters>1238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Rowlands</dc:creator>
  <cp:keywords/>
  <dc:description/>
  <cp:lastModifiedBy>Kate Rowlands</cp:lastModifiedBy>
  <cp:revision>2</cp:revision>
  <dcterms:created xsi:type="dcterms:W3CDTF">2023-10-11T12:00:00Z</dcterms:created>
  <dcterms:modified xsi:type="dcterms:W3CDTF">2023-10-11T12:00:00Z</dcterms:modified>
</cp:coreProperties>
</file>