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C848C" w14:textId="77777777" w:rsidR="00952F7D" w:rsidRDefault="00DF198B" w:rsidP="00DF198B">
      <w:pPr>
        <w:pStyle w:val="GraphicAnchor"/>
      </w:pPr>
      <w:r w:rsidRPr="004909D9">
        <w:rPr>
          <w:noProof/>
          <w:lang w:val="en-AU" w:eastAsia="en-AU"/>
        </w:rPr>
        <w:drawing>
          <wp:anchor distT="0" distB="0" distL="114300" distR="114300" simplePos="0" relativeHeight="251657216" behindDoc="1" locked="1" layoutInCell="1" allowOverlap="1" wp14:anchorId="3AA2CB23" wp14:editId="75782713">
            <wp:simplePos x="0" y="0"/>
            <wp:positionH relativeFrom="margin">
              <wp:align>left</wp:align>
            </wp:positionH>
            <wp:positionV relativeFrom="margin">
              <wp:align>top</wp:align>
            </wp:positionV>
            <wp:extent cx="6858000" cy="914400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W w:w="0" w:type="auto"/>
        <w:tblLayout w:type="fixed"/>
        <w:tblCellMar>
          <w:left w:w="0" w:type="dxa"/>
          <w:right w:w="0" w:type="dxa"/>
        </w:tblCellMar>
        <w:tblLook w:val="0600" w:firstRow="0" w:lastRow="0" w:firstColumn="0" w:lastColumn="0" w:noHBand="1" w:noVBand="1"/>
      </w:tblPr>
      <w:tblGrid>
        <w:gridCol w:w="1170"/>
        <w:gridCol w:w="28"/>
        <w:gridCol w:w="1142"/>
        <w:gridCol w:w="57"/>
        <w:gridCol w:w="5995"/>
        <w:gridCol w:w="68"/>
        <w:gridCol w:w="1131"/>
        <w:gridCol w:w="39"/>
        <w:gridCol w:w="1160"/>
      </w:tblGrid>
      <w:tr w:rsidR="00DF198B" w14:paraId="186E9231" w14:textId="77777777" w:rsidTr="00EB7C2B">
        <w:trPr>
          <w:trHeight w:val="1083"/>
        </w:trPr>
        <w:tc>
          <w:tcPr>
            <w:tcW w:w="10790" w:type="dxa"/>
            <w:gridSpan w:val="9"/>
          </w:tcPr>
          <w:p w14:paraId="5EF5D80F" w14:textId="77777777" w:rsidR="00DF198B" w:rsidRDefault="00DF198B"/>
        </w:tc>
      </w:tr>
      <w:tr w:rsidR="00DF198B" w14:paraId="1CD7CA8B" w14:textId="77777777" w:rsidTr="00EB7C2B">
        <w:trPr>
          <w:trHeight w:val="1068"/>
        </w:trPr>
        <w:tc>
          <w:tcPr>
            <w:tcW w:w="1198" w:type="dxa"/>
            <w:gridSpan w:val="2"/>
            <w:tcBorders>
              <w:right w:val="single" w:sz="18" w:space="0" w:color="476166" w:themeColor="accent1"/>
            </w:tcBorders>
          </w:tcPr>
          <w:p w14:paraId="64EB1400"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296B38AA" w14:textId="509936FD" w:rsidR="00DF198B" w:rsidRPr="00DF198B" w:rsidRDefault="00C77E47" w:rsidP="00EB7C2B">
            <w:pPr>
              <w:pStyle w:val="Heading1"/>
            </w:pPr>
            <w:r>
              <w:t>Strategic Analysis and Sustainable Strategy</w:t>
            </w:r>
          </w:p>
        </w:tc>
        <w:tc>
          <w:tcPr>
            <w:tcW w:w="1199" w:type="dxa"/>
            <w:gridSpan w:val="2"/>
            <w:tcBorders>
              <w:left w:val="single" w:sz="18" w:space="0" w:color="476166" w:themeColor="accent1"/>
            </w:tcBorders>
          </w:tcPr>
          <w:p w14:paraId="1169A47B" w14:textId="77777777" w:rsidR="00DF198B" w:rsidRDefault="00DF198B"/>
        </w:tc>
      </w:tr>
      <w:tr w:rsidR="00DF198B" w14:paraId="333F598A" w14:textId="77777777" w:rsidTr="00EB7C2B">
        <w:trPr>
          <w:trHeight w:val="1837"/>
        </w:trPr>
        <w:tc>
          <w:tcPr>
            <w:tcW w:w="1170" w:type="dxa"/>
          </w:tcPr>
          <w:p w14:paraId="1D81F164" w14:textId="77777777" w:rsidR="00DF198B" w:rsidRDefault="00DF198B"/>
        </w:tc>
        <w:tc>
          <w:tcPr>
            <w:tcW w:w="8460" w:type="dxa"/>
            <w:gridSpan w:val="7"/>
          </w:tcPr>
          <w:p w14:paraId="1D165A54" w14:textId="77777777" w:rsidR="00DF198B" w:rsidRDefault="00DF198B"/>
        </w:tc>
        <w:tc>
          <w:tcPr>
            <w:tcW w:w="1160" w:type="dxa"/>
          </w:tcPr>
          <w:p w14:paraId="7D94098D" w14:textId="77777777" w:rsidR="00DF198B" w:rsidRDefault="00DF198B"/>
        </w:tc>
      </w:tr>
      <w:tr w:rsidR="00DF198B" w14:paraId="44A8656C" w14:textId="77777777" w:rsidTr="00EB7C2B">
        <w:trPr>
          <w:trHeight w:val="929"/>
        </w:trPr>
        <w:tc>
          <w:tcPr>
            <w:tcW w:w="2397" w:type="dxa"/>
            <w:gridSpan w:val="4"/>
          </w:tcPr>
          <w:p w14:paraId="205ACB97" w14:textId="77777777" w:rsidR="00DF198B" w:rsidRDefault="00DF198B"/>
        </w:tc>
        <w:tc>
          <w:tcPr>
            <w:tcW w:w="5995" w:type="dxa"/>
            <w:shd w:val="clear" w:color="auto" w:fill="FFFFFF" w:themeFill="background1"/>
          </w:tcPr>
          <w:p w14:paraId="56412C22" w14:textId="77777777" w:rsidR="00DF198B" w:rsidRPr="00DF198B" w:rsidRDefault="00DF198B" w:rsidP="00DF198B">
            <w:pPr>
              <w:jc w:val="center"/>
              <w:rPr>
                <w:rFonts w:ascii="Georgia" w:hAnsi="Georgia"/>
                <w:sz w:val="48"/>
                <w:szCs w:val="48"/>
              </w:rPr>
            </w:pPr>
          </w:p>
        </w:tc>
        <w:tc>
          <w:tcPr>
            <w:tcW w:w="2398" w:type="dxa"/>
            <w:gridSpan w:val="4"/>
          </w:tcPr>
          <w:p w14:paraId="1D46EABF" w14:textId="77777777" w:rsidR="00DF198B" w:rsidRDefault="00DF198B"/>
        </w:tc>
      </w:tr>
      <w:tr w:rsidR="00DF198B" w14:paraId="62E06EAB" w14:textId="77777777" w:rsidTr="00EB7C2B">
        <w:trPr>
          <w:trHeight w:val="1460"/>
        </w:trPr>
        <w:tc>
          <w:tcPr>
            <w:tcW w:w="2397" w:type="dxa"/>
            <w:gridSpan w:val="4"/>
          </w:tcPr>
          <w:p w14:paraId="0B47B761" w14:textId="77777777" w:rsidR="00DF198B" w:rsidRDefault="00DF198B"/>
        </w:tc>
        <w:tc>
          <w:tcPr>
            <w:tcW w:w="5995" w:type="dxa"/>
            <w:shd w:val="clear" w:color="auto" w:fill="FFFFFF" w:themeFill="background1"/>
          </w:tcPr>
          <w:p w14:paraId="5952C13B" w14:textId="53FCEEE3" w:rsidR="00DF198B" w:rsidRPr="00DF198B" w:rsidRDefault="00C77E47" w:rsidP="00EB7C2B">
            <w:pPr>
              <w:pStyle w:val="Heading2"/>
            </w:pPr>
            <w:r>
              <w:t>Oliver James</w:t>
            </w:r>
          </w:p>
        </w:tc>
        <w:tc>
          <w:tcPr>
            <w:tcW w:w="2398" w:type="dxa"/>
            <w:gridSpan w:val="4"/>
          </w:tcPr>
          <w:p w14:paraId="56CBC8BA" w14:textId="77777777" w:rsidR="00DF198B" w:rsidRDefault="00DF198B"/>
        </w:tc>
      </w:tr>
      <w:tr w:rsidR="00DF198B" w14:paraId="1D0BED4C" w14:textId="77777777" w:rsidTr="00EB7C2B">
        <w:trPr>
          <w:trHeight w:val="7176"/>
        </w:trPr>
        <w:tc>
          <w:tcPr>
            <w:tcW w:w="2397" w:type="dxa"/>
            <w:gridSpan w:val="4"/>
          </w:tcPr>
          <w:p w14:paraId="570293ED"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tcPr>
          <w:p w14:paraId="18F1C3F7" w14:textId="7A295446" w:rsidR="00DF198B" w:rsidRPr="00DF198B" w:rsidRDefault="00C77E47" w:rsidP="00874FE7">
            <w:pPr>
              <w:pStyle w:val="Heading3"/>
            </w:pPr>
            <w:r w:rsidRPr="00C77E47">
              <w:t>Strategic Management and Sustainability</w:t>
            </w:r>
          </w:p>
          <w:p w14:paraId="0DF79E8B" w14:textId="77777777" w:rsidR="00874FE7" w:rsidRPr="00DF198B" w:rsidRDefault="00000000" w:rsidP="00874FE7">
            <w:pPr>
              <w:pStyle w:val="Heading3"/>
            </w:pPr>
            <w:sdt>
              <w:sdtPr>
                <w:id w:val="-1516760087"/>
                <w:placeholder>
                  <w:docPart w:val="75DE1D349D744E4CA8FC710F4D9C1941"/>
                </w:placeholder>
                <w:temporary/>
                <w:showingPlcHdr/>
                <w15:appearance w15:val="hidden"/>
              </w:sdtPr>
              <w:sdtContent>
                <w:r w:rsidR="00874FE7" w:rsidRPr="00DF198B">
                  <w:t>—</w:t>
                </w:r>
              </w:sdtContent>
            </w:sdt>
          </w:p>
          <w:p w14:paraId="6F89FCBB" w14:textId="21BFEDC8" w:rsidR="00DF198B" w:rsidRPr="00DF198B" w:rsidRDefault="00C77E47" w:rsidP="00874FE7">
            <w:pPr>
              <w:pStyle w:val="Heading3"/>
            </w:pPr>
            <w:r>
              <w:t>BMBM6024</w:t>
            </w:r>
          </w:p>
          <w:p w14:paraId="1BB181A7" w14:textId="77777777" w:rsidR="00DF198B" w:rsidRPr="00DF198B" w:rsidRDefault="00000000" w:rsidP="00874FE7">
            <w:pPr>
              <w:pStyle w:val="Heading3"/>
            </w:pPr>
            <w:sdt>
              <w:sdtPr>
                <w:id w:val="1492440299"/>
                <w:placeholder>
                  <w:docPart w:val="E04F78D8A0044DFF8B7D656D5C4CCC36"/>
                </w:placeholder>
                <w:temporary/>
                <w:showingPlcHdr/>
                <w15:appearance w15:val="hidden"/>
              </w:sdtPr>
              <w:sdtContent>
                <w:r w:rsidR="00874FE7" w:rsidRPr="00DF198B">
                  <w:t>—</w:t>
                </w:r>
              </w:sdtContent>
            </w:sdt>
          </w:p>
          <w:p w14:paraId="03C7B6EB" w14:textId="0D3DD406" w:rsidR="00DF198B" w:rsidRDefault="00C77E47" w:rsidP="00874FE7">
            <w:pPr>
              <w:pStyle w:val="Heading3"/>
            </w:pPr>
            <w:r>
              <w:t>Robyn Griffiths</w:t>
            </w:r>
          </w:p>
          <w:p w14:paraId="1FC10148" w14:textId="77777777" w:rsidR="00DF198B" w:rsidRPr="00DF198B" w:rsidRDefault="00DF198B" w:rsidP="00DF198B"/>
        </w:tc>
        <w:tc>
          <w:tcPr>
            <w:tcW w:w="2398" w:type="dxa"/>
            <w:gridSpan w:val="4"/>
          </w:tcPr>
          <w:p w14:paraId="4A5AEB91" w14:textId="77777777" w:rsidR="00DF198B" w:rsidRDefault="00DF198B" w:rsidP="00DF198B">
            <w:pPr>
              <w:jc w:val="center"/>
            </w:pPr>
          </w:p>
        </w:tc>
      </w:tr>
      <w:tr w:rsidR="00DF198B" w14:paraId="127025A8" w14:textId="77777777" w:rsidTr="00EB7C2B">
        <w:tc>
          <w:tcPr>
            <w:tcW w:w="2340" w:type="dxa"/>
            <w:gridSpan w:val="3"/>
          </w:tcPr>
          <w:p w14:paraId="6D9B4B5B" w14:textId="77777777" w:rsidR="00DF198B" w:rsidRDefault="00DF198B"/>
        </w:tc>
        <w:tc>
          <w:tcPr>
            <w:tcW w:w="6120" w:type="dxa"/>
            <w:gridSpan w:val="3"/>
          </w:tcPr>
          <w:p w14:paraId="79A6DE96" w14:textId="77777777" w:rsidR="00DF198B" w:rsidRDefault="00DF198B"/>
        </w:tc>
        <w:tc>
          <w:tcPr>
            <w:tcW w:w="2330" w:type="dxa"/>
            <w:gridSpan w:val="3"/>
          </w:tcPr>
          <w:p w14:paraId="11B61C80" w14:textId="77777777" w:rsidR="00DF198B" w:rsidRDefault="00DF198B"/>
        </w:tc>
      </w:tr>
    </w:tbl>
    <w:p w14:paraId="7361589F" w14:textId="77777777" w:rsidR="00DF198B" w:rsidRDefault="00DF198B"/>
    <w:p w14:paraId="7891CD9C" w14:textId="77777777" w:rsidR="00DF198B" w:rsidRDefault="00DF198B" w:rsidP="002D2200">
      <w:pPr>
        <w:pStyle w:val="GraphicAnchor"/>
      </w:pPr>
    </w:p>
    <w:p w14:paraId="41D95432" w14:textId="77777777" w:rsidR="002D2200" w:rsidRDefault="002D2200"/>
    <w:p w14:paraId="497FCF7D" w14:textId="77777777" w:rsidR="00E74B29" w:rsidRDefault="00E74B29" w:rsidP="0048120C">
      <w:pPr>
        <w:pStyle w:val="GraphicAnchor"/>
      </w:pPr>
    </w:p>
    <w:p w14:paraId="376FEBCF" w14:textId="77777777" w:rsidR="00D07EE4" w:rsidRPr="00304F43" w:rsidRDefault="00D07EE4" w:rsidP="00D07EE4">
      <w:pPr>
        <w:spacing w:after="160" w:line="278" w:lineRule="auto"/>
        <w:rPr>
          <w:rFonts w:ascii="Georgia" w:hAnsi="Georgia"/>
          <w:b/>
          <w:bCs/>
          <w:u w:val="single"/>
        </w:rPr>
      </w:pPr>
      <w:r w:rsidRPr="00304F43">
        <w:rPr>
          <w:rFonts w:ascii="Georgia" w:hAnsi="Georgia"/>
          <w:b/>
          <w:bCs/>
          <w:u w:val="single"/>
        </w:rPr>
        <w:lastRenderedPageBreak/>
        <w:t>Executive Summary</w:t>
      </w:r>
    </w:p>
    <w:p w14:paraId="5BB63CD7" w14:textId="77777777" w:rsidR="00D07EE4" w:rsidRPr="003D6E1E" w:rsidRDefault="00D07EE4" w:rsidP="00D07EE4">
      <w:pPr>
        <w:rPr>
          <w:rFonts w:ascii="Georgia" w:hAnsi="Georgia"/>
        </w:rPr>
      </w:pPr>
      <w:r w:rsidRPr="00304F43">
        <w:rPr>
          <w:rFonts w:ascii="Georgia" w:hAnsi="Georgia"/>
        </w:rPr>
        <w:t xml:space="preserve">This report critically evaluates the strategic position of Welsh domestic football, focusing on the Football Association of Wales (FAW) and the Cymru Premier. Using key strategic frameworks including PESTEL, Porter’s Five Forces, and the Resource Based View (RBV) the analysis identifies structural weaknesses such as financial limitation, low commercialization, and competitive pressures from the English Premier League </w:t>
      </w:r>
      <w:sdt>
        <w:sdtPr>
          <w:rPr>
            <w:rFonts w:ascii="Georgia" w:hAnsi="Georgia"/>
          </w:rPr>
          <w:id w:val="-191998514"/>
          <w:citation/>
        </w:sdtPr>
        <w:sdtContent>
          <w:r w:rsidRPr="003D6E1E">
            <w:rPr>
              <w:rFonts w:ascii="Georgia" w:hAnsi="Georgia"/>
            </w:rPr>
            <w:fldChar w:fldCharType="begin"/>
          </w:r>
          <w:r w:rsidRPr="003D6E1E">
            <w:rPr>
              <w:rFonts w:ascii="Georgia" w:hAnsi="Georgia"/>
            </w:rPr>
            <w:instrText xml:space="preserve"> CITATION UEF22 \l 2057 </w:instrText>
          </w:r>
          <w:r w:rsidRPr="003D6E1E">
            <w:rPr>
              <w:rFonts w:ascii="Georgia" w:hAnsi="Georgia"/>
            </w:rPr>
            <w:fldChar w:fldCharType="separate"/>
          </w:r>
          <w:r w:rsidRPr="00202399">
            <w:rPr>
              <w:rFonts w:ascii="Georgia" w:hAnsi="Georgia"/>
              <w:noProof/>
            </w:rPr>
            <w:t>(UEFA, 2022)</w:t>
          </w:r>
          <w:r w:rsidRPr="003D6E1E">
            <w:rPr>
              <w:rFonts w:ascii="Georgia" w:hAnsi="Georgia"/>
            </w:rPr>
            <w:fldChar w:fldCharType="end"/>
          </w:r>
        </w:sdtContent>
      </w:sdt>
    </w:p>
    <w:p w14:paraId="7948D95F" w14:textId="77777777" w:rsidR="00D07EE4" w:rsidRPr="00304F43" w:rsidRDefault="00D07EE4" w:rsidP="00D07EE4">
      <w:pPr>
        <w:spacing w:after="160" w:line="278" w:lineRule="auto"/>
        <w:rPr>
          <w:rFonts w:ascii="Georgia" w:hAnsi="Georgia"/>
        </w:rPr>
      </w:pPr>
      <w:r w:rsidRPr="003D6E1E">
        <w:rPr>
          <w:rFonts w:ascii="Georgia" w:hAnsi="Georgia"/>
          <w:noProof/>
        </w:rPr>
        <w:drawing>
          <wp:inline distT="0" distB="0" distL="0" distR="0" wp14:anchorId="18C72238" wp14:editId="2A788261">
            <wp:extent cx="4591050" cy="3823501"/>
            <wp:effectExtent l="0" t="0" r="0" b="5715"/>
            <wp:docPr id="1943380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06752" cy="3836578"/>
                    </a:xfrm>
                    <a:prstGeom prst="rect">
                      <a:avLst/>
                    </a:prstGeom>
                    <a:noFill/>
                    <a:ln>
                      <a:noFill/>
                    </a:ln>
                  </pic:spPr>
                </pic:pic>
              </a:graphicData>
            </a:graphic>
          </wp:inline>
        </w:drawing>
      </w:r>
    </w:p>
    <w:p w14:paraId="7AC80679" w14:textId="77777777" w:rsidR="00D07EE4" w:rsidRPr="00304F43" w:rsidRDefault="00D07EE4" w:rsidP="00D07EE4">
      <w:pPr>
        <w:spacing w:after="160" w:line="278" w:lineRule="auto"/>
        <w:rPr>
          <w:rFonts w:ascii="Georgia" w:hAnsi="Georgia"/>
        </w:rPr>
      </w:pPr>
      <w:r w:rsidRPr="00304F43">
        <w:rPr>
          <w:rFonts w:ascii="Georgia" w:hAnsi="Georgia"/>
        </w:rPr>
        <w:t xml:space="preserve">However, the report argues that Welsh football possesses underutilised strategic assets, particularly in youth development and European competition access, which have historically contributed to grassroots impact and national engagement </w:t>
      </w:r>
      <w:sdt>
        <w:sdtPr>
          <w:rPr>
            <w:rFonts w:ascii="Georgia" w:hAnsi="Georgia"/>
          </w:rPr>
          <w:id w:val="1747760478"/>
          <w:citation/>
        </w:sdtPr>
        <w:sdtContent>
          <w:r w:rsidRPr="003D6E1E">
            <w:rPr>
              <w:rFonts w:ascii="Georgia" w:hAnsi="Georgia"/>
            </w:rPr>
            <w:fldChar w:fldCharType="begin"/>
          </w:r>
          <w:r w:rsidRPr="003D6E1E">
            <w:rPr>
              <w:rFonts w:ascii="Georgia" w:hAnsi="Georgia"/>
            </w:rPr>
            <w:instrText xml:space="preserve"> CITATION UEF26 \l 2057 </w:instrText>
          </w:r>
          <w:r w:rsidRPr="003D6E1E">
            <w:rPr>
              <w:rFonts w:ascii="Georgia" w:hAnsi="Georgia"/>
            </w:rPr>
            <w:fldChar w:fldCharType="separate"/>
          </w:r>
          <w:r w:rsidRPr="00202399">
            <w:rPr>
              <w:rFonts w:ascii="Georgia" w:hAnsi="Georgia"/>
              <w:noProof/>
            </w:rPr>
            <w:t>(UEFA, 2026)</w:t>
          </w:r>
          <w:r w:rsidRPr="003D6E1E">
            <w:rPr>
              <w:rFonts w:ascii="Georgia" w:hAnsi="Georgia"/>
            </w:rPr>
            <w:fldChar w:fldCharType="end"/>
          </w:r>
        </w:sdtContent>
      </w:sdt>
      <w:r w:rsidRPr="00304F43">
        <w:rPr>
          <w:rFonts w:ascii="Georgia" w:hAnsi="Georgia"/>
        </w:rPr>
        <w:t>. The findings suggest that while traditional strategy models provide a useful insight, their applicability is constrained in semi</w:t>
      </w:r>
      <w:r w:rsidRPr="00304F43">
        <w:rPr>
          <w:rFonts w:ascii="Georgia" w:hAnsi="Georgia"/>
        </w:rPr>
        <w:noBreakHyphen/>
        <w:t>professional sporting contexts where non</w:t>
      </w:r>
      <w:r w:rsidRPr="00304F43">
        <w:rPr>
          <w:rFonts w:ascii="Georgia" w:hAnsi="Georgia"/>
        </w:rPr>
        <w:noBreakHyphen/>
        <w:t xml:space="preserve">market factors such as community identity play a significant role in overall performance </w:t>
      </w:r>
      <w:sdt>
        <w:sdtPr>
          <w:rPr>
            <w:rFonts w:ascii="Georgia" w:hAnsi="Georgia"/>
          </w:rPr>
          <w:id w:val="1002625682"/>
          <w:citation/>
        </w:sdtPr>
        <w:sdtContent>
          <w:r w:rsidRPr="003D6E1E">
            <w:rPr>
              <w:rFonts w:ascii="Georgia" w:hAnsi="Georgia"/>
            </w:rPr>
            <w:fldChar w:fldCharType="begin"/>
          </w:r>
          <w:r w:rsidRPr="003D6E1E">
            <w:rPr>
              <w:rFonts w:ascii="Georgia" w:hAnsi="Georgia"/>
            </w:rPr>
            <w:instrText xml:space="preserve"> CITATION Mor03 \l 2057 </w:instrText>
          </w:r>
          <w:r w:rsidRPr="003D6E1E">
            <w:rPr>
              <w:rFonts w:ascii="Georgia" w:hAnsi="Georgia"/>
            </w:rPr>
            <w:fldChar w:fldCharType="separate"/>
          </w:r>
          <w:r w:rsidRPr="00202399">
            <w:rPr>
              <w:rFonts w:ascii="Georgia" w:hAnsi="Georgia"/>
              <w:noProof/>
            </w:rPr>
            <w:t>(Morrow, 2003)</w:t>
          </w:r>
          <w:r w:rsidRPr="003D6E1E">
            <w:rPr>
              <w:rFonts w:ascii="Georgia" w:hAnsi="Georgia"/>
            </w:rPr>
            <w:fldChar w:fldCharType="end"/>
          </w:r>
        </w:sdtContent>
      </w:sdt>
      <w:r w:rsidRPr="00304F43">
        <w:rPr>
          <w:rFonts w:ascii="Georgia" w:hAnsi="Georgia"/>
        </w:rPr>
        <w:t>.</w:t>
      </w:r>
    </w:p>
    <w:p w14:paraId="66AD3EA0" w14:textId="77777777" w:rsidR="00D07EE4" w:rsidRPr="00304F43" w:rsidRDefault="00D07EE4" w:rsidP="00D07EE4">
      <w:pPr>
        <w:spacing w:after="160" w:line="278" w:lineRule="auto"/>
        <w:rPr>
          <w:rFonts w:ascii="Georgia" w:hAnsi="Georgia"/>
        </w:rPr>
      </w:pPr>
      <w:r w:rsidRPr="00304F43">
        <w:rPr>
          <w:rFonts w:ascii="Georgia" w:hAnsi="Georgia"/>
        </w:rPr>
        <w:t>The report recommends a digitally driven growth strategy, enhanced talent monetization and sustainability led innovation to strengthen long term competitiveness, aligning with contemporary digital transformation research in sports consumption</w:t>
      </w:r>
      <w:sdt>
        <w:sdtPr>
          <w:rPr>
            <w:rFonts w:ascii="Georgia" w:hAnsi="Georgia"/>
          </w:rPr>
          <w:id w:val="632134340"/>
          <w:citation/>
        </w:sdtPr>
        <w:sdtContent>
          <w:r w:rsidRPr="003D6E1E">
            <w:rPr>
              <w:rFonts w:ascii="Georgia" w:hAnsi="Georgia"/>
            </w:rPr>
            <w:fldChar w:fldCharType="begin"/>
          </w:r>
          <w:r w:rsidRPr="003D6E1E">
            <w:rPr>
              <w:rFonts w:ascii="Georgia" w:hAnsi="Georgia"/>
            </w:rPr>
            <w:instrText xml:space="preserve"> CITATION PWC231 \l 2057 </w:instrText>
          </w:r>
          <w:r w:rsidRPr="003D6E1E">
            <w:rPr>
              <w:rFonts w:ascii="Georgia" w:hAnsi="Georgia"/>
            </w:rPr>
            <w:fldChar w:fldCharType="separate"/>
          </w:r>
          <w:r>
            <w:rPr>
              <w:rFonts w:ascii="Georgia" w:hAnsi="Georgia"/>
              <w:noProof/>
            </w:rPr>
            <w:t xml:space="preserve"> </w:t>
          </w:r>
          <w:r w:rsidRPr="00202399">
            <w:rPr>
              <w:rFonts w:ascii="Georgia" w:hAnsi="Georgia"/>
              <w:noProof/>
            </w:rPr>
            <w:t>(PWC, 2023)</w:t>
          </w:r>
          <w:r w:rsidRPr="003D6E1E">
            <w:rPr>
              <w:rFonts w:ascii="Georgia" w:hAnsi="Georgia"/>
            </w:rPr>
            <w:fldChar w:fldCharType="end"/>
          </w:r>
        </w:sdtContent>
      </w:sdt>
    </w:p>
    <w:p w14:paraId="1F4864E8" w14:textId="77777777" w:rsidR="00D07EE4" w:rsidRPr="00304F43" w:rsidRDefault="00D07EE4" w:rsidP="00D07EE4">
      <w:pPr>
        <w:spacing w:after="160" w:line="278" w:lineRule="auto"/>
        <w:rPr>
          <w:rFonts w:ascii="Georgia" w:hAnsi="Georgia"/>
          <w:b/>
          <w:bCs/>
          <w:u w:val="single"/>
        </w:rPr>
      </w:pPr>
      <w:r w:rsidRPr="00304F43">
        <w:rPr>
          <w:rFonts w:ascii="Georgia" w:hAnsi="Georgia"/>
          <w:b/>
          <w:bCs/>
          <w:u w:val="single"/>
        </w:rPr>
        <w:t>Introduction</w:t>
      </w:r>
    </w:p>
    <w:p w14:paraId="3753D786" w14:textId="77777777" w:rsidR="00D07EE4" w:rsidRPr="00304F43" w:rsidRDefault="00D07EE4" w:rsidP="00D07EE4">
      <w:pPr>
        <w:spacing w:after="160" w:line="278" w:lineRule="auto"/>
        <w:rPr>
          <w:rFonts w:ascii="Georgia" w:hAnsi="Georgia"/>
        </w:rPr>
      </w:pPr>
      <w:r w:rsidRPr="00304F43">
        <w:rPr>
          <w:rFonts w:ascii="Georgia" w:hAnsi="Georgia"/>
        </w:rPr>
        <w:t xml:space="preserve">The Welsh domestic football industry can represent a niche yet a very complex sector within the European sport industry. Governed by the FAW, the Cymru Premier operates in a structurally disadvantaged position due to the historical integration of leading Welsh clubs into the English Football system. Even as most recently as Merthyr Town FC following in the footsteps of other leading clubs doing the same, clubs have opted out of the domestic top flight, highlighting ongoing structural challenges </w:t>
      </w:r>
      <w:sdt>
        <w:sdtPr>
          <w:rPr>
            <w:rFonts w:ascii="Georgia" w:hAnsi="Georgia"/>
          </w:rPr>
          <w:id w:val="-1870977197"/>
          <w:citation/>
        </w:sdtPr>
        <w:sdtContent>
          <w:r w:rsidRPr="003D6E1E">
            <w:rPr>
              <w:rFonts w:ascii="Georgia" w:hAnsi="Georgia"/>
            </w:rPr>
            <w:fldChar w:fldCharType="begin"/>
          </w:r>
          <w:r w:rsidRPr="003D6E1E">
            <w:rPr>
              <w:rFonts w:ascii="Georgia" w:hAnsi="Georgia"/>
            </w:rPr>
            <w:instrText xml:space="preserve"> CITATION Con97 \l 2057 </w:instrText>
          </w:r>
          <w:r w:rsidRPr="003D6E1E">
            <w:rPr>
              <w:rFonts w:ascii="Georgia" w:hAnsi="Georgia"/>
            </w:rPr>
            <w:fldChar w:fldCharType="separate"/>
          </w:r>
          <w:r w:rsidRPr="00202399">
            <w:rPr>
              <w:rFonts w:ascii="Georgia" w:hAnsi="Georgia"/>
              <w:noProof/>
            </w:rPr>
            <w:t>(Conn, 1997)</w:t>
          </w:r>
          <w:r w:rsidRPr="003D6E1E">
            <w:rPr>
              <w:rFonts w:ascii="Georgia" w:hAnsi="Georgia"/>
            </w:rPr>
            <w:fldChar w:fldCharType="end"/>
          </w:r>
        </w:sdtContent>
      </w:sdt>
      <w:r w:rsidRPr="003D6E1E">
        <w:rPr>
          <w:rFonts w:ascii="Georgia" w:hAnsi="Georgia"/>
        </w:rPr>
        <w:t xml:space="preserve"> </w:t>
      </w:r>
      <w:r w:rsidRPr="00304F43">
        <w:rPr>
          <w:rFonts w:ascii="Georgia" w:hAnsi="Georgia"/>
        </w:rPr>
        <w:t>This has significantly limited domestic league visibility, commercial growth, and fan engagement.</w:t>
      </w:r>
    </w:p>
    <w:p w14:paraId="267FEED9" w14:textId="77777777" w:rsidR="00D07EE4" w:rsidRPr="00304F43" w:rsidRDefault="00D07EE4" w:rsidP="00D07EE4">
      <w:pPr>
        <w:spacing w:after="160" w:line="278" w:lineRule="auto"/>
        <w:rPr>
          <w:rFonts w:ascii="Georgia" w:hAnsi="Georgia"/>
        </w:rPr>
      </w:pPr>
      <w:r w:rsidRPr="00304F43">
        <w:rPr>
          <w:rFonts w:ascii="Georgia" w:hAnsi="Georgia"/>
        </w:rPr>
        <w:t>From a strategic point of view, the industry provides an insightful case due to its hybrid model combining semi</w:t>
      </w:r>
      <w:r w:rsidRPr="00304F43">
        <w:rPr>
          <w:rFonts w:ascii="Georgia" w:hAnsi="Georgia"/>
        </w:rPr>
        <w:noBreakHyphen/>
        <w:t xml:space="preserve">professional operations with aspirations of European competitions. Unlike elite </w:t>
      </w:r>
      <w:r w:rsidRPr="00304F43">
        <w:rPr>
          <w:rFonts w:ascii="Georgia" w:hAnsi="Georgia"/>
        </w:rPr>
        <w:lastRenderedPageBreak/>
        <w:t xml:space="preserve">leagues, Welsh football lacks substantial broadcasting revenue, relying on UEFA funding and </w:t>
      </w:r>
      <w:proofErr w:type="spellStart"/>
      <w:r w:rsidRPr="00304F43">
        <w:rPr>
          <w:rFonts w:ascii="Georgia" w:hAnsi="Georgia"/>
        </w:rPr>
        <w:t>localised</w:t>
      </w:r>
      <w:proofErr w:type="spellEnd"/>
      <w:r w:rsidRPr="00304F43">
        <w:rPr>
          <w:rFonts w:ascii="Georgia" w:hAnsi="Georgia"/>
        </w:rPr>
        <w:t xml:space="preserve"> income streams </w:t>
      </w:r>
      <w:sdt>
        <w:sdtPr>
          <w:rPr>
            <w:rFonts w:ascii="Georgia" w:hAnsi="Georgia"/>
          </w:rPr>
          <w:id w:val="435092639"/>
          <w:citation/>
        </w:sdtPr>
        <w:sdtContent>
          <w:r>
            <w:rPr>
              <w:rFonts w:ascii="Georgia" w:hAnsi="Georgia"/>
            </w:rPr>
            <w:fldChar w:fldCharType="begin"/>
          </w:r>
          <w:r>
            <w:rPr>
              <w:rFonts w:ascii="Georgia" w:hAnsi="Georgia"/>
            </w:rPr>
            <w:instrText xml:space="preserve"> CITATION Del25 \l 2057 </w:instrText>
          </w:r>
          <w:r>
            <w:rPr>
              <w:rFonts w:ascii="Georgia" w:hAnsi="Georgia"/>
            </w:rPr>
            <w:fldChar w:fldCharType="separate"/>
          </w:r>
          <w:r w:rsidRPr="00202399">
            <w:rPr>
              <w:rFonts w:ascii="Georgia" w:hAnsi="Georgia"/>
              <w:noProof/>
            </w:rPr>
            <w:t>(Deloitte, 2025)</w:t>
          </w:r>
          <w:r>
            <w:rPr>
              <w:rFonts w:ascii="Georgia" w:hAnsi="Georgia"/>
            </w:rPr>
            <w:fldChar w:fldCharType="end"/>
          </w:r>
        </w:sdtContent>
      </w:sdt>
      <w:r w:rsidRPr="00304F43">
        <w:rPr>
          <w:rFonts w:ascii="Georgia" w:hAnsi="Georgia"/>
        </w:rPr>
        <w:t>.</w:t>
      </w:r>
    </w:p>
    <w:p w14:paraId="14FAB308" w14:textId="77777777" w:rsidR="00D07EE4" w:rsidRPr="00304F43" w:rsidRDefault="00D07EE4" w:rsidP="00D07EE4">
      <w:pPr>
        <w:spacing w:after="160" w:line="278" w:lineRule="auto"/>
        <w:rPr>
          <w:rFonts w:ascii="Georgia" w:hAnsi="Georgia"/>
        </w:rPr>
      </w:pPr>
      <w:r w:rsidRPr="00304F43">
        <w:rPr>
          <w:rFonts w:ascii="Georgia" w:hAnsi="Georgia"/>
        </w:rPr>
        <w:t xml:space="preserve">Key challenges include financial sustainability, talent retention, and competition from globally dominant leagues, which reflect broader financial inequalities in European football markets </w:t>
      </w:r>
      <w:sdt>
        <w:sdtPr>
          <w:rPr>
            <w:rFonts w:ascii="Georgia" w:hAnsi="Georgia"/>
          </w:rPr>
          <w:id w:val="863166450"/>
          <w:citation/>
        </w:sdtPr>
        <w:sdtContent>
          <w:r>
            <w:rPr>
              <w:rFonts w:ascii="Georgia" w:hAnsi="Georgia"/>
            </w:rPr>
            <w:fldChar w:fldCharType="begin"/>
          </w:r>
          <w:r>
            <w:rPr>
              <w:rFonts w:ascii="Georgia" w:hAnsi="Georgia"/>
            </w:rPr>
            <w:instrText xml:space="preserve">CITATION err23 \l 2057 </w:instrText>
          </w:r>
          <w:r>
            <w:rPr>
              <w:rFonts w:ascii="Georgia" w:hAnsi="Georgia"/>
            </w:rPr>
            <w:fldChar w:fldCharType="separate"/>
          </w:r>
          <w:r w:rsidRPr="00202399">
            <w:rPr>
              <w:rFonts w:ascii="Georgia" w:hAnsi="Georgia"/>
              <w:noProof/>
            </w:rPr>
            <w:t>(Serrano, 2023)</w:t>
          </w:r>
          <w:r>
            <w:rPr>
              <w:rFonts w:ascii="Georgia" w:hAnsi="Georgia"/>
            </w:rPr>
            <w:fldChar w:fldCharType="end"/>
          </w:r>
        </w:sdtContent>
      </w:sdt>
      <w:r w:rsidRPr="00304F43">
        <w:rPr>
          <w:rFonts w:ascii="Georgia" w:hAnsi="Georgia"/>
        </w:rPr>
        <w:t xml:space="preserve">. However, emerging trends such as digital broadcasting and sustainability focused governance present new strategic opportunities aligned with technological change in sport consumption </w:t>
      </w:r>
      <w:sdt>
        <w:sdtPr>
          <w:rPr>
            <w:rFonts w:ascii="Georgia" w:hAnsi="Georgia"/>
          </w:rPr>
          <w:id w:val="-1089934284"/>
          <w:citation/>
        </w:sdtPr>
        <w:sdtContent>
          <w:r>
            <w:rPr>
              <w:rFonts w:ascii="Georgia" w:hAnsi="Georgia"/>
            </w:rPr>
            <w:fldChar w:fldCharType="begin"/>
          </w:r>
          <w:r>
            <w:rPr>
              <w:rFonts w:ascii="Georgia" w:hAnsi="Georgia"/>
            </w:rPr>
            <w:instrText xml:space="preserve"> CITATION PWC231 \l 2057 </w:instrText>
          </w:r>
          <w:r>
            <w:rPr>
              <w:rFonts w:ascii="Georgia" w:hAnsi="Georgia"/>
            </w:rPr>
            <w:fldChar w:fldCharType="separate"/>
          </w:r>
          <w:r w:rsidRPr="00202399">
            <w:rPr>
              <w:rFonts w:ascii="Georgia" w:hAnsi="Georgia"/>
              <w:noProof/>
            </w:rPr>
            <w:t>(PWC, 2023)</w:t>
          </w:r>
          <w:r>
            <w:rPr>
              <w:rFonts w:ascii="Georgia" w:hAnsi="Georgia"/>
            </w:rPr>
            <w:fldChar w:fldCharType="end"/>
          </w:r>
        </w:sdtContent>
      </w:sdt>
    </w:p>
    <w:p w14:paraId="70B2F639" w14:textId="77777777" w:rsidR="00D07EE4" w:rsidRPr="00304F43" w:rsidRDefault="00D07EE4" w:rsidP="00D07EE4">
      <w:pPr>
        <w:spacing w:after="160" w:line="278" w:lineRule="auto"/>
        <w:rPr>
          <w:rFonts w:ascii="Georgia" w:hAnsi="Georgia"/>
        </w:rPr>
      </w:pPr>
      <w:r w:rsidRPr="00304F43">
        <w:rPr>
          <w:rFonts w:ascii="Georgia" w:hAnsi="Georgia"/>
        </w:rPr>
        <w:t>Critically, this report moves beyond descriptive analysis by evaluating how traditional strategic models apply and often fail to capture the realities of smaller sporting economies</w:t>
      </w:r>
      <w:r>
        <w:rPr>
          <w:rFonts w:ascii="Georgia" w:hAnsi="Georgia"/>
        </w:rPr>
        <w:t>.</w:t>
      </w:r>
    </w:p>
    <w:p w14:paraId="1C9CCB04" w14:textId="77777777" w:rsidR="00D07EE4" w:rsidRPr="00304F43" w:rsidRDefault="00D07EE4" w:rsidP="00D07EE4">
      <w:pPr>
        <w:spacing w:after="160" w:line="278" w:lineRule="auto"/>
        <w:rPr>
          <w:rFonts w:ascii="Georgia" w:hAnsi="Georgia"/>
        </w:rPr>
      </w:pPr>
      <w:r w:rsidRPr="00304F43">
        <w:rPr>
          <w:rFonts w:ascii="Georgia" w:hAnsi="Georgia"/>
        </w:rPr>
        <w:t>External analysis</w:t>
      </w:r>
    </w:p>
    <w:p w14:paraId="462517EB" w14:textId="77777777" w:rsidR="00D07EE4" w:rsidRPr="00304F43" w:rsidRDefault="00D07EE4" w:rsidP="00D07EE4">
      <w:pPr>
        <w:spacing w:after="160" w:line="278" w:lineRule="auto"/>
        <w:rPr>
          <w:rFonts w:ascii="Georgia" w:hAnsi="Georgia"/>
        </w:rPr>
      </w:pPr>
      <w:r w:rsidRPr="00304F43">
        <w:rPr>
          <w:rFonts w:ascii="Georgia" w:hAnsi="Georgia"/>
        </w:rPr>
        <w:t>PESTEL Analysis</w:t>
      </w:r>
    </w:p>
    <w:p w14:paraId="18136672" w14:textId="77777777" w:rsidR="00D07EE4" w:rsidRPr="00304F43" w:rsidRDefault="00D07EE4" w:rsidP="00D07EE4">
      <w:pPr>
        <w:spacing w:after="160" w:line="278" w:lineRule="auto"/>
        <w:rPr>
          <w:rFonts w:ascii="Georgia" w:hAnsi="Georgia"/>
        </w:rPr>
      </w:pPr>
      <w:r w:rsidRPr="00304F43">
        <w:rPr>
          <w:rFonts w:ascii="Georgia" w:hAnsi="Georgia"/>
        </w:rPr>
        <w:t>PESTEL offers a useful starting point for analysing the macro environment (Johnson et al., 2020), but its static and descriptive nature limits its ability to fully capture the fast</w:t>
      </w:r>
      <w:r w:rsidRPr="00304F43">
        <w:rPr>
          <w:rFonts w:ascii="Georgia" w:hAnsi="Georgia"/>
        </w:rPr>
        <w:noBreakHyphen/>
        <w:t xml:space="preserve">changing and emotionally driven football ecosystem in Wales </w:t>
      </w:r>
      <w:sdt>
        <w:sdtPr>
          <w:rPr>
            <w:rFonts w:ascii="Georgia" w:hAnsi="Georgia"/>
          </w:rPr>
          <w:id w:val="-1926481057"/>
          <w:citation/>
        </w:sdtPr>
        <w:sdtContent>
          <w:r>
            <w:rPr>
              <w:rFonts w:ascii="Georgia" w:hAnsi="Georgia"/>
            </w:rPr>
            <w:fldChar w:fldCharType="begin"/>
          </w:r>
          <w:r>
            <w:rPr>
              <w:rFonts w:ascii="Georgia" w:hAnsi="Georgia"/>
            </w:rPr>
            <w:instrText xml:space="preserve"> CITATION Mor03 \l 2057 </w:instrText>
          </w:r>
          <w:r>
            <w:rPr>
              <w:rFonts w:ascii="Georgia" w:hAnsi="Georgia"/>
            </w:rPr>
            <w:fldChar w:fldCharType="separate"/>
          </w:r>
          <w:r w:rsidRPr="00202399">
            <w:rPr>
              <w:rFonts w:ascii="Georgia" w:hAnsi="Georgia"/>
              <w:noProof/>
            </w:rPr>
            <w:t>(Morrow, 2003)</w:t>
          </w:r>
          <w:r>
            <w:rPr>
              <w:rFonts w:ascii="Georgia" w:hAnsi="Georgia"/>
            </w:rPr>
            <w:fldChar w:fldCharType="end"/>
          </w:r>
        </w:sdtContent>
      </w:sdt>
    </w:p>
    <w:p w14:paraId="3B4DCF3F" w14:textId="77777777" w:rsidR="00D07EE4" w:rsidRPr="00304F43" w:rsidRDefault="00D07EE4" w:rsidP="00D07EE4">
      <w:pPr>
        <w:spacing w:after="160" w:line="278" w:lineRule="auto"/>
        <w:rPr>
          <w:rFonts w:ascii="Georgia" w:hAnsi="Georgia"/>
        </w:rPr>
      </w:pPr>
      <w:r w:rsidRPr="00304F43">
        <w:rPr>
          <w:rFonts w:ascii="Georgia" w:hAnsi="Georgia"/>
        </w:rPr>
        <w:t xml:space="preserve">Political: Governance by the FAW and funding distribution from UEFA has significantly shaped strategic opportunities. While these structures provide financial support and legitimacy, they simultaneously constrain clubs’ strategic autonomy due to regulatory dependency </w:t>
      </w:r>
      <w:sdt>
        <w:sdtPr>
          <w:rPr>
            <w:rFonts w:ascii="Georgia" w:hAnsi="Georgia"/>
          </w:rPr>
          <w:id w:val="739525820"/>
          <w:citation/>
        </w:sdtPr>
        <w:sdtContent>
          <w:r>
            <w:rPr>
              <w:rFonts w:ascii="Georgia" w:hAnsi="Georgia"/>
            </w:rPr>
            <w:fldChar w:fldCharType="begin"/>
          </w:r>
          <w:r>
            <w:rPr>
              <w:rFonts w:ascii="Georgia" w:hAnsi="Georgia"/>
            </w:rPr>
            <w:instrText xml:space="preserve"> CITATION UEF23 \l 2057 </w:instrText>
          </w:r>
          <w:r>
            <w:rPr>
              <w:rFonts w:ascii="Georgia" w:hAnsi="Georgia"/>
            </w:rPr>
            <w:fldChar w:fldCharType="separate"/>
          </w:r>
          <w:r w:rsidRPr="00202399">
            <w:rPr>
              <w:rFonts w:ascii="Georgia" w:hAnsi="Georgia"/>
              <w:noProof/>
            </w:rPr>
            <w:t>(UEFA, 2023)</w:t>
          </w:r>
          <w:r>
            <w:rPr>
              <w:rFonts w:ascii="Georgia" w:hAnsi="Georgia"/>
            </w:rPr>
            <w:fldChar w:fldCharType="end"/>
          </w:r>
        </w:sdtContent>
      </w:sdt>
      <w:r w:rsidRPr="00304F43">
        <w:rPr>
          <w:rFonts w:ascii="Georgia" w:hAnsi="Georgia"/>
        </w:rPr>
        <w:t>.</w:t>
      </w:r>
    </w:p>
    <w:p w14:paraId="331487B1" w14:textId="77777777" w:rsidR="00D07EE4" w:rsidRPr="00304F43" w:rsidRDefault="00D07EE4" w:rsidP="00D07EE4">
      <w:pPr>
        <w:spacing w:after="160" w:line="278" w:lineRule="auto"/>
        <w:rPr>
          <w:rFonts w:ascii="Georgia" w:hAnsi="Georgia"/>
        </w:rPr>
      </w:pPr>
      <w:r w:rsidRPr="00304F43">
        <w:rPr>
          <w:rFonts w:ascii="Georgia" w:hAnsi="Georgia"/>
        </w:rPr>
        <w:t xml:space="preserve">Economic: Financial inequalities </w:t>
      </w:r>
      <w:proofErr w:type="gramStart"/>
      <w:r w:rsidRPr="00304F43">
        <w:rPr>
          <w:rFonts w:ascii="Georgia" w:hAnsi="Georgia"/>
        </w:rPr>
        <w:t>remains</w:t>
      </w:r>
      <w:proofErr w:type="gramEnd"/>
      <w:r w:rsidRPr="00304F43">
        <w:rPr>
          <w:rFonts w:ascii="Georgia" w:hAnsi="Georgia"/>
        </w:rPr>
        <w:t xml:space="preserve"> one of the most critical structural challenges. Compared to elite European leagues, Welsh clubs operate with substantially lower revenues </w:t>
      </w:r>
      <w:sdt>
        <w:sdtPr>
          <w:rPr>
            <w:rFonts w:ascii="Georgia" w:hAnsi="Georgia"/>
          </w:rPr>
          <w:id w:val="1770204477"/>
          <w:citation/>
        </w:sdtPr>
        <w:sdtContent>
          <w:r>
            <w:rPr>
              <w:rFonts w:ascii="Georgia" w:hAnsi="Georgia"/>
            </w:rPr>
            <w:fldChar w:fldCharType="begin"/>
          </w:r>
          <w:r>
            <w:rPr>
              <w:rFonts w:ascii="Georgia" w:hAnsi="Georgia"/>
            </w:rPr>
            <w:instrText xml:space="preserve"> CITATION Del25 \l 2057 </w:instrText>
          </w:r>
          <w:r>
            <w:rPr>
              <w:rFonts w:ascii="Georgia" w:hAnsi="Georgia"/>
            </w:rPr>
            <w:fldChar w:fldCharType="separate"/>
          </w:r>
          <w:r w:rsidRPr="00202399">
            <w:rPr>
              <w:rFonts w:ascii="Georgia" w:hAnsi="Georgia"/>
              <w:noProof/>
            </w:rPr>
            <w:t>(Deloitte, 2025)</w:t>
          </w:r>
          <w:r>
            <w:rPr>
              <w:rFonts w:ascii="Georgia" w:hAnsi="Georgia"/>
            </w:rPr>
            <w:fldChar w:fldCharType="end"/>
          </w:r>
        </w:sdtContent>
      </w:sdt>
      <w:r>
        <w:rPr>
          <w:rFonts w:ascii="Georgia" w:hAnsi="Georgia"/>
        </w:rPr>
        <w:t xml:space="preserve"> </w:t>
      </w:r>
      <w:r w:rsidRPr="00304F43">
        <w:rPr>
          <w:rFonts w:ascii="Georgia" w:hAnsi="Georgia"/>
        </w:rPr>
        <w:t xml:space="preserve">reinforcing a persistent competitive imbalance that undermines Porter’s assumption of relatively equal industry participants </w:t>
      </w:r>
      <w:sdt>
        <w:sdtPr>
          <w:rPr>
            <w:rFonts w:ascii="Georgia" w:hAnsi="Georgia"/>
          </w:rPr>
          <w:id w:val="1519662925"/>
          <w:citation/>
        </w:sdtPr>
        <w:sdtContent>
          <w:r>
            <w:rPr>
              <w:rFonts w:ascii="Georgia" w:hAnsi="Georgia"/>
            </w:rPr>
            <w:fldChar w:fldCharType="begin"/>
          </w:r>
          <w:r>
            <w:rPr>
              <w:rFonts w:ascii="Georgia" w:hAnsi="Georgia"/>
            </w:rPr>
            <w:instrText xml:space="preserve"> CITATION Por081 \l 2057 </w:instrText>
          </w:r>
          <w:r>
            <w:rPr>
              <w:rFonts w:ascii="Georgia" w:hAnsi="Georgia"/>
            </w:rPr>
            <w:fldChar w:fldCharType="separate"/>
          </w:r>
          <w:r w:rsidRPr="00202399">
            <w:rPr>
              <w:rFonts w:ascii="Georgia" w:hAnsi="Georgia"/>
              <w:noProof/>
            </w:rPr>
            <w:t>(Porter, 2008)</w:t>
          </w:r>
          <w:r>
            <w:rPr>
              <w:rFonts w:ascii="Georgia" w:hAnsi="Georgia"/>
            </w:rPr>
            <w:fldChar w:fldCharType="end"/>
          </w:r>
        </w:sdtContent>
      </w:sdt>
      <w:r w:rsidRPr="00304F43">
        <w:rPr>
          <w:rFonts w:ascii="Georgia" w:hAnsi="Georgia"/>
        </w:rPr>
        <w:t>. The result is a cycle where limited resources restrict on</w:t>
      </w:r>
      <w:r w:rsidRPr="00304F43">
        <w:rPr>
          <w:rFonts w:ascii="Georgia" w:hAnsi="Georgia"/>
        </w:rPr>
        <w:noBreakHyphen/>
        <w:t>field success, while in turn constrains commercial growth.</w:t>
      </w:r>
    </w:p>
    <w:p w14:paraId="35A6690B" w14:textId="77777777" w:rsidR="00D07EE4" w:rsidRPr="00304F43" w:rsidRDefault="00D07EE4" w:rsidP="00D07EE4">
      <w:pPr>
        <w:spacing w:after="160" w:line="278" w:lineRule="auto"/>
        <w:rPr>
          <w:rFonts w:ascii="Georgia" w:hAnsi="Georgia"/>
        </w:rPr>
      </w:pPr>
      <w:r w:rsidRPr="00304F43">
        <w:rPr>
          <w:rFonts w:ascii="Georgia" w:hAnsi="Georgia"/>
        </w:rPr>
        <w:t xml:space="preserve">Social: A key demand side issue is the cultural preference for English Football Clubs, which reflects global fan engagement patterns and has measurable demographic effects on smaller league engagement </w:t>
      </w:r>
      <w:sdt>
        <w:sdtPr>
          <w:rPr>
            <w:rFonts w:ascii="Georgia" w:hAnsi="Georgia"/>
          </w:rPr>
          <w:id w:val="80569584"/>
          <w:citation/>
        </w:sdtPr>
        <w:sdtContent>
          <w:r>
            <w:rPr>
              <w:rFonts w:ascii="Georgia" w:hAnsi="Georgia"/>
            </w:rPr>
            <w:fldChar w:fldCharType="begin"/>
          </w:r>
          <w:r>
            <w:rPr>
              <w:rFonts w:ascii="Georgia" w:hAnsi="Georgia"/>
            </w:rPr>
            <w:instrText xml:space="preserve"> CITATION UEF23 \l 2057 </w:instrText>
          </w:r>
          <w:r>
            <w:rPr>
              <w:rFonts w:ascii="Georgia" w:hAnsi="Georgia"/>
            </w:rPr>
            <w:fldChar w:fldCharType="separate"/>
          </w:r>
          <w:r w:rsidRPr="00202399">
            <w:rPr>
              <w:rFonts w:ascii="Georgia" w:hAnsi="Georgia"/>
              <w:noProof/>
            </w:rPr>
            <w:t>(UEFA, 2023)</w:t>
          </w:r>
          <w:r>
            <w:rPr>
              <w:rFonts w:ascii="Georgia" w:hAnsi="Georgia"/>
            </w:rPr>
            <w:fldChar w:fldCharType="end"/>
          </w:r>
        </w:sdtContent>
      </w:sdt>
      <w:sdt>
        <w:sdtPr>
          <w:rPr>
            <w:rFonts w:ascii="Georgia" w:hAnsi="Georgia"/>
          </w:rPr>
          <w:id w:val="1173695906"/>
          <w:citation/>
        </w:sdtPr>
        <w:sdtContent>
          <w:r>
            <w:rPr>
              <w:rFonts w:ascii="Georgia" w:hAnsi="Georgia"/>
            </w:rPr>
            <w:fldChar w:fldCharType="begin"/>
          </w:r>
          <w:r>
            <w:rPr>
              <w:rFonts w:ascii="Georgia" w:hAnsi="Georgia"/>
            </w:rPr>
            <w:instrText xml:space="preserve"> CITATION err23 \l 2057 </w:instrText>
          </w:r>
          <w:r>
            <w:rPr>
              <w:rFonts w:ascii="Georgia" w:hAnsi="Georgia"/>
            </w:rPr>
            <w:fldChar w:fldCharType="separate"/>
          </w:r>
          <w:r>
            <w:rPr>
              <w:rFonts w:ascii="Georgia" w:hAnsi="Georgia"/>
              <w:noProof/>
            </w:rPr>
            <w:t xml:space="preserve"> </w:t>
          </w:r>
          <w:r w:rsidRPr="00202399">
            <w:rPr>
              <w:rFonts w:ascii="Georgia" w:hAnsi="Georgia"/>
              <w:noProof/>
            </w:rPr>
            <w:t>(Serrano, 2023)</w:t>
          </w:r>
          <w:r>
            <w:rPr>
              <w:rFonts w:ascii="Georgia" w:hAnsi="Georgia"/>
            </w:rPr>
            <w:fldChar w:fldCharType="end"/>
          </w:r>
        </w:sdtContent>
      </w:sdt>
      <w:r w:rsidRPr="00304F43">
        <w:rPr>
          <w:rFonts w:ascii="Georgia" w:hAnsi="Georgia"/>
        </w:rPr>
        <w:t xml:space="preserve">This weakens domestic league engagement and reduces matchday and broadcasting revenue. However local identity and community affiliation remain valuable assets. Clubs can leverage this emotional connection as a point of differentiation, though it may not fully offset the dominance of global brands like the Premier League and LaLiga </w:t>
      </w:r>
      <w:sdt>
        <w:sdtPr>
          <w:rPr>
            <w:rFonts w:ascii="Georgia" w:hAnsi="Georgia"/>
          </w:rPr>
          <w:id w:val="1787778605"/>
          <w:citation/>
        </w:sdtPr>
        <w:sdtContent>
          <w:r>
            <w:rPr>
              <w:rFonts w:ascii="Georgia" w:hAnsi="Georgia"/>
            </w:rPr>
            <w:fldChar w:fldCharType="begin"/>
          </w:r>
          <w:r>
            <w:rPr>
              <w:rFonts w:ascii="Georgia" w:hAnsi="Georgia"/>
            </w:rPr>
            <w:instrText xml:space="preserve"> CITATION Del25 \l 2057 </w:instrText>
          </w:r>
          <w:r>
            <w:rPr>
              <w:rFonts w:ascii="Georgia" w:hAnsi="Georgia"/>
            </w:rPr>
            <w:fldChar w:fldCharType="separate"/>
          </w:r>
          <w:r w:rsidRPr="00202399">
            <w:rPr>
              <w:rFonts w:ascii="Georgia" w:hAnsi="Georgia"/>
              <w:noProof/>
            </w:rPr>
            <w:t>(Deloitte, 2025)</w:t>
          </w:r>
          <w:r>
            <w:rPr>
              <w:rFonts w:ascii="Georgia" w:hAnsi="Georgia"/>
            </w:rPr>
            <w:fldChar w:fldCharType="end"/>
          </w:r>
        </w:sdtContent>
      </w:sdt>
    </w:p>
    <w:p w14:paraId="4C18995F" w14:textId="77777777" w:rsidR="00D07EE4" w:rsidRPr="00304F43" w:rsidRDefault="00D07EE4" w:rsidP="00D07EE4">
      <w:pPr>
        <w:spacing w:after="160" w:line="278" w:lineRule="auto"/>
        <w:rPr>
          <w:rFonts w:ascii="Georgia" w:hAnsi="Georgia"/>
        </w:rPr>
      </w:pPr>
      <w:r w:rsidRPr="00304F43">
        <w:rPr>
          <w:rFonts w:ascii="Georgia" w:hAnsi="Georgia"/>
        </w:rPr>
        <w:t xml:space="preserve">Technological: The rise of digital streaming platforms has expanded access to global audiences and reduced traditional broadcasting barriers, creating both opportunities and tensions within football consumption </w:t>
      </w:r>
      <w:sdt>
        <w:sdtPr>
          <w:rPr>
            <w:rFonts w:ascii="Georgia" w:hAnsi="Georgia"/>
          </w:rPr>
          <w:id w:val="1370795973"/>
          <w:citation/>
        </w:sdtPr>
        <w:sdtContent>
          <w:r>
            <w:rPr>
              <w:rFonts w:ascii="Georgia" w:hAnsi="Georgia"/>
            </w:rPr>
            <w:fldChar w:fldCharType="begin"/>
          </w:r>
          <w:r>
            <w:rPr>
              <w:rFonts w:ascii="Georgia" w:hAnsi="Georgia"/>
            </w:rPr>
            <w:instrText xml:space="preserve"> CITATION PWC231 \l 2057 </w:instrText>
          </w:r>
          <w:r>
            <w:rPr>
              <w:rFonts w:ascii="Georgia" w:hAnsi="Georgia"/>
            </w:rPr>
            <w:fldChar w:fldCharType="separate"/>
          </w:r>
          <w:r w:rsidRPr="00202399">
            <w:rPr>
              <w:rFonts w:ascii="Georgia" w:hAnsi="Georgia"/>
              <w:noProof/>
            </w:rPr>
            <w:t>(PWC, 2023)</w:t>
          </w:r>
          <w:r>
            <w:rPr>
              <w:rFonts w:ascii="Georgia" w:hAnsi="Georgia"/>
            </w:rPr>
            <w:fldChar w:fldCharType="end"/>
          </w:r>
        </w:sdtContent>
      </w:sdt>
      <w:r w:rsidRPr="00304F43">
        <w:rPr>
          <w:rFonts w:ascii="Georgia" w:hAnsi="Georgia"/>
        </w:rPr>
        <w:t xml:space="preserve">. Despite this, Welsh clubs struggle to effectively </w:t>
      </w:r>
      <w:proofErr w:type="spellStart"/>
      <w:r w:rsidRPr="00304F43">
        <w:rPr>
          <w:rFonts w:ascii="Georgia" w:hAnsi="Georgia"/>
        </w:rPr>
        <w:t>monetise</w:t>
      </w:r>
      <w:proofErr w:type="spellEnd"/>
      <w:r w:rsidRPr="00304F43">
        <w:rPr>
          <w:rFonts w:ascii="Georgia" w:hAnsi="Georgia"/>
        </w:rPr>
        <w:t xml:space="preserve"> digital engagement with limited broadcaster partnerships (e.g., S4C) due to the small scale of the domestic media market.</w:t>
      </w:r>
    </w:p>
    <w:p w14:paraId="66C0AB33" w14:textId="77777777" w:rsidR="00D07EE4" w:rsidRPr="00304F43" w:rsidRDefault="00D07EE4" w:rsidP="00D07EE4">
      <w:pPr>
        <w:spacing w:after="160" w:line="278" w:lineRule="auto"/>
        <w:rPr>
          <w:rFonts w:ascii="Georgia" w:hAnsi="Georgia"/>
        </w:rPr>
      </w:pPr>
      <w:r w:rsidRPr="00304F43">
        <w:rPr>
          <w:rFonts w:ascii="Georgia" w:hAnsi="Georgia"/>
        </w:rPr>
        <w:t>Environmental: Increasing sustainability regulations are placing additional cost pressures on clubs, yet proactive environmental strategies can enhance brand image and attract socially conscious stakeholders</w:t>
      </w:r>
      <w:r>
        <w:rPr>
          <w:rFonts w:ascii="Georgia" w:hAnsi="Georgia"/>
        </w:rPr>
        <w:t xml:space="preserve">. </w:t>
      </w:r>
      <w:sdt>
        <w:sdtPr>
          <w:rPr>
            <w:rFonts w:ascii="Georgia" w:hAnsi="Georgia"/>
          </w:rPr>
          <w:id w:val="1118338250"/>
          <w:citation/>
        </w:sdtPr>
        <w:sdtContent>
          <w:r>
            <w:rPr>
              <w:rFonts w:ascii="Georgia" w:hAnsi="Georgia"/>
            </w:rPr>
            <w:fldChar w:fldCharType="begin"/>
          </w:r>
          <w:r>
            <w:rPr>
              <w:rFonts w:ascii="Georgia" w:hAnsi="Georgia"/>
            </w:rPr>
            <w:instrText xml:space="preserve"> CITATION Sam25 \l 2057 </w:instrText>
          </w:r>
          <w:r>
            <w:rPr>
              <w:rFonts w:ascii="Georgia" w:hAnsi="Georgia"/>
            </w:rPr>
            <w:fldChar w:fldCharType="separate"/>
          </w:r>
          <w:r w:rsidRPr="00202399">
            <w:rPr>
              <w:rFonts w:ascii="Georgia" w:hAnsi="Georgia"/>
              <w:noProof/>
            </w:rPr>
            <w:t>(Samuel, et al., 2025)</w:t>
          </w:r>
          <w:r>
            <w:rPr>
              <w:rFonts w:ascii="Georgia" w:hAnsi="Georgia"/>
            </w:rPr>
            <w:fldChar w:fldCharType="end"/>
          </w:r>
        </w:sdtContent>
      </w:sdt>
      <w:r w:rsidRPr="00304F43">
        <w:rPr>
          <w:rFonts w:ascii="Georgia" w:hAnsi="Georgia"/>
        </w:rPr>
        <w:t xml:space="preserve"> </w:t>
      </w:r>
      <w:r>
        <w:rPr>
          <w:rFonts w:ascii="Georgia" w:hAnsi="Georgia"/>
        </w:rPr>
        <w:t xml:space="preserve">show how </w:t>
      </w:r>
      <w:r w:rsidRPr="00304F43">
        <w:rPr>
          <w:rFonts w:ascii="Georgia" w:hAnsi="Georgia"/>
        </w:rPr>
        <w:t>Forest Green Rovers</w:t>
      </w:r>
      <w:r>
        <w:rPr>
          <w:rFonts w:ascii="Georgia" w:hAnsi="Georgia"/>
        </w:rPr>
        <w:t xml:space="preserve"> are an excellent example of this.</w:t>
      </w:r>
    </w:p>
    <w:p w14:paraId="0874ADA1" w14:textId="77777777" w:rsidR="00D07EE4" w:rsidRPr="00304F43" w:rsidRDefault="00D07EE4" w:rsidP="00D07EE4">
      <w:pPr>
        <w:spacing w:after="160" w:line="278" w:lineRule="auto"/>
        <w:rPr>
          <w:rFonts w:ascii="Georgia" w:hAnsi="Georgia"/>
        </w:rPr>
      </w:pPr>
      <w:r w:rsidRPr="00304F43">
        <w:rPr>
          <w:rFonts w:ascii="Georgia" w:hAnsi="Georgia"/>
        </w:rPr>
        <w:t>Legal: Financial regulations such as UEFA financial fair play aim to promote long</w:t>
      </w:r>
      <w:r w:rsidRPr="00304F43">
        <w:rPr>
          <w:rFonts w:ascii="Georgia" w:hAnsi="Georgia"/>
        </w:rPr>
        <w:noBreakHyphen/>
        <w:t xml:space="preserve">term stability. While beneficial in preventing financial mismanagement, they can also restrict aggressive investment strategies, limiting the ability of smaller clubs to rapidly scale </w:t>
      </w:r>
      <w:sdt>
        <w:sdtPr>
          <w:rPr>
            <w:rFonts w:ascii="Georgia" w:hAnsi="Georgia"/>
          </w:rPr>
          <w:id w:val="-1960182771"/>
          <w:citation/>
        </w:sdtPr>
        <w:sdtContent>
          <w:r>
            <w:rPr>
              <w:rFonts w:ascii="Georgia" w:hAnsi="Georgia"/>
            </w:rPr>
            <w:fldChar w:fldCharType="begin"/>
          </w:r>
          <w:r>
            <w:rPr>
              <w:rFonts w:ascii="Georgia" w:hAnsi="Georgia"/>
            </w:rPr>
            <w:instrText xml:space="preserve"> CITATION UEF23 \l 2057 </w:instrText>
          </w:r>
          <w:r>
            <w:rPr>
              <w:rFonts w:ascii="Georgia" w:hAnsi="Georgia"/>
            </w:rPr>
            <w:fldChar w:fldCharType="separate"/>
          </w:r>
          <w:r w:rsidRPr="00202399">
            <w:rPr>
              <w:rFonts w:ascii="Georgia" w:hAnsi="Georgia"/>
              <w:noProof/>
            </w:rPr>
            <w:t>(UEFA, 2023)</w:t>
          </w:r>
          <w:r>
            <w:rPr>
              <w:rFonts w:ascii="Georgia" w:hAnsi="Georgia"/>
            </w:rPr>
            <w:fldChar w:fldCharType="end"/>
          </w:r>
        </w:sdtContent>
      </w:sdt>
    </w:p>
    <w:p w14:paraId="7F35B4C1" w14:textId="77777777" w:rsidR="00D07EE4" w:rsidRPr="00304F43" w:rsidRDefault="00D07EE4" w:rsidP="00D07EE4">
      <w:pPr>
        <w:spacing w:after="160" w:line="278" w:lineRule="auto"/>
        <w:rPr>
          <w:rFonts w:ascii="Georgia" w:hAnsi="Georgia"/>
        </w:rPr>
      </w:pPr>
      <w:r w:rsidRPr="00304F43">
        <w:rPr>
          <w:rFonts w:ascii="Georgia" w:hAnsi="Georgia"/>
        </w:rPr>
        <w:t>Porter’s Five Forces</w:t>
      </w:r>
    </w:p>
    <w:p w14:paraId="4A6443F4" w14:textId="77777777" w:rsidR="00D07EE4" w:rsidRPr="00304F43" w:rsidRDefault="00D07EE4" w:rsidP="00D07EE4">
      <w:pPr>
        <w:spacing w:after="160" w:line="278" w:lineRule="auto"/>
        <w:rPr>
          <w:rFonts w:ascii="Georgia" w:hAnsi="Georgia"/>
        </w:rPr>
      </w:pPr>
      <w:r w:rsidRPr="00304F43">
        <w:rPr>
          <w:rFonts w:ascii="Georgia" w:hAnsi="Georgia"/>
        </w:rPr>
        <w:lastRenderedPageBreak/>
        <w:t xml:space="preserve">Porter’s Five Forces model </w:t>
      </w:r>
      <w:sdt>
        <w:sdtPr>
          <w:rPr>
            <w:rFonts w:ascii="Georgia" w:hAnsi="Georgia"/>
          </w:rPr>
          <w:id w:val="-737325065"/>
          <w:citation/>
        </w:sdtPr>
        <w:sdtContent>
          <w:r>
            <w:rPr>
              <w:rFonts w:ascii="Georgia" w:hAnsi="Georgia"/>
            </w:rPr>
            <w:fldChar w:fldCharType="begin"/>
          </w:r>
          <w:r>
            <w:rPr>
              <w:rFonts w:ascii="Georgia" w:hAnsi="Georgia"/>
            </w:rPr>
            <w:instrText xml:space="preserve"> CITATION Por081 \l 2057 </w:instrText>
          </w:r>
          <w:r>
            <w:rPr>
              <w:rFonts w:ascii="Georgia" w:hAnsi="Georgia"/>
            </w:rPr>
            <w:fldChar w:fldCharType="separate"/>
          </w:r>
          <w:r w:rsidRPr="00202399">
            <w:rPr>
              <w:rFonts w:ascii="Georgia" w:hAnsi="Georgia"/>
              <w:noProof/>
            </w:rPr>
            <w:t>(Porter, 2008)</w:t>
          </w:r>
          <w:r>
            <w:rPr>
              <w:rFonts w:ascii="Georgia" w:hAnsi="Georgia"/>
            </w:rPr>
            <w:fldChar w:fldCharType="end"/>
          </w:r>
        </w:sdtContent>
      </w:sdt>
      <w:r w:rsidRPr="00304F43">
        <w:rPr>
          <w:rFonts w:ascii="Georgia" w:hAnsi="Georgia"/>
        </w:rPr>
        <w:t>) provides insight into industry structure but has limitations in the semi</w:t>
      </w:r>
      <w:r w:rsidRPr="00304F43">
        <w:rPr>
          <w:rFonts w:ascii="Georgia" w:hAnsi="Georgia"/>
        </w:rPr>
        <w:noBreakHyphen/>
        <w:t>professional football context where profit maximisation is not always the primary objective, as noted in strategic management research</w:t>
      </w:r>
      <w:r>
        <w:rPr>
          <w:rFonts w:ascii="Georgia" w:hAnsi="Georgia"/>
        </w:rPr>
        <w:t>.</w:t>
      </w:r>
    </w:p>
    <w:p w14:paraId="038FBA97" w14:textId="77777777" w:rsidR="00D07EE4" w:rsidRPr="00304F43" w:rsidRDefault="00D07EE4" w:rsidP="00D07EE4">
      <w:pPr>
        <w:spacing w:after="160" w:line="278" w:lineRule="auto"/>
        <w:rPr>
          <w:rFonts w:ascii="Georgia" w:hAnsi="Georgia"/>
        </w:rPr>
      </w:pPr>
      <w:r w:rsidRPr="00304F43">
        <w:rPr>
          <w:rFonts w:ascii="Georgia" w:hAnsi="Georgia"/>
        </w:rPr>
        <w:t>Rivalry: Competitive rivalry is relatively high in sporting terms, yet limited revenues often reduce the commercial intensity typically associated with high rivalry industries.</w:t>
      </w:r>
    </w:p>
    <w:p w14:paraId="3BF5E941" w14:textId="77777777" w:rsidR="00D07EE4" w:rsidRPr="00304F43" w:rsidRDefault="00D07EE4" w:rsidP="00D07EE4">
      <w:pPr>
        <w:spacing w:after="160" w:line="278" w:lineRule="auto"/>
        <w:rPr>
          <w:rFonts w:ascii="Georgia" w:hAnsi="Georgia"/>
        </w:rPr>
      </w:pPr>
      <w:r w:rsidRPr="00304F43">
        <w:rPr>
          <w:rFonts w:ascii="Georgia" w:hAnsi="Georgia"/>
        </w:rPr>
        <w:t>Suppliers (Players): Players hold significant bargaining power due to high mobility and short career spans, with talent frequently moving to more lucrative leagues — a trend verified in competitive labor mobility analyses across European football (</w:t>
      </w:r>
      <w:sdt>
        <w:sdtPr>
          <w:rPr>
            <w:rFonts w:ascii="Georgia" w:hAnsi="Georgia"/>
          </w:rPr>
          <w:id w:val="1143467347"/>
          <w:citation/>
        </w:sdtPr>
        <w:sdtContent>
          <w:r>
            <w:rPr>
              <w:rFonts w:ascii="Georgia" w:hAnsi="Georgia"/>
            </w:rPr>
            <w:fldChar w:fldCharType="begin"/>
          </w:r>
          <w:r>
            <w:rPr>
              <w:rFonts w:ascii="Georgia" w:hAnsi="Georgia"/>
            </w:rPr>
            <w:instrText xml:space="preserve"> CITATION err23 \l 2057 </w:instrText>
          </w:r>
          <w:r>
            <w:rPr>
              <w:rFonts w:ascii="Georgia" w:hAnsi="Georgia"/>
            </w:rPr>
            <w:fldChar w:fldCharType="separate"/>
          </w:r>
          <w:r>
            <w:rPr>
              <w:rFonts w:ascii="Georgia" w:hAnsi="Georgia"/>
              <w:noProof/>
            </w:rPr>
            <w:t xml:space="preserve"> </w:t>
          </w:r>
          <w:r w:rsidRPr="00202399">
            <w:rPr>
              <w:rFonts w:ascii="Georgia" w:hAnsi="Georgia"/>
              <w:noProof/>
            </w:rPr>
            <w:t>(Serrano, 2023)</w:t>
          </w:r>
          <w:r>
            <w:rPr>
              <w:rFonts w:ascii="Georgia" w:hAnsi="Georgia"/>
            </w:rPr>
            <w:fldChar w:fldCharType="end"/>
          </w:r>
        </w:sdtContent>
      </w:sdt>
      <w:r w:rsidRPr="00304F43">
        <w:rPr>
          <w:rFonts w:ascii="Georgia" w:hAnsi="Georgia"/>
        </w:rPr>
        <w:t>.</w:t>
      </w:r>
    </w:p>
    <w:p w14:paraId="64023781" w14:textId="77777777" w:rsidR="00D07EE4" w:rsidRPr="00304F43" w:rsidRDefault="00D07EE4" w:rsidP="00D07EE4">
      <w:pPr>
        <w:spacing w:after="160" w:line="278" w:lineRule="auto"/>
        <w:rPr>
          <w:rFonts w:ascii="Georgia" w:hAnsi="Georgia"/>
        </w:rPr>
      </w:pPr>
      <w:r w:rsidRPr="00304F43">
        <w:rPr>
          <w:rFonts w:ascii="Georgia" w:hAnsi="Georgia"/>
        </w:rPr>
        <w:t xml:space="preserve">Buyers (Fans): Fan power is extremely high. Supporters can easily switch attention to alternative products, particularly English leagues, increasing pressure on Welsh clubs to deliver both entertainment and value — a dynamic also documented in broader football industry studies </w:t>
      </w:r>
      <w:sdt>
        <w:sdtPr>
          <w:rPr>
            <w:rFonts w:ascii="Georgia" w:hAnsi="Georgia"/>
          </w:rPr>
          <w:id w:val="942578568"/>
          <w:citation/>
        </w:sdtPr>
        <w:sdtContent>
          <w:r>
            <w:rPr>
              <w:rFonts w:ascii="Georgia" w:hAnsi="Georgia"/>
            </w:rPr>
            <w:fldChar w:fldCharType="begin"/>
          </w:r>
          <w:r>
            <w:rPr>
              <w:rFonts w:ascii="Georgia" w:hAnsi="Georgia"/>
            </w:rPr>
            <w:instrText xml:space="preserve"> CITATION Mor03 \l 2057 </w:instrText>
          </w:r>
          <w:r>
            <w:rPr>
              <w:rFonts w:ascii="Georgia" w:hAnsi="Georgia"/>
            </w:rPr>
            <w:fldChar w:fldCharType="separate"/>
          </w:r>
          <w:r w:rsidRPr="00202399">
            <w:rPr>
              <w:rFonts w:ascii="Georgia" w:hAnsi="Georgia"/>
              <w:noProof/>
            </w:rPr>
            <w:t>(Morrow, 2003)</w:t>
          </w:r>
          <w:r>
            <w:rPr>
              <w:rFonts w:ascii="Georgia" w:hAnsi="Georgia"/>
            </w:rPr>
            <w:fldChar w:fldCharType="end"/>
          </w:r>
        </w:sdtContent>
      </w:sdt>
      <w:r w:rsidRPr="00304F43">
        <w:rPr>
          <w:rFonts w:ascii="Georgia" w:hAnsi="Georgia"/>
        </w:rPr>
        <w:t>.</w:t>
      </w:r>
    </w:p>
    <w:p w14:paraId="44184859" w14:textId="77777777" w:rsidR="00D07EE4" w:rsidRPr="00304F43" w:rsidRDefault="00D07EE4" w:rsidP="00D07EE4">
      <w:pPr>
        <w:spacing w:after="160" w:line="278" w:lineRule="auto"/>
        <w:rPr>
          <w:rFonts w:ascii="Georgia" w:hAnsi="Georgia"/>
        </w:rPr>
      </w:pPr>
      <w:r w:rsidRPr="00304F43">
        <w:rPr>
          <w:rFonts w:ascii="Georgia" w:hAnsi="Georgia"/>
        </w:rPr>
        <w:t xml:space="preserve">Threat of Substitutes: This is critically high, with English football acting as a dominant substitute. The global visibility and resources of leagues like the Premier League significantly reduce demand for domestic competition </w:t>
      </w:r>
      <w:sdt>
        <w:sdtPr>
          <w:rPr>
            <w:rFonts w:ascii="Georgia" w:hAnsi="Georgia"/>
          </w:rPr>
          <w:id w:val="315222583"/>
          <w:citation/>
        </w:sdtPr>
        <w:sdtContent>
          <w:r>
            <w:rPr>
              <w:rFonts w:ascii="Georgia" w:hAnsi="Georgia"/>
            </w:rPr>
            <w:fldChar w:fldCharType="begin"/>
          </w:r>
          <w:r>
            <w:rPr>
              <w:rFonts w:ascii="Georgia" w:hAnsi="Georgia"/>
            </w:rPr>
            <w:instrText xml:space="preserve"> CITATION Del25 \l 2057 </w:instrText>
          </w:r>
          <w:r>
            <w:rPr>
              <w:rFonts w:ascii="Georgia" w:hAnsi="Georgia"/>
            </w:rPr>
            <w:fldChar w:fldCharType="separate"/>
          </w:r>
          <w:r w:rsidRPr="00202399">
            <w:rPr>
              <w:rFonts w:ascii="Georgia" w:hAnsi="Georgia"/>
              <w:noProof/>
            </w:rPr>
            <w:t>(Deloitte, 2025)</w:t>
          </w:r>
          <w:r>
            <w:rPr>
              <w:rFonts w:ascii="Georgia" w:hAnsi="Georgia"/>
            </w:rPr>
            <w:fldChar w:fldCharType="end"/>
          </w:r>
        </w:sdtContent>
      </w:sdt>
    </w:p>
    <w:p w14:paraId="729C5B2A" w14:textId="77777777" w:rsidR="00D07EE4" w:rsidRPr="00304F43" w:rsidRDefault="00D07EE4" w:rsidP="00D07EE4">
      <w:pPr>
        <w:spacing w:after="160" w:line="278" w:lineRule="auto"/>
        <w:rPr>
          <w:rFonts w:ascii="Georgia" w:hAnsi="Georgia"/>
        </w:rPr>
      </w:pPr>
      <w:r w:rsidRPr="00304F43">
        <w:rPr>
          <w:rFonts w:ascii="Georgia" w:hAnsi="Georgia"/>
        </w:rPr>
        <w:t>New Entrants: Entry barriers remain theoretically low but are practically restricted by regulatory requirements and financial constraints.</w:t>
      </w:r>
    </w:p>
    <w:p w14:paraId="73625C7B" w14:textId="77777777" w:rsidR="00D07EE4" w:rsidRPr="00304F43" w:rsidRDefault="00D07EE4" w:rsidP="00D07EE4">
      <w:pPr>
        <w:spacing w:after="160" w:line="278" w:lineRule="auto"/>
        <w:rPr>
          <w:rFonts w:ascii="Georgia" w:hAnsi="Georgia"/>
        </w:rPr>
      </w:pPr>
      <w:r w:rsidRPr="00304F43">
        <w:rPr>
          <w:rFonts w:ascii="Georgia" w:hAnsi="Georgia"/>
        </w:rPr>
        <w:t>Overall, Porter’s model underestimates the emotional, cultural, and community driven nature of football consumption, meaning that economic interpretations alone provide only a partial explanation of industry dynamics</w:t>
      </w:r>
    </w:p>
    <w:p w14:paraId="1F82CF33" w14:textId="77777777" w:rsidR="00D07EE4" w:rsidRPr="00304F43" w:rsidRDefault="00D07EE4" w:rsidP="00D07EE4">
      <w:pPr>
        <w:spacing w:after="160" w:line="278" w:lineRule="auto"/>
        <w:rPr>
          <w:rFonts w:ascii="Georgia" w:hAnsi="Georgia"/>
        </w:rPr>
      </w:pPr>
      <w:r w:rsidRPr="00304F43">
        <w:rPr>
          <w:rFonts w:ascii="Georgia" w:hAnsi="Georgia"/>
        </w:rPr>
        <w:t>Key Economic Trends</w:t>
      </w:r>
    </w:p>
    <w:p w14:paraId="78539C62" w14:textId="77777777" w:rsidR="00D07EE4" w:rsidRPr="00304F43" w:rsidRDefault="00D07EE4" w:rsidP="00D07EE4">
      <w:pPr>
        <w:spacing w:after="160" w:line="278" w:lineRule="auto"/>
        <w:rPr>
          <w:rFonts w:ascii="Georgia" w:hAnsi="Georgia"/>
        </w:rPr>
      </w:pPr>
      <w:r w:rsidRPr="00304F43">
        <w:rPr>
          <w:rFonts w:ascii="Georgia" w:hAnsi="Georgia"/>
        </w:rPr>
        <w:t>Growing financial polarisation in football</w:t>
      </w:r>
    </w:p>
    <w:p w14:paraId="3AA35908" w14:textId="77777777" w:rsidR="00D07EE4" w:rsidRPr="00304F43" w:rsidRDefault="00D07EE4" w:rsidP="00D07EE4">
      <w:pPr>
        <w:spacing w:after="160" w:line="278" w:lineRule="auto"/>
        <w:rPr>
          <w:rFonts w:ascii="Georgia" w:hAnsi="Georgia"/>
        </w:rPr>
      </w:pPr>
      <w:r w:rsidRPr="00304F43">
        <w:rPr>
          <w:rFonts w:ascii="Georgia" w:hAnsi="Georgia"/>
        </w:rPr>
        <w:t>One of the most significant economic trends shaping Welsh football is the increasing financial polarisation across the global game. Elite leagues, particularly the Premier League, generate substantially higher revenues through broadcasting rights, sponsorships, and global fanbases</w:t>
      </w:r>
      <w:proofErr w:type="gramStart"/>
      <w:r w:rsidRPr="00304F43">
        <w:rPr>
          <w:rFonts w:ascii="Georgia" w:hAnsi="Georgia"/>
        </w:rPr>
        <w:t>, dwarfing</w:t>
      </w:r>
      <w:proofErr w:type="gramEnd"/>
      <w:r w:rsidRPr="00304F43">
        <w:rPr>
          <w:rFonts w:ascii="Georgia" w:hAnsi="Georgia"/>
        </w:rPr>
        <w:t xml:space="preserve"> income streams available in smaller leagues. As a result, Welsh clubs face structural disadvantages in attracting talent, investment, and commercial partnerships. This reinforces competitive imbalance and reduces opportunities for financial progress.</w:t>
      </w:r>
    </w:p>
    <w:p w14:paraId="279B6472" w14:textId="77777777" w:rsidR="00D07EE4" w:rsidRPr="00304F43" w:rsidRDefault="00D07EE4" w:rsidP="00D07EE4">
      <w:pPr>
        <w:spacing w:after="160" w:line="278" w:lineRule="auto"/>
        <w:rPr>
          <w:rFonts w:ascii="Georgia" w:hAnsi="Georgia"/>
        </w:rPr>
      </w:pPr>
      <w:r w:rsidRPr="00304F43">
        <w:rPr>
          <w:rFonts w:ascii="Georgia" w:hAnsi="Georgia"/>
        </w:rPr>
        <w:t>Increased reliance on UEFA distributions</w:t>
      </w:r>
    </w:p>
    <w:p w14:paraId="0F692968" w14:textId="77777777" w:rsidR="00D07EE4" w:rsidRPr="00304F43" w:rsidRDefault="00D07EE4" w:rsidP="00D07EE4">
      <w:pPr>
        <w:spacing w:after="160" w:line="278" w:lineRule="auto"/>
        <w:rPr>
          <w:rFonts w:ascii="Georgia" w:hAnsi="Georgia"/>
        </w:rPr>
      </w:pPr>
      <w:r w:rsidRPr="00304F43">
        <w:rPr>
          <w:rFonts w:ascii="Georgia" w:hAnsi="Georgia"/>
        </w:rPr>
        <w:t xml:space="preserve">Due to limited domestic revenue streams, Welsh clubs have become increasingly dependent on financial distributions from UEFA. Income from competitions such as the Champions League and Europa Conference League represents a crucial source of funding, but this reliance introduces financial instability due to uncertain annual qualification </w:t>
      </w:r>
      <w:sdt>
        <w:sdtPr>
          <w:rPr>
            <w:rFonts w:ascii="Georgia" w:hAnsi="Georgia"/>
          </w:rPr>
          <w:id w:val="2067135966"/>
          <w:citation/>
        </w:sdtPr>
        <w:sdtContent>
          <w:r>
            <w:rPr>
              <w:rFonts w:ascii="Georgia" w:hAnsi="Georgia"/>
            </w:rPr>
            <w:fldChar w:fldCharType="begin"/>
          </w:r>
          <w:r>
            <w:rPr>
              <w:rFonts w:ascii="Georgia" w:hAnsi="Georgia"/>
            </w:rPr>
            <w:instrText xml:space="preserve"> CITATION UEF26 \l 2057 </w:instrText>
          </w:r>
          <w:r>
            <w:rPr>
              <w:rFonts w:ascii="Georgia" w:hAnsi="Georgia"/>
            </w:rPr>
            <w:fldChar w:fldCharType="separate"/>
          </w:r>
          <w:r w:rsidRPr="00202399">
            <w:rPr>
              <w:rFonts w:ascii="Georgia" w:hAnsi="Georgia"/>
              <w:noProof/>
            </w:rPr>
            <w:t>(UEFA, 2026)</w:t>
          </w:r>
          <w:r>
            <w:rPr>
              <w:rFonts w:ascii="Georgia" w:hAnsi="Georgia"/>
            </w:rPr>
            <w:fldChar w:fldCharType="end"/>
          </w:r>
        </w:sdtContent>
      </w:sdt>
    </w:p>
    <w:p w14:paraId="506632E7" w14:textId="77777777" w:rsidR="00D07EE4" w:rsidRPr="00304F43" w:rsidRDefault="00D07EE4" w:rsidP="00D07EE4">
      <w:pPr>
        <w:spacing w:after="160" w:line="278" w:lineRule="auto"/>
        <w:rPr>
          <w:rFonts w:ascii="Georgia" w:hAnsi="Georgia"/>
        </w:rPr>
      </w:pPr>
      <w:r w:rsidRPr="00304F43">
        <w:rPr>
          <w:rFonts w:ascii="Georgia" w:hAnsi="Georgia"/>
        </w:rPr>
        <w:t>Digital transformation of sports consumption</w:t>
      </w:r>
    </w:p>
    <w:p w14:paraId="7BBBA3A0" w14:textId="77777777" w:rsidR="00D07EE4" w:rsidRPr="00304F43" w:rsidRDefault="00D07EE4" w:rsidP="00D07EE4">
      <w:pPr>
        <w:spacing w:after="160" w:line="278" w:lineRule="auto"/>
        <w:rPr>
          <w:rFonts w:ascii="Georgia" w:hAnsi="Georgia"/>
        </w:rPr>
      </w:pPr>
      <w:r w:rsidRPr="00304F43">
        <w:rPr>
          <w:rFonts w:ascii="Georgia" w:hAnsi="Georgia"/>
        </w:rPr>
        <w:t xml:space="preserve">The rapid growth of digital platforms has transformed how fans consume football. Streaming services, social media, </w:t>
      </w:r>
      <w:proofErr w:type="gramStart"/>
      <w:r w:rsidRPr="00304F43">
        <w:rPr>
          <w:rFonts w:ascii="Georgia" w:hAnsi="Georgia"/>
        </w:rPr>
        <w:t>and on</w:t>
      </w:r>
      <w:r w:rsidRPr="00304F43">
        <w:rPr>
          <w:rFonts w:ascii="Georgia" w:hAnsi="Georgia"/>
        </w:rPr>
        <w:noBreakHyphen/>
        <w:t>demand</w:t>
      </w:r>
      <w:proofErr w:type="gramEnd"/>
      <w:r w:rsidRPr="00304F43">
        <w:rPr>
          <w:rFonts w:ascii="Georgia" w:hAnsi="Georgia"/>
        </w:rPr>
        <w:t xml:space="preserve"> content have made global football more accessible than </w:t>
      </w:r>
      <w:proofErr w:type="gramStart"/>
      <w:r w:rsidRPr="00304F43">
        <w:rPr>
          <w:rFonts w:ascii="Georgia" w:hAnsi="Georgia"/>
        </w:rPr>
        <w:t>ever, but</w:t>
      </w:r>
      <w:proofErr w:type="gramEnd"/>
      <w:r w:rsidRPr="00304F43">
        <w:rPr>
          <w:rFonts w:ascii="Georgia" w:hAnsi="Georgia"/>
        </w:rPr>
        <w:t xml:space="preserve"> also intensify competition for attention. Welsh clubs often lack the scale and commercial expertise to convert online engagement into meaningful revenue </w:t>
      </w:r>
      <w:sdt>
        <w:sdtPr>
          <w:rPr>
            <w:rFonts w:ascii="Georgia" w:hAnsi="Georgia"/>
          </w:rPr>
          <w:id w:val="1655870143"/>
          <w:citation/>
        </w:sdtPr>
        <w:sdtContent>
          <w:r>
            <w:rPr>
              <w:rFonts w:ascii="Georgia" w:hAnsi="Georgia"/>
            </w:rPr>
            <w:fldChar w:fldCharType="begin"/>
          </w:r>
          <w:r>
            <w:rPr>
              <w:rFonts w:ascii="Georgia" w:hAnsi="Georgia"/>
            </w:rPr>
            <w:instrText xml:space="preserve"> CITATION PWC231 \l 2057 </w:instrText>
          </w:r>
          <w:r>
            <w:rPr>
              <w:rFonts w:ascii="Georgia" w:hAnsi="Georgia"/>
            </w:rPr>
            <w:fldChar w:fldCharType="separate"/>
          </w:r>
          <w:r w:rsidRPr="00202399">
            <w:rPr>
              <w:rFonts w:ascii="Georgia" w:hAnsi="Georgia"/>
              <w:noProof/>
            </w:rPr>
            <w:t>(PWC, 2023)</w:t>
          </w:r>
          <w:r>
            <w:rPr>
              <w:rFonts w:ascii="Georgia" w:hAnsi="Georgia"/>
            </w:rPr>
            <w:fldChar w:fldCharType="end"/>
          </w:r>
        </w:sdtContent>
      </w:sdt>
    </w:p>
    <w:p w14:paraId="68813DEA" w14:textId="77777777" w:rsidR="00D07EE4" w:rsidRPr="00304F43" w:rsidRDefault="00D07EE4" w:rsidP="00D07EE4">
      <w:pPr>
        <w:spacing w:after="160" w:line="278" w:lineRule="auto"/>
        <w:rPr>
          <w:rFonts w:ascii="Georgia" w:hAnsi="Georgia"/>
        </w:rPr>
      </w:pPr>
      <w:r w:rsidRPr="00304F43">
        <w:rPr>
          <w:rFonts w:ascii="Georgia" w:hAnsi="Georgia"/>
        </w:rPr>
        <w:t>Internal Analysis</w:t>
      </w:r>
    </w:p>
    <w:p w14:paraId="41311F89" w14:textId="77777777" w:rsidR="00D07EE4" w:rsidRPr="00304F43" w:rsidRDefault="00D07EE4" w:rsidP="00D07EE4">
      <w:pPr>
        <w:spacing w:after="160" w:line="278" w:lineRule="auto"/>
        <w:rPr>
          <w:rFonts w:ascii="Georgia" w:hAnsi="Georgia"/>
        </w:rPr>
      </w:pPr>
      <w:r w:rsidRPr="00304F43">
        <w:rPr>
          <w:rFonts w:ascii="Georgia" w:hAnsi="Georgia"/>
        </w:rPr>
        <w:t>Resource Based View (RBV)</w:t>
      </w:r>
    </w:p>
    <w:p w14:paraId="1493A955" w14:textId="77777777" w:rsidR="00D07EE4" w:rsidRPr="00304F43" w:rsidRDefault="00D07EE4" w:rsidP="00D07EE4">
      <w:pPr>
        <w:spacing w:after="160" w:line="278" w:lineRule="auto"/>
        <w:rPr>
          <w:rFonts w:ascii="Georgia" w:hAnsi="Georgia"/>
        </w:rPr>
      </w:pPr>
      <w:r w:rsidRPr="00304F43">
        <w:rPr>
          <w:rFonts w:ascii="Georgia" w:hAnsi="Georgia"/>
        </w:rPr>
        <w:lastRenderedPageBreak/>
        <w:t>The Resource Based View (RBV) suggests that competitive advantage stems from valuable, rare, inimitable and non</w:t>
      </w:r>
      <w:r w:rsidRPr="00304F43">
        <w:rPr>
          <w:rFonts w:ascii="Georgia" w:hAnsi="Georgia"/>
        </w:rPr>
        <w:noBreakHyphen/>
        <w:t xml:space="preserve">substitutable resources </w:t>
      </w:r>
      <w:sdt>
        <w:sdtPr>
          <w:rPr>
            <w:rFonts w:ascii="Georgia" w:hAnsi="Georgia"/>
          </w:rPr>
          <w:id w:val="952912355"/>
          <w:citation/>
        </w:sdtPr>
        <w:sdtContent>
          <w:r>
            <w:rPr>
              <w:rFonts w:ascii="Georgia" w:hAnsi="Georgia"/>
            </w:rPr>
            <w:fldChar w:fldCharType="begin"/>
          </w:r>
          <w:r>
            <w:rPr>
              <w:rFonts w:ascii="Georgia" w:hAnsi="Georgia"/>
            </w:rPr>
            <w:instrText xml:space="preserve"> CITATION Bar911 \l 2057 </w:instrText>
          </w:r>
          <w:r>
            <w:rPr>
              <w:rFonts w:ascii="Georgia" w:hAnsi="Georgia"/>
            </w:rPr>
            <w:fldChar w:fldCharType="separate"/>
          </w:r>
          <w:r w:rsidRPr="00202399">
            <w:rPr>
              <w:rFonts w:ascii="Georgia" w:hAnsi="Georgia"/>
              <w:noProof/>
            </w:rPr>
            <w:t>(Barney, 1991)</w:t>
          </w:r>
          <w:r>
            <w:rPr>
              <w:rFonts w:ascii="Georgia" w:hAnsi="Georgia"/>
            </w:rPr>
            <w:fldChar w:fldCharType="end"/>
          </w:r>
        </w:sdtContent>
      </w:sdt>
      <w:sdt>
        <w:sdtPr>
          <w:rPr>
            <w:rFonts w:ascii="Georgia" w:hAnsi="Georgia"/>
          </w:rPr>
          <w:id w:val="-1287966008"/>
          <w:citation/>
        </w:sdtPr>
        <w:sdtContent>
          <w:r>
            <w:rPr>
              <w:rFonts w:ascii="Georgia" w:hAnsi="Georgia"/>
            </w:rPr>
            <w:fldChar w:fldCharType="begin"/>
          </w:r>
          <w:r>
            <w:rPr>
              <w:rFonts w:ascii="Georgia" w:hAnsi="Georgia"/>
            </w:rPr>
            <w:instrText xml:space="preserve"> CITATION Gra91 \l 2057 </w:instrText>
          </w:r>
          <w:r>
            <w:rPr>
              <w:rFonts w:ascii="Georgia" w:hAnsi="Georgia"/>
            </w:rPr>
            <w:fldChar w:fldCharType="separate"/>
          </w:r>
          <w:r>
            <w:rPr>
              <w:rFonts w:ascii="Georgia" w:hAnsi="Georgia"/>
              <w:noProof/>
            </w:rPr>
            <w:t xml:space="preserve"> </w:t>
          </w:r>
          <w:r w:rsidRPr="00202399">
            <w:rPr>
              <w:rFonts w:ascii="Georgia" w:hAnsi="Georgia"/>
              <w:noProof/>
            </w:rPr>
            <w:t>(Grant, 1991)</w:t>
          </w:r>
          <w:r>
            <w:rPr>
              <w:rFonts w:ascii="Georgia" w:hAnsi="Georgia"/>
            </w:rPr>
            <w:fldChar w:fldCharType="end"/>
          </w:r>
        </w:sdtContent>
      </w:sdt>
      <w:r w:rsidRPr="00304F43">
        <w:rPr>
          <w:rFonts w:ascii="Georgia" w:hAnsi="Georgia"/>
        </w:rPr>
        <w:t>. However, its applicability within Welsh Football is limited by structural resource constraints, particularly financial capital.</w:t>
      </w:r>
    </w:p>
    <w:p w14:paraId="7FD3DE31" w14:textId="77777777" w:rsidR="00D07EE4" w:rsidRPr="00304F43" w:rsidRDefault="00D07EE4" w:rsidP="00D07EE4">
      <w:pPr>
        <w:spacing w:after="160" w:line="278" w:lineRule="auto"/>
        <w:rPr>
          <w:rFonts w:ascii="Georgia" w:hAnsi="Georgia"/>
        </w:rPr>
      </w:pPr>
      <w:r w:rsidRPr="00304F43">
        <w:rPr>
          <w:rFonts w:ascii="Georgia" w:hAnsi="Georgia"/>
        </w:rPr>
        <w:t>Welsh clubs lack the financial resources required to consistently compete at higher levels, restricting their ability to acquire and retain key assets. Despite this, they have important intangible resources. Youth development systems remain a key strength, producing talented players who can progress to higher leagues.</w:t>
      </w:r>
    </w:p>
    <w:p w14:paraId="7E000677" w14:textId="77777777" w:rsidR="00D07EE4" w:rsidRDefault="00D07EE4" w:rsidP="00D07EE4">
      <w:pPr>
        <w:rPr>
          <w:rFonts w:ascii="Georgia" w:hAnsi="Georgia"/>
        </w:rPr>
      </w:pPr>
      <w:r w:rsidRPr="00304F43">
        <w:rPr>
          <w:rFonts w:ascii="Georgia" w:hAnsi="Georgia"/>
        </w:rPr>
        <w:t>Access to UEFA competitions provides financial rewards and visibility. However, inconsistent qualification reduces its reliability as a sustained advantage (</w:t>
      </w:r>
      <w:sdt>
        <w:sdtPr>
          <w:rPr>
            <w:rFonts w:ascii="Georgia" w:hAnsi="Georgia"/>
          </w:rPr>
          <w:id w:val="-547992456"/>
          <w:citation/>
        </w:sdtPr>
        <w:sdtContent>
          <w:r>
            <w:rPr>
              <w:rFonts w:ascii="Georgia" w:hAnsi="Georgia"/>
            </w:rPr>
            <w:fldChar w:fldCharType="begin"/>
          </w:r>
          <w:r>
            <w:rPr>
              <w:rFonts w:ascii="Georgia" w:hAnsi="Georgia"/>
            </w:rPr>
            <w:instrText xml:space="preserve"> CITATION UEF26 \l 2057 </w:instrText>
          </w:r>
          <w:r>
            <w:rPr>
              <w:rFonts w:ascii="Georgia" w:hAnsi="Georgia"/>
            </w:rPr>
            <w:fldChar w:fldCharType="separate"/>
          </w:r>
          <w:r>
            <w:rPr>
              <w:rFonts w:ascii="Georgia" w:hAnsi="Georgia"/>
              <w:noProof/>
            </w:rPr>
            <w:t xml:space="preserve"> </w:t>
          </w:r>
          <w:r w:rsidRPr="00202399">
            <w:rPr>
              <w:rFonts w:ascii="Georgia" w:hAnsi="Georgia"/>
              <w:noProof/>
            </w:rPr>
            <w:t>(UEFA, 2026)</w:t>
          </w:r>
          <w:r>
            <w:rPr>
              <w:rFonts w:ascii="Georgia" w:hAnsi="Georgia"/>
            </w:rPr>
            <w:fldChar w:fldCharType="end"/>
          </w:r>
        </w:sdtContent>
      </w:sdt>
    </w:p>
    <w:p w14:paraId="62050F6B" w14:textId="77777777" w:rsidR="00D07EE4" w:rsidRPr="00304F43" w:rsidRDefault="00D07EE4" w:rsidP="00D07EE4">
      <w:pPr>
        <w:spacing w:after="160" w:line="278" w:lineRule="auto"/>
        <w:rPr>
          <w:rFonts w:ascii="Georgia" w:hAnsi="Georgia"/>
        </w:rPr>
      </w:pPr>
      <w:r w:rsidRPr="00304F43">
        <w:rPr>
          <w:rFonts w:ascii="Georgia" w:hAnsi="Georgia"/>
        </w:rPr>
        <w:t>National identity is another significant resource, creating strong community ties and differentiation aligning with RBV’s inimitability criteria, yet remaining underutilised commercially.</w:t>
      </w:r>
    </w:p>
    <w:p w14:paraId="772D7660" w14:textId="77777777" w:rsidR="00D07EE4" w:rsidRPr="00304F43" w:rsidRDefault="00D07EE4" w:rsidP="00D07EE4">
      <w:pPr>
        <w:spacing w:after="160" w:line="278" w:lineRule="auto"/>
        <w:rPr>
          <w:rFonts w:ascii="Georgia" w:hAnsi="Georgia"/>
        </w:rPr>
      </w:pPr>
      <w:r w:rsidRPr="00304F43">
        <w:rPr>
          <w:rFonts w:ascii="Georgia" w:hAnsi="Georgia"/>
        </w:rPr>
        <w:t xml:space="preserve">Overall, Welsh football possesses strategically relevant resources, but their limited monetisation reduces their overall impact, highlighting a key limitation of RBV </w:t>
      </w:r>
    </w:p>
    <w:p w14:paraId="26234068" w14:textId="77777777" w:rsidR="00D07EE4" w:rsidRPr="00304F43" w:rsidRDefault="00D07EE4" w:rsidP="00D07EE4">
      <w:pPr>
        <w:spacing w:after="160" w:line="278" w:lineRule="auto"/>
        <w:rPr>
          <w:rFonts w:ascii="Georgia" w:hAnsi="Georgia"/>
        </w:rPr>
      </w:pPr>
      <w:r w:rsidRPr="00304F43">
        <w:rPr>
          <w:rFonts w:ascii="Georgia" w:hAnsi="Georgia"/>
        </w:rPr>
        <w:t>Value Chain Analysis</w:t>
      </w:r>
    </w:p>
    <w:p w14:paraId="316A8F41" w14:textId="77777777" w:rsidR="00D07EE4" w:rsidRPr="00304F43" w:rsidRDefault="00D07EE4" w:rsidP="00D07EE4">
      <w:pPr>
        <w:spacing w:after="160" w:line="278" w:lineRule="auto"/>
        <w:rPr>
          <w:rFonts w:ascii="Georgia" w:hAnsi="Georgia"/>
        </w:rPr>
      </w:pPr>
      <w:r w:rsidRPr="00304F43">
        <w:rPr>
          <w:rFonts w:ascii="Georgia" w:hAnsi="Georgia"/>
        </w:rPr>
        <w:t>Porter’s Value Chain Analysis highlights inefficiencies, but due to its assumption of scalable business processes, its relevance to semi</w:t>
      </w:r>
      <w:r w:rsidRPr="00304F43">
        <w:rPr>
          <w:rFonts w:ascii="Georgia" w:hAnsi="Georgia"/>
        </w:rPr>
        <w:noBreakHyphen/>
        <w:t xml:space="preserve">professional football operations is limited </w:t>
      </w:r>
      <w:sdt>
        <w:sdtPr>
          <w:rPr>
            <w:rFonts w:ascii="Georgia" w:hAnsi="Georgia"/>
          </w:rPr>
          <w:id w:val="-513383453"/>
          <w:citation/>
        </w:sdtPr>
        <w:sdtContent>
          <w:r>
            <w:rPr>
              <w:rFonts w:ascii="Georgia" w:hAnsi="Georgia"/>
            </w:rPr>
            <w:fldChar w:fldCharType="begin"/>
          </w:r>
          <w:r>
            <w:rPr>
              <w:rFonts w:ascii="Georgia" w:hAnsi="Georgia"/>
            </w:rPr>
            <w:instrText xml:space="preserve"> CITATION Mor03 \l 2057 </w:instrText>
          </w:r>
          <w:r>
            <w:rPr>
              <w:rFonts w:ascii="Georgia" w:hAnsi="Georgia"/>
            </w:rPr>
            <w:fldChar w:fldCharType="separate"/>
          </w:r>
          <w:r w:rsidRPr="00202399">
            <w:rPr>
              <w:rFonts w:ascii="Georgia" w:hAnsi="Georgia"/>
              <w:noProof/>
            </w:rPr>
            <w:t>(Morrow, 2003)</w:t>
          </w:r>
          <w:r>
            <w:rPr>
              <w:rFonts w:ascii="Georgia" w:hAnsi="Georgia"/>
            </w:rPr>
            <w:fldChar w:fldCharType="end"/>
          </w:r>
        </w:sdtContent>
      </w:sdt>
    </w:p>
    <w:p w14:paraId="6006704D" w14:textId="77777777" w:rsidR="00D07EE4" w:rsidRPr="00304F43" w:rsidRDefault="00D07EE4" w:rsidP="00D07EE4">
      <w:pPr>
        <w:spacing w:after="160" w:line="278" w:lineRule="auto"/>
        <w:rPr>
          <w:rFonts w:ascii="Georgia" w:hAnsi="Georgia"/>
        </w:rPr>
      </w:pPr>
      <w:r w:rsidRPr="00304F43">
        <w:rPr>
          <w:rFonts w:ascii="Georgia" w:hAnsi="Georgia"/>
        </w:rPr>
        <w:t>Primary activities such as matchday revenue and sponsorship are constrained by low commercial scale, limiting income generation. This restricts reinvestment across the club.</w:t>
      </w:r>
    </w:p>
    <w:p w14:paraId="720F22F2" w14:textId="77777777" w:rsidR="00D07EE4" w:rsidRPr="00304F43" w:rsidRDefault="00D07EE4" w:rsidP="00D07EE4">
      <w:pPr>
        <w:spacing w:after="160" w:line="278" w:lineRule="auto"/>
        <w:rPr>
          <w:rFonts w:ascii="Georgia" w:hAnsi="Georgia"/>
        </w:rPr>
      </w:pPr>
      <w:r w:rsidRPr="00304F43">
        <w:rPr>
          <w:rFonts w:ascii="Georgia" w:hAnsi="Georgia"/>
        </w:rPr>
        <w:t>Marketing relies heavily on low</w:t>
      </w:r>
      <w:r w:rsidRPr="00304F43">
        <w:rPr>
          <w:rFonts w:ascii="Georgia" w:hAnsi="Georgia"/>
        </w:rPr>
        <w:noBreakHyphen/>
        <w:t>cost digital platforms. While effective for engagement, these channels generate limited revenue, exposing a gap between visibility and monetisation.</w:t>
      </w:r>
    </w:p>
    <w:p w14:paraId="49BC8A1C" w14:textId="77777777" w:rsidR="00D07EE4" w:rsidRPr="00304F43" w:rsidRDefault="00D07EE4" w:rsidP="00D07EE4">
      <w:pPr>
        <w:spacing w:after="160" w:line="278" w:lineRule="auto"/>
        <w:rPr>
          <w:rFonts w:ascii="Georgia" w:hAnsi="Georgia"/>
        </w:rPr>
      </w:pPr>
      <w:r w:rsidRPr="00304F43">
        <w:rPr>
          <w:rFonts w:ascii="Georgia" w:hAnsi="Georgia"/>
        </w:rPr>
        <w:t>Operations are affected by the semi</w:t>
      </w:r>
      <w:r w:rsidRPr="00304F43">
        <w:rPr>
          <w:rFonts w:ascii="Georgia" w:hAnsi="Georgia"/>
        </w:rPr>
        <w:noBreakHyphen/>
        <w:t>professional structure, leading to inconsistent performance and limited organisational efficiency.</w:t>
      </w:r>
    </w:p>
    <w:p w14:paraId="610B3919" w14:textId="77777777" w:rsidR="00D07EE4" w:rsidRPr="00304F43" w:rsidRDefault="00D07EE4" w:rsidP="00D07EE4">
      <w:pPr>
        <w:spacing w:after="160" w:line="278" w:lineRule="auto"/>
        <w:rPr>
          <w:rFonts w:ascii="Georgia" w:hAnsi="Georgia"/>
        </w:rPr>
      </w:pPr>
      <w:r w:rsidRPr="00304F43">
        <w:rPr>
          <w:rFonts w:ascii="Georgia" w:hAnsi="Georgia"/>
        </w:rPr>
        <w:t>SWOT/TOWS (Strategic Synthesis)</w:t>
      </w:r>
    </w:p>
    <w:p w14:paraId="069A67A0" w14:textId="77777777" w:rsidR="00D07EE4" w:rsidRPr="00304F43" w:rsidRDefault="00D07EE4" w:rsidP="00D07EE4">
      <w:pPr>
        <w:spacing w:after="160" w:line="278" w:lineRule="auto"/>
        <w:rPr>
          <w:rFonts w:ascii="Georgia" w:hAnsi="Georgia"/>
        </w:rPr>
      </w:pPr>
      <w:r w:rsidRPr="00304F43">
        <w:rPr>
          <w:rFonts w:ascii="Georgia" w:hAnsi="Georgia"/>
        </w:rPr>
        <w:t>A SWOT analysis identifies internal strengths and weaknesses alongside external opportunities and threats. For Welsh football, strengths include strong youth development, access to UEFA competitions, and a distinct national identity. Weaknesses involve limited financial capital, semi</w:t>
      </w:r>
      <w:r w:rsidRPr="00304F43">
        <w:rPr>
          <w:rFonts w:ascii="Georgia" w:hAnsi="Georgia"/>
        </w:rPr>
        <w:noBreakHyphen/>
        <w:t xml:space="preserve">professional operations, and underdeveloped marketing. Opportunities arise from digital platforms and community engagement, while threats include the dominance of English leagues and revenue disparities documented across European football economics </w:t>
      </w:r>
      <w:sdt>
        <w:sdtPr>
          <w:rPr>
            <w:rFonts w:ascii="Georgia" w:hAnsi="Georgia"/>
          </w:rPr>
          <w:id w:val="-1922322128"/>
          <w:citation/>
        </w:sdtPr>
        <w:sdtContent>
          <w:r>
            <w:rPr>
              <w:rFonts w:ascii="Georgia" w:hAnsi="Georgia"/>
            </w:rPr>
            <w:fldChar w:fldCharType="begin"/>
          </w:r>
          <w:r>
            <w:rPr>
              <w:rFonts w:ascii="Georgia" w:hAnsi="Georgia"/>
            </w:rPr>
            <w:instrText xml:space="preserve"> CITATION Del25 \l 2057 </w:instrText>
          </w:r>
          <w:r>
            <w:rPr>
              <w:rFonts w:ascii="Georgia" w:hAnsi="Georgia"/>
            </w:rPr>
            <w:fldChar w:fldCharType="separate"/>
          </w:r>
          <w:r w:rsidRPr="00202399">
            <w:rPr>
              <w:rFonts w:ascii="Georgia" w:hAnsi="Georgia"/>
              <w:noProof/>
            </w:rPr>
            <w:t>(Deloitte, 2025)</w:t>
          </w:r>
          <w:r>
            <w:rPr>
              <w:rFonts w:ascii="Georgia" w:hAnsi="Georgia"/>
            </w:rPr>
            <w:fldChar w:fldCharType="end"/>
          </w:r>
        </w:sdtContent>
      </w:sdt>
      <w:r w:rsidRPr="00304F43">
        <w:rPr>
          <w:rFonts w:ascii="Georgia" w:hAnsi="Georgia"/>
        </w:rPr>
        <w:t>.</w:t>
      </w:r>
    </w:p>
    <w:p w14:paraId="6C861C0C" w14:textId="77777777" w:rsidR="00D07EE4" w:rsidRPr="00304F43" w:rsidRDefault="00D07EE4" w:rsidP="00D07EE4">
      <w:pPr>
        <w:spacing w:after="160" w:line="278" w:lineRule="auto"/>
        <w:rPr>
          <w:rFonts w:ascii="Georgia" w:hAnsi="Georgia"/>
        </w:rPr>
      </w:pPr>
      <w:r w:rsidRPr="00304F43">
        <w:rPr>
          <w:rFonts w:ascii="Georgia" w:hAnsi="Georgia"/>
        </w:rPr>
        <w:t>SO (Strength Opportunity): Clubs can leverage UEFA access and national identity to enhance international visibility, attract sponsorship, and promote youth talent.</w:t>
      </w:r>
    </w:p>
    <w:p w14:paraId="6FEED7AA" w14:textId="77777777" w:rsidR="00D07EE4" w:rsidRPr="00304F43" w:rsidRDefault="00D07EE4" w:rsidP="00D07EE4">
      <w:pPr>
        <w:spacing w:after="160" w:line="278" w:lineRule="auto"/>
        <w:rPr>
          <w:rFonts w:ascii="Georgia" w:hAnsi="Georgia"/>
        </w:rPr>
      </w:pPr>
      <w:r w:rsidRPr="00304F43">
        <w:rPr>
          <w:rFonts w:ascii="Georgia" w:hAnsi="Georgia"/>
        </w:rPr>
        <w:t>WO (Weakness Opportunity): Financial and marketing limitations can be mitigated through digital channels, using streaming platforms to engage wider audiences.</w:t>
      </w:r>
    </w:p>
    <w:p w14:paraId="38D496C2" w14:textId="77777777" w:rsidR="00D07EE4" w:rsidRPr="00304F43" w:rsidRDefault="00D07EE4" w:rsidP="00D07EE4">
      <w:pPr>
        <w:spacing w:after="160" w:line="278" w:lineRule="auto"/>
        <w:rPr>
          <w:rFonts w:ascii="Georgia" w:hAnsi="Georgia"/>
        </w:rPr>
      </w:pPr>
      <w:r w:rsidRPr="00304F43">
        <w:rPr>
          <w:rFonts w:ascii="Georgia" w:hAnsi="Georgia"/>
        </w:rPr>
        <w:t>ST (Strength Threat): Community identity and local loyalty can counter external threats by fostering a dedicated fanbase, differentiating Welsh clubs culturally.</w:t>
      </w:r>
    </w:p>
    <w:p w14:paraId="4EA87002" w14:textId="77777777" w:rsidR="00D07EE4" w:rsidRPr="00304F43" w:rsidRDefault="00D07EE4" w:rsidP="00D07EE4">
      <w:pPr>
        <w:spacing w:after="160" w:line="278" w:lineRule="auto"/>
        <w:rPr>
          <w:rFonts w:ascii="Georgia" w:hAnsi="Georgia"/>
        </w:rPr>
      </w:pPr>
      <w:r w:rsidRPr="00304F43">
        <w:rPr>
          <w:rFonts w:ascii="Georgia" w:hAnsi="Georgia"/>
        </w:rPr>
        <w:t>WT (Weakness Threat): Clubs should diversify revenue sources, combining merchandising, digital content monetisation, and partnerships to reduce financial vulnerability and improve resilience.</w:t>
      </w:r>
    </w:p>
    <w:p w14:paraId="2EDDED45" w14:textId="77777777" w:rsidR="00D07EE4" w:rsidRPr="00304F43" w:rsidRDefault="00D07EE4" w:rsidP="00D07EE4">
      <w:pPr>
        <w:spacing w:after="160" w:line="278" w:lineRule="auto"/>
        <w:rPr>
          <w:rFonts w:ascii="Georgia" w:hAnsi="Georgia"/>
        </w:rPr>
      </w:pPr>
      <w:r w:rsidRPr="00304F43">
        <w:rPr>
          <w:rFonts w:ascii="Georgia" w:hAnsi="Georgia"/>
        </w:rPr>
        <w:t>TOWS translates SWOT insights into practical strategies, balancing growth opportunities with risk mitigation. Implementation remains critical, especially within resource</w:t>
      </w:r>
      <w:r w:rsidRPr="00304F43">
        <w:rPr>
          <w:rFonts w:ascii="Georgia" w:hAnsi="Georgia"/>
        </w:rPr>
        <w:noBreakHyphen/>
        <w:t>constrained clubs, to ensure that internal capabilities are effectively leveraged against external pressures.</w:t>
      </w:r>
    </w:p>
    <w:p w14:paraId="12E4432A" w14:textId="77777777" w:rsidR="00D07EE4" w:rsidRPr="00304F43" w:rsidRDefault="00D07EE4" w:rsidP="00D07EE4">
      <w:pPr>
        <w:spacing w:after="160" w:line="278" w:lineRule="auto"/>
        <w:rPr>
          <w:rFonts w:ascii="Georgia" w:hAnsi="Georgia"/>
        </w:rPr>
      </w:pPr>
      <w:r w:rsidRPr="00304F43">
        <w:rPr>
          <w:rFonts w:ascii="Georgia" w:hAnsi="Georgia"/>
        </w:rPr>
        <w:lastRenderedPageBreak/>
        <w:t>Strategy Formulation &amp; Competitive Positioning</w:t>
      </w:r>
    </w:p>
    <w:p w14:paraId="59F16697" w14:textId="77777777" w:rsidR="00D07EE4" w:rsidRPr="00304F43" w:rsidRDefault="00D07EE4" w:rsidP="00D07EE4">
      <w:pPr>
        <w:spacing w:after="160" w:line="278" w:lineRule="auto"/>
        <w:rPr>
          <w:rFonts w:ascii="Georgia" w:hAnsi="Georgia"/>
        </w:rPr>
      </w:pPr>
      <w:r w:rsidRPr="00304F43">
        <w:rPr>
          <w:rFonts w:ascii="Georgia" w:hAnsi="Georgia"/>
        </w:rPr>
        <w:t>Current Strategy</w:t>
      </w:r>
    </w:p>
    <w:p w14:paraId="1CF9A1DF" w14:textId="77777777" w:rsidR="00D07EE4" w:rsidRPr="00304F43" w:rsidRDefault="00D07EE4" w:rsidP="00D07EE4">
      <w:pPr>
        <w:spacing w:after="160" w:line="278" w:lineRule="auto"/>
        <w:rPr>
          <w:rFonts w:ascii="Georgia" w:hAnsi="Georgia"/>
        </w:rPr>
      </w:pPr>
      <w:r w:rsidRPr="00304F43">
        <w:rPr>
          <w:rFonts w:ascii="Georgia" w:hAnsi="Georgia"/>
        </w:rPr>
        <w:t xml:space="preserve">Welsh football has traditionally followed a focused low-cost strategy </w:t>
      </w:r>
      <w:proofErr w:type="spellStart"/>
      <w:r w:rsidRPr="00304F43">
        <w:rPr>
          <w:rFonts w:ascii="Georgia" w:hAnsi="Georgia"/>
        </w:rPr>
        <w:t>emphasising</w:t>
      </w:r>
      <w:proofErr w:type="spellEnd"/>
      <w:r w:rsidRPr="00304F43">
        <w:rPr>
          <w:rFonts w:ascii="Georgia" w:hAnsi="Georgia"/>
        </w:rPr>
        <w:t xml:space="preserve"> operational efficiency and cost control over ambitious growth. While this approach allows clubs to remain financially stable, it limits opportunities for market expansion and revenue diversification </w:t>
      </w:r>
      <w:sdt>
        <w:sdtPr>
          <w:rPr>
            <w:rFonts w:ascii="Georgia" w:hAnsi="Georgia"/>
          </w:rPr>
          <w:id w:val="187571141"/>
          <w:citation/>
        </w:sdtPr>
        <w:sdtContent>
          <w:r>
            <w:rPr>
              <w:rFonts w:ascii="Georgia" w:hAnsi="Georgia"/>
            </w:rPr>
            <w:fldChar w:fldCharType="begin"/>
          </w:r>
          <w:r>
            <w:rPr>
              <w:rFonts w:ascii="Georgia" w:hAnsi="Georgia"/>
            </w:rPr>
            <w:instrText xml:space="preserve"> CITATION Mor03 \l 2057 </w:instrText>
          </w:r>
          <w:r>
            <w:rPr>
              <w:rFonts w:ascii="Georgia" w:hAnsi="Georgia"/>
            </w:rPr>
            <w:fldChar w:fldCharType="separate"/>
          </w:r>
          <w:r w:rsidRPr="00202399">
            <w:rPr>
              <w:rFonts w:ascii="Georgia" w:hAnsi="Georgia"/>
              <w:noProof/>
            </w:rPr>
            <w:t>(Morrow, 2003)</w:t>
          </w:r>
          <w:r>
            <w:rPr>
              <w:rFonts w:ascii="Georgia" w:hAnsi="Georgia"/>
            </w:rPr>
            <w:fldChar w:fldCharType="end"/>
          </w:r>
        </w:sdtContent>
      </w:sdt>
      <w:r w:rsidRPr="00304F43">
        <w:rPr>
          <w:rFonts w:ascii="Georgia" w:hAnsi="Georgia"/>
        </w:rPr>
        <w:t xml:space="preserve">. </w:t>
      </w:r>
      <w:proofErr w:type="spellStart"/>
      <w:r w:rsidRPr="00304F43">
        <w:rPr>
          <w:rFonts w:ascii="Georgia" w:hAnsi="Georgia"/>
        </w:rPr>
        <w:t>Recognising</w:t>
      </w:r>
      <w:proofErr w:type="spellEnd"/>
      <w:r w:rsidRPr="00304F43">
        <w:rPr>
          <w:rFonts w:ascii="Georgia" w:hAnsi="Georgia"/>
        </w:rPr>
        <w:t xml:space="preserve"> these constraints, Welsh football is gradually moving toward a hybrid strategy that balances cost-consciousness with selective investment in growth initiatives. Key examples include digital broadcasting agreements and youth talent development programs, which not only enhance visibility but also build long-term competitive capabilities </w:t>
      </w:r>
      <w:sdt>
        <w:sdtPr>
          <w:rPr>
            <w:rFonts w:ascii="Georgia" w:hAnsi="Georgia"/>
          </w:rPr>
          <w:id w:val="-161859182"/>
          <w:citation/>
        </w:sdtPr>
        <w:sdtContent>
          <w:r>
            <w:rPr>
              <w:rFonts w:ascii="Georgia" w:hAnsi="Georgia"/>
            </w:rPr>
            <w:fldChar w:fldCharType="begin"/>
          </w:r>
          <w:r>
            <w:rPr>
              <w:rFonts w:ascii="Georgia" w:hAnsi="Georgia"/>
            </w:rPr>
            <w:instrText xml:space="preserve"> CITATION UEF22 \l 2057 </w:instrText>
          </w:r>
          <w:r>
            <w:rPr>
              <w:rFonts w:ascii="Georgia" w:hAnsi="Georgia"/>
            </w:rPr>
            <w:fldChar w:fldCharType="separate"/>
          </w:r>
          <w:r w:rsidRPr="00202399">
            <w:rPr>
              <w:rFonts w:ascii="Georgia" w:hAnsi="Georgia"/>
              <w:noProof/>
            </w:rPr>
            <w:t>(UEFA, 2022)</w:t>
          </w:r>
          <w:r>
            <w:rPr>
              <w:rFonts w:ascii="Georgia" w:hAnsi="Georgia"/>
            </w:rPr>
            <w:fldChar w:fldCharType="end"/>
          </w:r>
        </w:sdtContent>
      </w:sdt>
      <w:r w:rsidRPr="00304F43">
        <w:rPr>
          <w:rFonts w:ascii="Georgia" w:hAnsi="Georgia"/>
        </w:rPr>
        <w:t>.</w:t>
      </w:r>
    </w:p>
    <w:p w14:paraId="2FC3BAE2" w14:textId="77777777" w:rsidR="00D07EE4" w:rsidRDefault="00D07EE4" w:rsidP="00D07EE4">
      <w:pPr>
        <w:rPr>
          <w:rFonts w:ascii="Georgia" w:hAnsi="Georgia"/>
        </w:rPr>
      </w:pPr>
      <w:r w:rsidRPr="00304F43">
        <w:rPr>
          <w:rFonts w:ascii="Georgia" w:hAnsi="Georgia"/>
        </w:rPr>
        <w:t xml:space="preserve">This hybrid approach enables clubs to maintain financial discipline while exploring incremental avenues for revenue and performance improvement, aligning with the constraints of semi-professional operations in smaller football economies </w:t>
      </w:r>
      <w:sdt>
        <w:sdtPr>
          <w:rPr>
            <w:rFonts w:ascii="Georgia" w:hAnsi="Georgia"/>
          </w:rPr>
          <w:id w:val="-483619856"/>
          <w:citation/>
        </w:sdtPr>
        <w:sdtContent>
          <w:r>
            <w:rPr>
              <w:rFonts w:ascii="Georgia" w:hAnsi="Georgia"/>
            </w:rPr>
            <w:fldChar w:fldCharType="begin"/>
          </w:r>
          <w:r>
            <w:rPr>
              <w:rFonts w:ascii="Georgia" w:hAnsi="Georgia"/>
            </w:rPr>
            <w:instrText xml:space="preserve"> CITATION err23 \l 2057 </w:instrText>
          </w:r>
          <w:r>
            <w:rPr>
              <w:rFonts w:ascii="Georgia" w:hAnsi="Georgia"/>
            </w:rPr>
            <w:fldChar w:fldCharType="separate"/>
          </w:r>
          <w:r w:rsidRPr="00202399">
            <w:rPr>
              <w:rFonts w:ascii="Georgia" w:hAnsi="Georgia"/>
              <w:noProof/>
            </w:rPr>
            <w:t>(Serrano, 2023)</w:t>
          </w:r>
          <w:r>
            <w:rPr>
              <w:rFonts w:ascii="Georgia" w:hAnsi="Georgia"/>
            </w:rPr>
            <w:fldChar w:fldCharType="end"/>
          </w:r>
        </w:sdtContent>
      </w:sdt>
    </w:p>
    <w:p w14:paraId="02E545E6" w14:textId="77777777" w:rsidR="00D07EE4" w:rsidRPr="00304F43" w:rsidRDefault="00D07EE4" w:rsidP="00D07EE4">
      <w:pPr>
        <w:spacing w:after="160" w:line="278" w:lineRule="auto"/>
        <w:rPr>
          <w:rFonts w:ascii="Georgia" w:hAnsi="Georgia"/>
        </w:rPr>
      </w:pPr>
      <w:r w:rsidRPr="00304F43">
        <w:rPr>
          <w:rFonts w:ascii="Georgia" w:hAnsi="Georgia"/>
        </w:rPr>
        <w:t>Ansoff Matrix</w:t>
      </w:r>
    </w:p>
    <w:p w14:paraId="30B73B35" w14:textId="77777777" w:rsidR="00D07EE4" w:rsidRPr="00304F43" w:rsidRDefault="00D07EE4" w:rsidP="00D07EE4">
      <w:pPr>
        <w:spacing w:after="160" w:line="278" w:lineRule="auto"/>
        <w:rPr>
          <w:rFonts w:ascii="Georgia" w:hAnsi="Georgia"/>
        </w:rPr>
      </w:pPr>
      <w:r w:rsidRPr="00304F43">
        <w:rPr>
          <w:rFonts w:ascii="Georgia" w:hAnsi="Georgia"/>
        </w:rPr>
        <w:t xml:space="preserve">Applying the Ansoff Matrix highlights both the opportunities and limitations of current strategic thinking </w:t>
      </w:r>
      <w:sdt>
        <w:sdtPr>
          <w:rPr>
            <w:rFonts w:ascii="Georgia" w:hAnsi="Georgia"/>
          </w:rPr>
          <w:id w:val="1009342035"/>
          <w:citation/>
        </w:sdtPr>
        <w:sdtContent>
          <w:r>
            <w:rPr>
              <w:rFonts w:ascii="Georgia" w:hAnsi="Georgia"/>
            </w:rPr>
            <w:fldChar w:fldCharType="begin"/>
          </w:r>
          <w:r>
            <w:rPr>
              <w:rFonts w:ascii="Georgia" w:hAnsi="Georgia"/>
            </w:rPr>
            <w:instrText xml:space="preserve"> CITATION Pet22 \l 2057 </w:instrText>
          </w:r>
          <w:r>
            <w:rPr>
              <w:rFonts w:ascii="Georgia" w:hAnsi="Georgia"/>
            </w:rPr>
            <w:fldChar w:fldCharType="separate"/>
          </w:r>
          <w:r w:rsidRPr="00202399">
            <w:rPr>
              <w:rFonts w:ascii="Georgia" w:hAnsi="Georgia"/>
              <w:noProof/>
            </w:rPr>
            <w:t>(Peterdy, 2022)</w:t>
          </w:r>
          <w:r>
            <w:rPr>
              <w:rFonts w:ascii="Georgia" w:hAnsi="Georgia"/>
            </w:rPr>
            <w:fldChar w:fldCharType="end"/>
          </w:r>
        </w:sdtContent>
      </w:sdt>
    </w:p>
    <w:p w14:paraId="00673202" w14:textId="77777777" w:rsidR="00D07EE4" w:rsidRPr="00304F43" w:rsidRDefault="00D07EE4" w:rsidP="00D07EE4">
      <w:pPr>
        <w:spacing w:after="160" w:line="278" w:lineRule="auto"/>
        <w:rPr>
          <w:rFonts w:ascii="Georgia" w:hAnsi="Georgia"/>
        </w:rPr>
      </w:pPr>
      <w:r w:rsidRPr="00304F43">
        <w:rPr>
          <w:rFonts w:ascii="Georgia" w:hAnsi="Georgia"/>
        </w:rPr>
        <w:t>Market Penetration: Growth through ticket sales or local sponsorships is constrained by the limited domestic audience and cultural preference for English clubs</w:t>
      </w:r>
      <w:r>
        <w:rPr>
          <w:rFonts w:ascii="Georgia" w:hAnsi="Georgia"/>
        </w:rPr>
        <w:t>,</w:t>
      </w:r>
    </w:p>
    <w:p w14:paraId="11F6215D" w14:textId="77777777" w:rsidR="00D07EE4" w:rsidRPr="00304F43" w:rsidRDefault="00D07EE4" w:rsidP="00D07EE4">
      <w:pPr>
        <w:spacing w:after="160" w:line="278" w:lineRule="auto"/>
        <w:rPr>
          <w:rFonts w:ascii="Georgia" w:hAnsi="Georgia"/>
        </w:rPr>
      </w:pPr>
      <w:r w:rsidRPr="00304F43">
        <w:rPr>
          <w:rFonts w:ascii="Georgia" w:hAnsi="Georgia"/>
        </w:rPr>
        <w:t>Market Development: International streaming platforms offer potential to attract overseas fans, particularly in regions with Welsh diaspora connections</w:t>
      </w:r>
      <w:r>
        <w:rPr>
          <w:rFonts w:ascii="Georgia" w:hAnsi="Georgia"/>
        </w:rPr>
        <w:t>.</w:t>
      </w:r>
    </w:p>
    <w:p w14:paraId="2A6AADD3" w14:textId="77777777" w:rsidR="00D07EE4" w:rsidRPr="00304F43" w:rsidRDefault="00D07EE4" w:rsidP="00D07EE4">
      <w:pPr>
        <w:spacing w:after="160" w:line="278" w:lineRule="auto"/>
        <w:rPr>
          <w:rFonts w:ascii="Georgia" w:hAnsi="Georgia"/>
        </w:rPr>
      </w:pPr>
      <w:r w:rsidRPr="00304F43">
        <w:rPr>
          <w:rFonts w:ascii="Georgia" w:hAnsi="Georgia"/>
        </w:rPr>
        <w:t xml:space="preserve">Product Development: Enhancing fan experience through digital engagement, gamification, or stadium amenities remains largely underexplored. This could differentiate clubs without requiring heavy capital investment. </w:t>
      </w:r>
    </w:p>
    <w:p w14:paraId="599B52F8" w14:textId="77777777" w:rsidR="00D07EE4" w:rsidRPr="00304F43" w:rsidRDefault="00D07EE4" w:rsidP="00D07EE4">
      <w:pPr>
        <w:numPr>
          <w:ilvl w:val="0"/>
          <w:numId w:val="2"/>
        </w:numPr>
        <w:spacing w:after="160" w:line="278" w:lineRule="auto"/>
        <w:rPr>
          <w:rFonts w:ascii="Georgia" w:hAnsi="Georgia"/>
        </w:rPr>
      </w:pPr>
      <w:r w:rsidRPr="00304F43">
        <w:rPr>
          <w:rFonts w:ascii="Georgia" w:hAnsi="Georgia"/>
        </w:rPr>
        <w:t>Diversification: Alternative revenue streams such as merchandising, esports tournaments, or branded content are critical for long-term sustainability. These strategies require innovative, low-cost approaches, reflecting the financial limitations of most Welsh clubs</w:t>
      </w:r>
      <w:r>
        <w:rPr>
          <w:rFonts w:ascii="Georgia" w:hAnsi="Georgia"/>
        </w:rPr>
        <w:t>.</w:t>
      </w:r>
      <w:r w:rsidRPr="00304F43">
        <w:rPr>
          <w:rFonts w:ascii="Georgia" w:hAnsi="Georgia"/>
        </w:rPr>
        <w:t xml:space="preserve"> </w:t>
      </w:r>
    </w:p>
    <w:p w14:paraId="36CAE5E9" w14:textId="77777777" w:rsidR="00D07EE4" w:rsidRPr="00304F43" w:rsidRDefault="00D07EE4" w:rsidP="00D07EE4">
      <w:pPr>
        <w:spacing w:after="160" w:line="278" w:lineRule="auto"/>
        <w:rPr>
          <w:rFonts w:ascii="Georgia" w:hAnsi="Georgia"/>
        </w:rPr>
      </w:pPr>
      <w:r w:rsidRPr="00304F43">
        <w:rPr>
          <w:rFonts w:ascii="Georgia" w:hAnsi="Georgia"/>
        </w:rPr>
        <w:t>A key insight is that traditional growth models often assume significant capital availability, which most Welsh clubs lack, making creativity and strategic partnerships essential for incremental, sustainable growth.</w:t>
      </w:r>
    </w:p>
    <w:p w14:paraId="20E2F21D" w14:textId="77777777" w:rsidR="00D07EE4" w:rsidRPr="00304F43" w:rsidRDefault="00D07EE4" w:rsidP="00D07EE4">
      <w:pPr>
        <w:spacing w:after="160" w:line="278" w:lineRule="auto"/>
        <w:rPr>
          <w:rFonts w:ascii="Georgia" w:hAnsi="Georgia"/>
        </w:rPr>
      </w:pPr>
      <w:r w:rsidRPr="00304F43">
        <w:rPr>
          <w:rFonts w:ascii="Georgia" w:hAnsi="Georgia"/>
        </w:rPr>
        <w:t>Mergers, Acquisitions, and Partnerships</w:t>
      </w:r>
    </w:p>
    <w:p w14:paraId="3D6F0D8A" w14:textId="77777777" w:rsidR="00D07EE4" w:rsidRPr="00304F43" w:rsidRDefault="00D07EE4" w:rsidP="00D07EE4">
      <w:pPr>
        <w:spacing w:after="160" w:line="278" w:lineRule="auto"/>
        <w:rPr>
          <w:rFonts w:ascii="Georgia" w:hAnsi="Georgia"/>
        </w:rPr>
      </w:pPr>
      <w:r w:rsidRPr="00304F43">
        <w:rPr>
          <w:rFonts w:ascii="Georgia" w:hAnsi="Georgia"/>
        </w:rPr>
        <w:t xml:space="preserve">Given limited financial resources, mergers and acquisitions are not a primary avenue for expansion. Instead, strategic alliances and partnerships provide more viable </w:t>
      </w:r>
      <w:proofErr w:type="gramStart"/>
      <w:r w:rsidRPr="00304F43">
        <w:rPr>
          <w:rFonts w:ascii="Georgia" w:hAnsi="Georgia"/>
        </w:rPr>
        <w:t xml:space="preserve">opportunities </w:t>
      </w:r>
      <w:r>
        <w:rPr>
          <w:rFonts w:ascii="Georgia" w:hAnsi="Georgia"/>
        </w:rPr>
        <w:t>.</w:t>
      </w:r>
      <w:proofErr w:type="gramEnd"/>
    </w:p>
    <w:p w14:paraId="68673A27" w14:textId="77777777" w:rsidR="00D07EE4" w:rsidRPr="00304F43" w:rsidRDefault="00D07EE4" w:rsidP="00D07EE4">
      <w:pPr>
        <w:spacing w:after="160" w:line="278" w:lineRule="auto"/>
        <w:rPr>
          <w:rFonts w:ascii="Georgia" w:hAnsi="Georgia"/>
        </w:rPr>
      </w:pPr>
      <w:r w:rsidRPr="00304F43">
        <w:rPr>
          <w:rFonts w:ascii="Georgia" w:hAnsi="Georgia"/>
        </w:rPr>
        <w:t>Player Development Partnerships: Collaborating with larger clubs or academies strengthens talent pipelines while sharing operational costs</w:t>
      </w:r>
      <w:r>
        <w:rPr>
          <w:rFonts w:ascii="Georgia" w:hAnsi="Georgia"/>
        </w:rPr>
        <w:t>.</w:t>
      </w:r>
      <w:r w:rsidRPr="00304F43">
        <w:rPr>
          <w:rFonts w:ascii="Georgia" w:hAnsi="Georgia"/>
        </w:rPr>
        <w:t xml:space="preserve"> </w:t>
      </w:r>
    </w:p>
    <w:p w14:paraId="5B2ECDE5" w14:textId="77777777" w:rsidR="00D07EE4" w:rsidRPr="00304F43" w:rsidRDefault="00D07EE4" w:rsidP="00D07EE4">
      <w:pPr>
        <w:spacing w:after="160" w:line="278" w:lineRule="auto"/>
        <w:rPr>
          <w:rFonts w:ascii="Georgia" w:hAnsi="Georgia"/>
        </w:rPr>
      </w:pPr>
      <w:r w:rsidRPr="00304F43">
        <w:rPr>
          <w:rFonts w:ascii="Georgia" w:hAnsi="Georgia"/>
        </w:rPr>
        <w:t xml:space="preserve">Sponsorship Collaborations: Partnerships with local or international brands provide incremental revenue and brand exposure without heavy upfront investment. </w:t>
      </w:r>
    </w:p>
    <w:p w14:paraId="2D9DC154" w14:textId="77777777" w:rsidR="00D07EE4" w:rsidRPr="00304F43" w:rsidRDefault="00D07EE4" w:rsidP="00D07EE4">
      <w:pPr>
        <w:spacing w:after="160" w:line="278" w:lineRule="auto"/>
        <w:rPr>
          <w:rFonts w:ascii="Georgia" w:hAnsi="Georgia"/>
        </w:rPr>
      </w:pPr>
      <w:r w:rsidRPr="00304F43">
        <w:rPr>
          <w:rFonts w:ascii="Georgia" w:hAnsi="Georgia"/>
        </w:rPr>
        <w:t xml:space="preserve">Shared Digital Platforms: Joint streaming and content initiatives can amplify reach, reduce costs, and </w:t>
      </w:r>
      <w:proofErr w:type="spellStart"/>
      <w:r w:rsidRPr="00304F43">
        <w:rPr>
          <w:rFonts w:ascii="Georgia" w:hAnsi="Georgia"/>
        </w:rPr>
        <w:t>monetise</w:t>
      </w:r>
      <w:proofErr w:type="spellEnd"/>
      <w:r w:rsidRPr="00304F43">
        <w:rPr>
          <w:rFonts w:ascii="Georgia" w:hAnsi="Georgia"/>
        </w:rPr>
        <w:t xml:space="preserve"> international audiences. </w:t>
      </w:r>
    </w:p>
    <w:p w14:paraId="180E8604" w14:textId="77777777" w:rsidR="00D07EE4" w:rsidRPr="00304F43" w:rsidRDefault="00D07EE4" w:rsidP="00D07EE4">
      <w:pPr>
        <w:spacing w:after="160" w:line="278" w:lineRule="auto"/>
        <w:rPr>
          <w:rFonts w:ascii="Georgia" w:hAnsi="Georgia"/>
        </w:rPr>
      </w:pPr>
      <w:r w:rsidRPr="00304F43">
        <w:rPr>
          <w:rFonts w:ascii="Georgia" w:hAnsi="Georgia"/>
        </w:rPr>
        <w:t>These partnerships align with the hybrid strategy, enabling clubs to expand influence and competitiveness without overextending financially.</w:t>
      </w:r>
    </w:p>
    <w:p w14:paraId="0037FA69" w14:textId="77777777" w:rsidR="00D07EE4" w:rsidRPr="00304F43" w:rsidRDefault="00D07EE4" w:rsidP="00D07EE4">
      <w:pPr>
        <w:spacing w:after="160" w:line="278" w:lineRule="auto"/>
        <w:rPr>
          <w:rFonts w:ascii="Georgia" w:hAnsi="Georgia"/>
          <w:u w:val="single"/>
        </w:rPr>
      </w:pPr>
      <w:r w:rsidRPr="00304F43">
        <w:rPr>
          <w:rFonts w:ascii="Georgia" w:hAnsi="Georgia"/>
          <w:u w:val="single"/>
        </w:rPr>
        <w:t>Sustainability &amp; Strategic Recommendations</w:t>
      </w:r>
    </w:p>
    <w:p w14:paraId="7E8E2F09" w14:textId="77777777" w:rsidR="00D07EE4" w:rsidRDefault="00D07EE4" w:rsidP="00D07EE4">
      <w:pPr>
        <w:rPr>
          <w:rFonts w:ascii="Georgia" w:hAnsi="Georgia"/>
        </w:rPr>
      </w:pPr>
      <w:r w:rsidRPr="00304F43">
        <w:rPr>
          <w:rFonts w:ascii="Georgia" w:hAnsi="Georgia"/>
        </w:rPr>
        <w:lastRenderedPageBreak/>
        <w:t>Critical Evaluation of Sustainability</w:t>
      </w:r>
    </w:p>
    <w:p w14:paraId="2FAF6282" w14:textId="77777777" w:rsidR="00D07EE4" w:rsidRPr="00304F43" w:rsidRDefault="00D07EE4" w:rsidP="00D07EE4">
      <w:pPr>
        <w:spacing w:after="160" w:line="278" w:lineRule="auto"/>
        <w:rPr>
          <w:rFonts w:ascii="Georgia" w:hAnsi="Georgia"/>
        </w:rPr>
      </w:pPr>
      <w:r w:rsidRPr="00304F43">
        <w:rPr>
          <w:rFonts w:ascii="Georgia" w:hAnsi="Georgia"/>
        </w:rPr>
        <w:br/>
        <w:t xml:space="preserve">Sustainability in Welsh football is primarily economic rather than environmental, focusing on survival rather than innovation </w:t>
      </w:r>
      <w:sdt>
        <w:sdtPr>
          <w:rPr>
            <w:rFonts w:ascii="Georgia" w:hAnsi="Georgia"/>
          </w:rPr>
          <w:id w:val="579418448"/>
          <w:citation/>
        </w:sdtPr>
        <w:sdtContent>
          <w:r>
            <w:rPr>
              <w:rFonts w:ascii="Georgia" w:hAnsi="Georgia"/>
            </w:rPr>
            <w:fldChar w:fldCharType="begin"/>
          </w:r>
          <w:r>
            <w:rPr>
              <w:rFonts w:ascii="Georgia" w:hAnsi="Georgia"/>
            </w:rPr>
            <w:instrText xml:space="preserve"> CITATION Smi23 \l 2057 </w:instrText>
          </w:r>
          <w:r>
            <w:rPr>
              <w:rFonts w:ascii="Georgia" w:hAnsi="Georgia"/>
            </w:rPr>
            <w:fldChar w:fldCharType="separate"/>
          </w:r>
          <w:r w:rsidRPr="00202399">
            <w:rPr>
              <w:rFonts w:ascii="Georgia" w:hAnsi="Georgia"/>
              <w:noProof/>
            </w:rPr>
            <w:t>(Smith, 2023)</w:t>
          </w:r>
          <w:r>
            <w:rPr>
              <w:rFonts w:ascii="Georgia" w:hAnsi="Georgia"/>
            </w:rPr>
            <w:fldChar w:fldCharType="end"/>
          </w:r>
        </w:sdtContent>
      </w:sdt>
      <w:r w:rsidRPr="00304F43">
        <w:rPr>
          <w:rFonts w:ascii="Georgia" w:hAnsi="Georgia"/>
        </w:rPr>
        <w:t xml:space="preserve">Environmental strategies are emerging but remain largely symbolic, reflecting broader constraints of small football economies </w:t>
      </w:r>
      <w:sdt>
        <w:sdtPr>
          <w:rPr>
            <w:rFonts w:ascii="Georgia" w:hAnsi="Georgia"/>
          </w:rPr>
          <w:id w:val="-2079189709"/>
          <w:citation/>
        </w:sdtPr>
        <w:sdtContent>
          <w:r>
            <w:rPr>
              <w:rFonts w:ascii="Georgia" w:hAnsi="Georgia"/>
            </w:rPr>
            <w:fldChar w:fldCharType="begin"/>
          </w:r>
          <w:r>
            <w:rPr>
              <w:rFonts w:ascii="Georgia" w:hAnsi="Georgia"/>
            </w:rPr>
            <w:instrText xml:space="preserve"> CITATION Sam25 \l 2057 </w:instrText>
          </w:r>
          <w:r>
            <w:rPr>
              <w:rFonts w:ascii="Georgia" w:hAnsi="Georgia"/>
            </w:rPr>
            <w:fldChar w:fldCharType="separate"/>
          </w:r>
          <w:r w:rsidRPr="00202399">
            <w:rPr>
              <w:rFonts w:ascii="Georgia" w:hAnsi="Georgia"/>
              <w:noProof/>
            </w:rPr>
            <w:t>(Samuel, et al., 2025)</w:t>
          </w:r>
          <w:r>
            <w:rPr>
              <w:rFonts w:ascii="Georgia" w:hAnsi="Georgia"/>
            </w:rPr>
            <w:fldChar w:fldCharType="end"/>
          </w:r>
        </w:sdtContent>
      </w:sdt>
    </w:p>
    <w:p w14:paraId="7662EF36" w14:textId="77777777" w:rsidR="00D07EE4" w:rsidRPr="00304F43" w:rsidRDefault="00D07EE4" w:rsidP="00D07EE4">
      <w:pPr>
        <w:spacing w:after="160" w:line="278" w:lineRule="auto"/>
        <w:rPr>
          <w:rFonts w:ascii="Georgia" w:hAnsi="Georgia"/>
        </w:rPr>
      </w:pPr>
      <w:r w:rsidRPr="00304F43">
        <w:rPr>
          <w:rFonts w:ascii="Georgia" w:hAnsi="Georgia"/>
        </w:rPr>
        <w:t>Strategic Recommendations</w:t>
      </w:r>
    </w:p>
    <w:p w14:paraId="4C7FF097" w14:textId="77777777" w:rsidR="00D07EE4" w:rsidRPr="00304F43" w:rsidRDefault="00D07EE4" w:rsidP="00D07EE4">
      <w:pPr>
        <w:numPr>
          <w:ilvl w:val="0"/>
          <w:numId w:val="3"/>
        </w:numPr>
        <w:spacing w:after="160" w:line="278" w:lineRule="auto"/>
        <w:rPr>
          <w:rFonts w:ascii="Georgia" w:hAnsi="Georgia"/>
        </w:rPr>
      </w:pPr>
      <w:r w:rsidRPr="00304F43">
        <w:rPr>
          <w:rFonts w:ascii="Georgia" w:hAnsi="Georgia"/>
        </w:rPr>
        <w:t xml:space="preserve">Digital Revenue Model Development: Invest in </w:t>
      </w:r>
      <w:proofErr w:type="spellStart"/>
      <w:r w:rsidRPr="00304F43">
        <w:rPr>
          <w:rFonts w:ascii="Georgia" w:hAnsi="Georgia"/>
        </w:rPr>
        <w:t>monetised</w:t>
      </w:r>
      <w:proofErr w:type="spellEnd"/>
      <w:r w:rsidRPr="00304F43">
        <w:rPr>
          <w:rFonts w:ascii="Georgia" w:hAnsi="Georgia"/>
        </w:rPr>
        <w:t xml:space="preserve"> streaming platforms and digital content channels to reach international audiences and </w:t>
      </w:r>
      <w:proofErr w:type="spellStart"/>
      <w:r w:rsidRPr="00304F43">
        <w:rPr>
          <w:rFonts w:ascii="Georgia" w:hAnsi="Georgia"/>
        </w:rPr>
        <w:t>monetise</w:t>
      </w:r>
      <w:proofErr w:type="spellEnd"/>
      <w:r w:rsidRPr="00304F43">
        <w:rPr>
          <w:rFonts w:ascii="Georgia" w:hAnsi="Georgia"/>
        </w:rPr>
        <w:t xml:space="preserve"> fan engagement</w:t>
      </w:r>
      <w:r>
        <w:rPr>
          <w:rFonts w:ascii="Georgia" w:hAnsi="Georgia"/>
        </w:rPr>
        <w:t>.</w:t>
      </w:r>
    </w:p>
    <w:p w14:paraId="633DA200" w14:textId="77777777" w:rsidR="00D07EE4" w:rsidRPr="00304F43" w:rsidRDefault="00D07EE4" w:rsidP="00D07EE4">
      <w:pPr>
        <w:numPr>
          <w:ilvl w:val="0"/>
          <w:numId w:val="3"/>
        </w:numPr>
        <w:spacing w:after="160" w:line="278" w:lineRule="auto"/>
        <w:rPr>
          <w:rFonts w:ascii="Georgia" w:hAnsi="Georgia"/>
        </w:rPr>
      </w:pPr>
      <w:r w:rsidRPr="00304F43">
        <w:rPr>
          <w:rFonts w:ascii="Georgia" w:hAnsi="Georgia"/>
        </w:rPr>
        <w:t>Talent Monetisation Strategy: Position the league as a “development league” feeding larger markets, leveraging youth systems to generate transfer revenues and establish brand credibility</w:t>
      </w:r>
      <w:r>
        <w:rPr>
          <w:rFonts w:ascii="Georgia" w:hAnsi="Georgia"/>
        </w:rPr>
        <w:t>.</w:t>
      </w:r>
    </w:p>
    <w:p w14:paraId="4E7CCF56" w14:textId="77777777" w:rsidR="00D07EE4" w:rsidRPr="00304F43" w:rsidRDefault="00D07EE4" w:rsidP="00D07EE4">
      <w:pPr>
        <w:numPr>
          <w:ilvl w:val="0"/>
          <w:numId w:val="3"/>
        </w:numPr>
        <w:spacing w:after="160" w:line="278" w:lineRule="auto"/>
        <w:rPr>
          <w:rFonts w:ascii="Georgia" w:hAnsi="Georgia"/>
        </w:rPr>
      </w:pPr>
      <w:r w:rsidRPr="00304F43">
        <w:rPr>
          <w:rFonts w:ascii="Georgia" w:hAnsi="Georgia"/>
        </w:rPr>
        <w:t xml:space="preserve">Sustainable Operations: Adopt low-cost environmental initiatives—such as energy efficiency, recycling, or community projects—to enhance brand image and appeal to socially conscious stakeholders </w:t>
      </w:r>
      <w:sdt>
        <w:sdtPr>
          <w:rPr>
            <w:rFonts w:ascii="Georgia" w:hAnsi="Georgia"/>
          </w:rPr>
          <w:id w:val="507026330"/>
          <w:citation/>
        </w:sdtPr>
        <w:sdtContent>
          <w:r>
            <w:rPr>
              <w:rFonts w:ascii="Georgia" w:hAnsi="Georgia"/>
            </w:rPr>
            <w:fldChar w:fldCharType="begin"/>
          </w:r>
          <w:r>
            <w:rPr>
              <w:rFonts w:ascii="Georgia" w:hAnsi="Georgia"/>
            </w:rPr>
            <w:instrText xml:space="preserve"> CITATION Smi23 \l 2057 </w:instrText>
          </w:r>
          <w:r>
            <w:rPr>
              <w:rFonts w:ascii="Georgia" w:hAnsi="Georgia"/>
            </w:rPr>
            <w:fldChar w:fldCharType="separate"/>
          </w:r>
          <w:r w:rsidRPr="00202399">
            <w:rPr>
              <w:rFonts w:ascii="Georgia" w:hAnsi="Georgia"/>
              <w:noProof/>
            </w:rPr>
            <w:t>(Smith, 2023)</w:t>
          </w:r>
          <w:r>
            <w:rPr>
              <w:rFonts w:ascii="Georgia" w:hAnsi="Georgia"/>
            </w:rPr>
            <w:fldChar w:fldCharType="end"/>
          </w:r>
        </w:sdtContent>
      </w:sdt>
    </w:p>
    <w:p w14:paraId="252B0151" w14:textId="77777777" w:rsidR="00D07EE4" w:rsidRPr="00304F43" w:rsidRDefault="00D07EE4" w:rsidP="00D07EE4">
      <w:pPr>
        <w:numPr>
          <w:ilvl w:val="0"/>
          <w:numId w:val="3"/>
        </w:numPr>
        <w:spacing w:after="160" w:line="278" w:lineRule="auto"/>
        <w:rPr>
          <w:rFonts w:ascii="Georgia" w:hAnsi="Georgia"/>
        </w:rPr>
      </w:pPr>
      <w:r w:rsidRPr="00304F43">
        <w:rPr>
          <w:rFonts w:ascii="Georgia" w:hAnsi="Georgia"/>
        </w:rPr>
        <w:t xml:space="preserve">Strategic </w:t>
      </w:r>
      <w:proofErr w:type="spellStart"/>
      <w:r w:rsidRPr="00304F43">
        <w:rPr>
          <w:rFonts w:ascii="Georgia" w:hAnsi="Georgia"/>
        </w:rPr>
        <w:t>Internationalisation</w:t>
      </w:r>
      <w:proofErr w:type="spellEnd"/>
      <w:r w:rsidRPr="00304F43">
        <w:rPr>
          <w:rFonts w:ascii="Georgia" w:hAnsi="Georgia"/>
        </w:rPr>
        <w:t xml:space="preserve">: Target niche international markets and diaspora communities to increase global visibility, sponsorship appeal, and fan engagement (Deloitte, 2025). </w:t>
      </w:r>
    </w:p>
    <w:p w14:paraId="7DDE498D" w14:textId="77777777" w:rsidR="00D07EE4" w:rsidRPr="00304F43" w:rsidRDefault="00D07EE4" w:rsidP="00D07EE4">
      <w:pPr>
        <w:spacing w:after="160" w:line="278" w:lineRule="auto"/>
        <w:rPr>
          <w:rFonts w:ascii="Georgia" w:hAnsi="Georgia"/>
        </w:rPr>
      </w:pPr>
      <w:r w:rsidRPr="00304F43">
        <w:rPr>
          <w:rFonts w:ascii="Georgia" w:hAnsi="Georgia"/>
        </w:rPr>
        <w:t xml:space="preserve">These recommendations </w:t>
      </w:r>
      <w:proofErr w:type="spellStart"/>
      <w:r w:rsidRPr="00304F43">
        <w:rPr>
          <w:rFonts w:ascii="Georgia" w:hAnsi="Georgia"/>
        </w:rPr>
        <w:t>recognise</w:t>
      </w:r>
      <w:proofErr w:type="spellEnd"/>
      <w:r w:rsidRPr="00304F43">
        <w:rPr>
          <w:rFonts w:ascii="Georgia" w:hAnsi="Georgia"/>
        </w:rPr>
        <w:t xml:space="preserve"> structural limitations while leveraging the league’s unique assets: youth development, community identity, and European competition access. They </w:t>
      </w:r>
      <w:proofErr w:type="spellStart"/>
      <w:r w:rsidRPr="00304F43">
        <w:rPr>
          <w:rFonts w:ascii="Georgia" w:hAnsi="Georgia"/>
        </w:rPr>
        <w:t>emphasise</w:t>
      </w:r>
      <w:proofErr w:type="spellEnd"/>
      <w:r w:rsidRPr="00304F43">
        <w:rPr>
          <w:rFonts w:ascii="Georgia" w:hAnsi="Georgia"/>
        </w:rPr>
        <w:t xml:space="preserve"> incremental, low-risk growth rather than direct competition with elite leagues, which is unlikely to be sustainable.</w:t>
      </w:r>
    </w:p>
    <w:p w14:paraId="53B8B137" w14:textId="77777777" w:rsidR="00D07EE4" w:rsidRPr="00304F43" w:rsidRDefault="00D07EE4" w:rsidP="00D07EE4">
      <w:pPr>
        <w:spacing w:after="160" w:line="278" w:lineRule="auto"/>
        <w:rPr>
          <w:rFonts w:ascii="Georgia" w:hAnsi="Georgia"/>
        </w:rPr>
      </w:pPr>
      <w:r w:rsidRPr="00304F43">
        <w:rPr>
          <w:rFonts w:ascii="Georgia" w:hAnsi="Georgia"/>
        </w:rPr>
        <w:t>Conclusion</w:t>
      </w:r>
    </w:p>
    <w:p w14:paraId="6F7362B8" w14:textId="77777777" w:rsidR="00D07EE4" w:rsidRPr="00304F43" w:rsidRDefault="00D07EE4" w:rsidP="00D07EE4">
      <w:pPr>
        <w:spacing w:after="160" w:line="278" w:lineRule="auto"/>
        <w:rPr>
          <w:rFonts w:ascii="Georgia" w:hAnsi="Georgia"/>
        </w:rPr>
      </w:pPr>
      <w:r w:rsidRPr="00304F43">
        <w:rPr>
          <w:rFonts w:ascii="Georgia" w:hAnsi="Georgia"/>
        </w:rPr>
        <w:t>Welsh domestic football faces significant structural and competitive challenges. Traditional strategic frameworks provide valuable insights, but their limitations highlight the need for contextual adaptation in semi-professional sporting contexts. Sustainable competitive advantage lies not in competing directly with elite leagues, but in leveraging unique assets such as youth development, community identity, and UEFA competition participation.</w:t>
      </w:r>
    </w:p>
    <w:p w14:paraId="389F2195" w14:textId="77777777" w:rsidR="00D07EE4" w:rsidRPr="00304F43" w:rsidRDefault="00D07EE4" w:rsidP="00D07EE4">
      <w:pPr>
        <w:spacing w:after="160" w:line="278" w:lineRule="auto"/>
        <w:rPr>
          <w:rFonts w:ascii="Georgia" w:hAnsi="Georgia"/>
        </w:rPr>
      </w:pPr>
      <w:r w:rsidRPr="00304F43">
        <w:rPr>
          <w:rFonts w:ascii="Georgia" w:hAnsi="Georgia"/>
        </w:rPr>
        <w:t xml:space="preserve">Strategic management within this environment requires innovation, adaptability, and a long-term sustainability focus, combining digital engagement, talent development, and </w:t>
      </w:r>
      <w:proofErr w:type="spellStart"/>
      <w:r w:rsidRPr="00304F43">
        <w:rPr>
          <w:rFonts w:ascii="Georgia" w:hAnsi="Georgia"/>
        </w:rPr>
        <w:t>internationalisation</w:t>
      </w:r>
      <w:proofErr w:type="spellEnd"/>
      <w:r w:rsidRPr="00304F43">
        <w:rPr>
          <w:rFonts w:ascii="Georgia" w:hAnsi="Georgia"/>
        </w:rPr>
        <w:t xml:space="preserve"> to create incremental but meaningful competitive </w:t>
      </w:r>
      <w:proofErr w:type="gramStart"/>
      <w:r w:rsidRPr="00304F43">
        <w:rPr>
          <w:rFonts w:ascii="Georgia" w:hAnsi="Georgia"/>
        </w:rPr>
        <w:t>advantage</w:t>
      </w:r>
      <w:proofErr w:type="gramEnd"/>
      <w:r w:rsidRPr="00304F43">
        <w:rPr>
          <w:rFonts w:ascii="Georgia" w:hAnsi="Georgia"/>
        </w:rPr>
        <w:t xml:space="preserve"> </w:t>
      </w:r>
    </w:p>
    <w:sdt>
      <w:sdtPr>
        <w:id w:val="-145670620"/>
        <w:docPartObj>
          <w:docPartGallery w:val="Bibliographies"/>
          <w:docPartUnique/>
        </w:docPartObj>
      </w:sdtPr>
      <w:sdtEndPr>
        <w:rPr>
          <w:rFonts w:asciiTheme="minorHAnsi" w:hAnsiTheme="minorHAnsi"/>
          <w:b w:val="0"/>
          <w:color w:val="auto"/>
          <w:sz w:val="24"/>
          <w:szCs w:val="24"/>
        </w:rPr>
      </w:sdtEndPr>
      <w:sdtContent>
        <w:p w14:paraId="4BD82AF8" w14:textId="77777777" w:rsidR="00D07EE4" w:rsidRDefault="00D07EE4" w:rsidP="00D07EE4">
          <w:pPr>
            <w:pStyle w:val="Heading1"/>
          </w:pPr>
          <w:r>
            <w:t>References</w:t>
          </w:r>
        </w:p>
        <w:sdt>
          <w:sdtPr>
            <w:id w:val="-573587230"/>
            <w:bibliography/>
          </w:sdtPr>
          <w:sdtEndPr>
            <w:rPr>
              <w:kern w:val="0"/>
              <w:lang w:val="en-US"/>
              <w14:ligatures w14:val="none"/>
            </w:rPr>
          </w:sdtEndPr>
          <w:sdtContent>
            <w:p w14:paraId="3EF53DC4" w14:textId="77777777" w:rsidR="00D07EE4" w:rsidRDefault="00D07EE4" w:rsidP="00D07EE4">
              <w:pPr>
                <w:pStyle w:val="Bibliography"/>
                <w:rPr>
                  <w:noProof/>
                  <w:kern w:val="0"/>
                  <w14:ligatures w14:val="none"/>
                </w:rPr>
              </w:pPr>
              <w:r>
                <w:fldChar w:fldCharType="begin"/>
              </w:r>
              <w:r>
                <w:instrText xml:space="preserve"> BIBLIOGRAPHY </w:instrText>
              </w:r>
              <w:r>
                <w:fldChar w:fldCharType="separate"/>
              </w:r>
              <w:r>
                <w:rPr>
                  <w:noProof/>
                </w:rPr>
                <w:t>Barney, J., 1991. Firm Resources and Sustained Competitive Advantage. Journal of Management. In: s.l.:s.n., pp. 99-120.</w:t>
              </w:r>
            </w:p>
            <w:p w14:paraId="614F6197" w14:textId="77777777" w:rsidR="00D07EE4" w:rsidRDefault="00D07EE4" w:rsidP="00D07EE4">
              <w:pPr>
                <w:pStyle w:val="Bibliography"/>
                <w:rPr>
                  <w:noProof/>
                </w:rPr>
              </w:pPr>
              <w:r>
                <w:rPr>
                  <w:noProof/>
                </w:rPr>
                <w:t xml:space="preserve">Conn, D., 1997. </w:t>
              </w:r>
              <w:r>
                <w:rPr>
                  <w:i/>
                  <w:iCs/>
                  <w:noProof/>
                </w:rPr>
                <w:t xml:space="preserve">The Football Business:. </w:t>
              </w:r>
              <w:r>
                <w:rPr>
                  <w:noProof/>
                </w:rPr>
                <w:t>s.l.:s.n.</w:t>
              </w:r>
            </w:p>
            <w:p w14:paraId="3D5FD272" w14:textId="77777777" w:rsidR="00D07EE4" w:rsidRDefault="00D07EE4" w:rsidP="00D07EE4">
              <w:pPr>
                <w:pStyle w:val="Bibliography"/>
                <w:rPr>
                  <w:noProof/>
                </w:rPr>
              </w:pPr>
              <w:r>
                <w:rPr>
                  <w:noProof/>
                </w:rPr>
                <w:t xml:space="preserve">Deloitte, 2025. </w:t>
              </w:r>
              <w:r>
                <w:rPr>
                  <w:i/>
                  <w:iCs/>
                  <w:noProof/>
                </w:rPr>
                <w:t xml:space="preserve">Annual Review of Football Finance 2025. </w:t>
              </w:r>
              <w:r>
                <w:rPr>
                  <w:noProof/>
                </w:rPr>
                <w:t xml:space="preserve">[Online] </w:t>
              </w:r>
              <w:r>
                <w:rPr>
                  <w:noProof/>
                </w:rPr>
                <w:br/>
                <w:t xml:space="preserve">Available at: </w:t>
              </w:r>
              <w:r>
                <w:rPr>
                  <w:noProof/>
                  <w:u w:val="single"/>
                </w:rPr>
                <w:t>https://www.deloitte.com/uk/en/services/consulting/research/annual-review-of-football-finance-europe.html</w:t>
              </w:r>
              <w:r>
                <w:rPr>
                  <w:noProof/>
                </w:rPr>
                <w:br/>
                <w:t>[Accessed 20 March 2026].</w:t>
              </w:r>
            </w:p>
            <w:p w14:paraId="20192B2B" w14:textId="77777777" w:rsidR="00D07EE4" w:rsidRDefault="00D07EE4" w:rsidP="00D07EE4">
              <w:pPr>
                <w:pStyle w:val="Bibliography"/>
                <w:rPr>
                  <w:noProof/>
                </w:rPr>
              </w:pPr>
              <w:r>
                <w:rPr>
                  <w:noProof/>
                </w:rPr>
                <w:t xml:space="preserve">Grant, R., 1991. </w:t>
              </w:r>
              <w:r>
                <w:rPr>
                  <w:i/>
                  <w:iCs/>
                  <w:noProof/>
                </w:rPr>
                <w:t xml:space="preserve">The Resource-Based Theory of Competitive Advantage. </w:t>
              </w:r>
              <w:r>
                <w:rPr>
                  <w:noProof/>
                </w:rPr>
                <w:t>s.l.:s.n.</w:t>
              </w:r>
            </w:p>
            <w:p w14:paraId="0099DC9A" w14:textId="77777777" w:rsidR="00D07EE4" w:rsidRDefault="00D07EE4" w:rsidP="00D07EE4">
              <w:pPr>
                <w:pStyle w:val="Bibliography"/>
                <w:rPr>
                  <w:noProof/>
                </w:rPr>
              </w:pPr>
              <w:r>
                <w:rPr>
                  <w:noProof/>
                </w:rPr>
                <w:t xml:space="preserve">Morrow, S., 2003. </w:t>
              </w:r>
              <w:r>
                <w:rPr>
                  <w:i/>
                  <w:iCs/>
                  <w:noProof/>
                </w:rPr>
                <w:t xml:space="preserve">The People's Game?: Football, Finance and Society. </w:t>
              </w:r>
              <w:r>
                <w:rPr>
                  <w:noProof/>
                </w:rPr>
                <w:t>s.l.:s.n.</w:t>
              </w:r>
            </w:p>
            <w:p w14:paraId="29B0BA77" w14:textId="77777777" w:rsidR="00D07EE4" w:rsidRDefault="00D07EE4" w:rsidP="00D07EE4">
              <w:pPr>
                <w:pStyle w:val="Bibliography"/>
                <w:rPr>
                  <w:noProof/>
                </w:rPr>
              </w:pPr>
              <w:r>
                <w:rPr>
                  <w:noProof/>
                </w:rPr>
                <w:lastRenderedPageBreak/>
                <w:t xml:space="preserve">Peterdy, P., 2022. </w:t>
              </w:r>
              <w:r>
                <w:rPr>
                  <w:i/>
                  <w:iCs/>
                  <w:noProof/>
                </w:rPr>
                <w:t xml:space="preserve">CFI - Ansoff Matrix. </w:t>
              </w:r>
              <w:r>
                <w:rPr>
                  <w:noProof/>
                </w:rPr>
                <w:t xml:space="preserve">[Online] </w:t>
              </w:r>
              <w:r>
                <w:rPr>
                  <w:noProof/>
                </w:rPr>
                <w:br/>
                <w:t xml:space="preserve">Available at: </w:t>
              </w:r>
              <w:r>
                <w:rPr>
                  <w:noProof/>
                  <w:u w:val="single"/>
                </w:rPr>
                <w:t>https://corporatefinanceinstitute.com/resources/management/ansoff-matrix/</w:t>
              </w:r>
              <w:r>
                <w:rPr>
                  <w:noProof/>
                </w:rPr>
                <w:br/>
                <w:t>[Accessed 20 March 2026].</w:t>
              </w:r>
            </w:p>
            <w:p w14:paraId="7BEE3BBF" w14:textId="77777777" w:rsidR="00D07EE4" w:rsidRDefault="00D07EE4" w:rsidP="00D07EE4">
              <w:pPr>
                <w:pStyle w:val="Bibliography"/>
                <w:rPr>
                  <w:noProof/>
                </w:rPr>
              </w:pPr>
              <w:r>
                <w:rPr>
                  <w:noProof/>
                </w:rPr>
                <w:t xml:space="preserve">Porter, M. E., 2008. </w:t>
              </w:r>
              <w:r>
                <w:rPr>
                  <w:i/>
                  <w:iCs/>
                  <w:noProof/>
                </w:rPr>
                <w:t xml:space="preserve">The Five Competitive Forces That Shape Strategy, </w:t>
              </w:r>
              <w:r>
                <w:rPr>
                  <w:noProof/>
                </w:rPr>
                <w:t>s.l.: Harvard Business School.</w:t>
              </w:r>
            </w:p>
            <w:p w14:paraId="7D7715E4" w14:textId="77777777" w:rsidR="00D07EE4" w:rsidRDefault="00D07EE4" w:rsidP="00D07EE4">
              <w:pPr>
                <w:pStyle w:val="Bibliography"/>
                <w:rPr>
                  <w:noProof/>
                </w:rPr>
              </w:pPr>
              <w:r>
                <w:rPr>
                  <w:noProof/>
                </w:rPr>
                <w:t xml:space="preserve">PWC, 2023. </w:t>
              </w:r>
              <w:r>
                <w:rPr>
                  <w:i/>
                  <w:iCs/>
                  <w:noProof/>
                </w:rPr>
                <w:t xml:space="preserve">Sports industry: Bouncing back. </w:t>
              </w:r>
              <w:r>
                <w:rPr>
                  <w:noProof/>
                </w:rPr>
                <w:t xml:space="preserve">[Online] </w:t>
              </w:r>
              <w:r>
                <w:rPr>
                  <w:noProof/>
                </w:rPr>
                <w:br/>
                <w:t xml:space="preserve">Available at: </w:t>
              </w:r>
              <w:r>
                <w:rPr>
                  <w:noProof/>
                  <w:u w:val="single"/>
                </w:rPr>
                <w:t>https://www.pwc.co.uk/industries/hospitality-leisure/insights/sports-survey/2023.html</w:t>
              </w:r>
              <w:r>
                <w:rPr>
                  <w:noProof/>
                </w:rPr>
                <w:br/>
                <w:t>[Accessed 20 March 2026].</w:t>
              </w:r>
            </w:p>
            <w:p w14:paraId="5C8FCC07" w14:textId="77777777" w:rsidR="00D07EE4" w:rsidRDefault="00D07EE4" w:rsidP="00D07EE4">
              <w:pPr>
                <w:pStyle w:val="Bibliography"/>
                <w:rPr>
                  <w:noProof/>
                </w:rPr>
              </w:pPr>
              <w:r>
                <w:rPr>
                  <w:noProof/>
                </w:rPr>
                <w:t xml:space="preserve">Samuel, A., Bull, M. &amp; White, G. R. T., 2025. Exploring ecopreneurship and value creation: a case study of Forest Green Rovers Football Club. In: </w:t>
              </w:r>
              <w:r>
                <w:rPr>
                  <w:i/>
                  <w:iCs/>
                  <w:noProof/>
                </w:rPr>
                <w:t xml:space="preserve">International Journal of Entrepreneurial Behavior &amp; Research. </w:t>
              </w:r>
              <w:r>
                <w:rPr>
                  <w:noProof/>
                </w:rPr>
                <w:t>s.l.:s.n., pp. 505-528.</w:t>
              </w:r>
            </w:p>
            <w:p w14:paraId="139320A8" w14:textId="77777777" w:rsidR="00D07EE4" w:rsidRDefault="00D07EE4" w:rsidP="00D07EE4">
              <w:pPr>
                <w:pStyle w:val="Bibliography"/>
                <w:rPr>
                  <w:noProof/>
                </w:rPr>
              </w:pPr>
              <w:r>
                <w:rPr>
                  <w:noProof/>
                </w:rPr>
                <w:t xml:space="preserve">Serrano, R. A. I. F. S. a. E. E. M., 2023. </w:t>
              </w:r>
              <w:r>
                <w:rPr>
                  <w:i/>
                  <w:iCs/>
                  <w:noProof/>
                </w:rPr>
                <w:t>Financial Fair Play and Competitive Balance in European Football: A Long</w:t>
              </w:r>
              <w:r>
                <w:rPr>
                  <w:i/>
                  <w:iCs/>
                  <w:noProof/>
                </w:rPr>
                <w:noBreakHyphen/>
                <w:t xml:space="preserve">Term Perspective. Sport, Business and Management: An International Journal., </w:t>
              </w:r>
              <w:r>
                <w:rPr>
                  <w:noProof/>
                </w:rPr>
                <w:t>s.l.: s.n.</w:t>
              </w:r>
            </w:p>
            <w:p w14:paraId="0E588707" w14:textId="77777777" w:rsidR="00D07EE4" w:rsidRDefault="00D07EE4" w:rsidP="00D07EE4">
              <w:pPr>
                <w:pStyle w:val="Bibliography"/>
                <w:rPr>
                  <w:noProof/>
                </w:rPr>
              </w:pPr>
              <w:r>
                <w:rPr>
                  <w:noProof/>
                </w:rPr>
                <w:t xml:space="preserve">Smith, O., 2023. </w:t>
              </w:r>
              <w:r>
                <w:rPr>
                  <w:i/>
                  <w:iCs/>
                  <w:noProof/>
                </w:rPr>
                <w:t xml:space="preserve">Sustainability in sport will take sacrifices, </w:t>
              </w:r>
              <w:r>
                <w:rPr>
                  <w:noProof/>
                </w:rPr>
                <w:t>s.l.: Winter Olympics.</w:t>
              </w:r>
            </w:p>
            <w:p w14:paraId="7540E1A5" w14:textId="77777777" w:rsidR="00D07EE4" w:rsidRDefault="00D07EE4" w:rsidP="00D07EE4">
              <w:pPr>
                <w:pStyle w:val="Bibliography"/>
                <w:rPr>
                  <w:noProof/>
                </w:rPr>
              </w:pPr>
              <w:r>
                <w:rPr>
                  <w:noProof/>
                </w:rPr>
                <w:t xml:space="preserve">UEFA, 2022. </w:t>
              </w:r>
              <w:r>
                <w:rPr>
                  <w:i/>
                  <w:iCs/>
                  <w:noProof/>
                </w:rPr>
                <w:t xml:space="preserve">UEFA and grassroots football. </w:t>
              </w:r>
              <w:r>
                <w:rPr>
                  <w:noProof/>
                </w:rPr>
                <w:t xml:space="preserve">[Online] </w:t>
              </w:r>
              <w:r>
                <w:rPr>
                  <w:noProof/>
                </w:rPr>
                <w:br/>
                <w:t xml:space="preserve">Available at: </w:t>
              </w:r>
              <w:r>
                <w:rPr>
                  <w:noProof/>
                  <w:u w:val="single"/>
                </w:rPr>
                <w:t>https://www.uefa.com/development/grassroots/overview/</w:t>
              </w:r>
              <w:r>
                <w:rPr>
                  <w:noProof/>
                </w:rPr>
                <w:br/>
                <w:t>[Accessed 20 March 2026].</w:t>
              </w:r>
            </w:p>
            <w:p w14:paraId="551D696E" w14:textId="77777777" w:rsidR="00D07EE4" w:rsidRDefault="00D07EE4" w:rsidP="00D07EE4">
              <w:pPr>
                <w:pStyle w:val="Bibliography"/>
                <w:rPr>
                  <w:noProof/>
                </w:rPr>
              </w:pPr>
              <w:r>
                <w:rPr>
                  <w:noProof/>
                </w:rPr>
                <w:t xml:space="preserve">UEFA, 2023. </w:t>
              </w:r>
              <w:r>
                <w:rPr>
                  <w:i/>
                  <w:iCs/>
                  <w:noProof/>
                </w:rPr>
                <w:t xml:space="preserve">The European Club Finance and Investment Landscape. </w:t>
              </w:r>
              <w:r>
                <w:rPr>
                  <w:noProof/>
                </w:rPr>
                <w:t xml:space="preserve">[Online] </w:t>
              </w:r>
              <w:r>
                <w:rPr>
                  <w:noProof/>
                </w:rPr>
                <w:br/>
                <w:t xml:space="preserve">Available at: </w:t>
              </w:r>
              <w:r>
                <w:rPr>
                  <w:noProof/>
                  <w:u w:val="single"/>
                </w:rPr>
                <w:t>https://ecfil.uefa.com/2023</w:t>
              </w:r>
              <w:r>
                <w:rPr>
                  <w:noProof/>
                </w:rPr>
                <w:br/>
                <w:t>[Accessed 20 March 2026].</w:t>
              </w:r>
            </w:p>
            <w:p w14:paraId="64628FC7" w14:textId="77777777" w:rsidR="00D07EE4" w:rsidRDefault="00D07EE4" w:rsidP="00D07EE4">
              <w:pPr>
                <w:pStyle w:val="Bibliography"/>
                <w:rPr>
                  <w:noProof/>
                </w:rPr>
              </w:pPr>
              <w:r>
                <w:rPr>
                  <w:noProof/>
                </w:rPr>
                <w:t xml:space="preserve">UEFA, 2026. </w:t>
              </w:r>
              <w:r>
                <w:rPr>
                  <w:i/>
                  <w:iCs/>
                  <w:noProof/>
                </w:rPr>
                <w:t xml:space="preserve">The European Club Finance and Investment Landscape. </w:t>
              </w:r>
              <w:r>
                <w:rPr>
                  <w:noProof/>
                </w:rPr>
                <w:t xml:space="preserve">[Online] </w:t>
              </w:r>
              <w:r>
                <w:rPr>
                  <w:noProof/>
                </w:rPr>
                <w:br/>
                <w:t xml:space="preserve">Available at: </w:t>
              </w:r>
              <w:r>
                <w:rPr>
                  <w:noProof/>
                  <w:u w:val="single"/>
                </w:rPr>
                <w:t>https://ecfil.uefa.com/2024</w:t>
              </w:r>
              <w:r>
                <w:rPr>
                  <w:noProof/>
                </w:rPr>
                <w:br/>
                <w:t>[Accessed 20 March 2026].</w:t>
              </w:r>
            </w:p>
            <w:p w14:paraId="3432B7EF" w14:textId="77777777" w:rsidR="00D07EE4" w:rsidRDefault="00D07EE4" w:rsidP="00D07EE4">
              <w:r>
                <w:rPr>
                  <w:b/>
                  <w:bCs/>
                  <w:noProof/>
                </w:rPr>
                <w:fldChar w:fldCharType="end"/>
              </w:r>
            </w:p>
          </w:sdtContent>
        </w:sdt>
      </w:sdtContent>
    </w:sdt>
    <w:p w14:paraId="00E9F33D" w14:textId="562DC478" w:rsidR="00EB7C2B" w:rsidRDefault="00EB7C2B" w:rsidP="00381650"/>
    <w:sectPr w:rsidR="00EB7C2B" w:rsidSect="00A61A31">
      <w:pgSz w:w="12240" w:h="15840" w:code="1"/>
      <w:pgMar w:top="720" w:right="720" w:bottom="0" w:left="720" w:header="0" w:footer="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2205B2" w14:textId="77777777" w:rsidR="009A1DBC" w:rsidRDefault="009A1DBC" w:rsidP="00E74B29">
      <w:r>
        <w:separator/>
      </w:r>
    </w:p>
  </w:endnote>
  <w:endnote w:type="continuationSeparator" w:id="0">
    <w:p w14:paraId="3CDA32BD" w14:textId="77777777" w:rsidR="009A1DBC" w:rsidRDefault="009A1DBC"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F51C5" w14:textId="77777777" w:rsidR="009A1DBC" w:rsidRDefault="009A1DBC" w:rsidP="00E74B29">
      <w:r>
        <w:separator/>
      </w:r>
    </w:p>
  </w:footnote>
  <w:footnote w:type="continuationSeparator" w:id="0">
    <w:p w14:paraId="05C3F081" w14:textId="77777777" w:rsidR="009A1DBC" w:rsidRDefault="009A1DBC"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9545F"/>
    <w:multiLevelType w:val="multilevel"/>
    <w:tmpl w:val="341C7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497C6E53"/>
    <w:multiLevelType w:val="multilevel"/>
    <w:tmpl w:val="48FEC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2495468">
    <w:abstractNumId w:val="1"/>
  </w:num>
  <w:num w:numId="2" w16cid:durableId="943731330">
    <w:abstractNumId w:val="2"/>
  </w:num>
  <w:num w:numId="3" w16cid:durableId="777263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E47"/>
    <w:rsid w:val="00052F2D"/>
    <w:rsid w:val="00086FA5"/>
    <w:rsid w:val="000A7015"/>
    <w:rsid w:val="000E4641"/>
    <w:rsid w:val="00151F66"/>
    <w:rsid w:val="00157240"/>
    <w:rsid w:val="00177F8D"/>
    <w:rsid w:val="00185F4A"/>
    <w:rsid w:val="001E097E"/>
    <w:rsid w:val="001F4B42"/>
    <w:rsid w:val="002430FC"/>
    <w:rsid w:val="00287936"/>
    <w:rsid w:val="002D2200"/>
    <w:rsid w:val="00381650"/>
    <w:rsid w:val="003C7EF6"/>
    <w:rsid w:val="0040564B"/>
    <w:rsid w:val="0046530F"/>
    <w:rsid w:val="0048120C"/>
    <w:rsid w:val="004909D9"/>
    <w:rsid w:val="004C5781"/>
    <w:rsid w:val="004E1799"/>
    <w:rsid w:val="00521481"/>
    <w:rsid w:val="005706CD"/>
    <w:rsid w:val="005C3FE5"/>
    <w:rsid w:val="005E598B"/>
    <w:rsid w:val="00665110"/>
    <w:rsid w:val="006709F1"/>
    <w:rsid w:val="006C60E6"/>
    <w:rsid w:val="0071404F"/>
    <w:rsid w:val="007A62BB"/>
    <w:rsid w:val="007E7573"/>
    <w:rsid w:val="007F38BA"/>
    <w:rsid w:val="00837914"/>
    <w:rsid w:val="00874FE7"/>
    <w:rsid w:val="008764A0"/>
    <w:rsid w:val="008C65F0"/>
    <w:rsid w:val="008D2021"/>
    <w:rsid w:val="00952F7D"/>
    <w:rsid w:val="009A1DBC"/>
    <w:rsid w:val="009A38BA"/>
    <w:rsid w:val="00A03DF7"/>
    <w:rsid w:val="00A61A31"/>
    <w:rsid w:val="00A64F60"/>
    <w:rsid w:val="00AA4B08"/>
    <w:rsid w:val="00AF1920"/>
    <w:rsid w:val="00B43E11"/>
    <w:rsid w:val="00BC1E80"/>
    <w:rsid w:val="00BE53A3"/>
    <w:rsid w:val="00C46A11"/>
    <w:rsid w:val="00C77E47"/>
    <w:rsid w:val="00D077FC"/>
    <w:rsid w:val="00D07EE4"/>
    <w:rsid w:val="00D22E99"/>
    <w:rsid w:val="00D43125"/>
    <w:rsid w:val="00D66A3A"/>
    <w:rsid w:val="00DB729F"/>
    <w:rsid w:val="00DD096C"/>
    <w:rsid w:val="00DF198B"/>
    <w:rsid w:val="00E74B29"/>
    <w:rsid w:val="00E85E3C"/>
    <w:rsid w:val="00EB7C2B"/>
    <w:rsid w:val="00F43D9E"/>
    <w:rsid w:val="00FB2F1A"/>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AE736F"/>
  <w15:chartTrackingRefBased/>
  <w15:docId w15:val="{7E2B5586-EC91-4759-84FD-B88DA414B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Bibliography">
    <w:name w:val="Bibliography"/>
    <w:basedOn w:val="Normal"/>
    <w:next w:val="Normal"/>
    <w:uiPriority w:val="37"/>
    <w:unhideWhenUsed/>
    <w:rsid w:val="00D07EE4"/>
    <w:pPr>
      <w:spacing w:after="160" w:line="278" w:lineRule="auto"/>
    </w:pPr>
    <w:rPr>
      <w:kern w:val="2"/>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live\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5DE1D349D744E4CA8FC710F4D9C1941"/>
        <w:category>
          <w:name w:val="General"/>
          <w:gallery w:val="placeholder"/>
        </w:category>
        <w:types>
          <w:type w:val="bbPlcHdr"/>
        </w:types>
        <w:behaviors>
          <w:behavior w:val="content"/>
        </w:behaviors>
        <w:guid w:val="{FB11B224-8B5B-4D39-A311-CA49ABB631C7}"/>
      </w:docPartPr>
      <w:docPartBody>
        <w:p w:rsidR="00000000" w:rsidRDefault="00000000">
          <w:pPr>
            <w:pStyle w:val="75DE1D349D744E4CA8FC710F4D9C1941"/>
          </w:pPr>
          <w:r w:rsidRPr="00DF198B">
            <w:t>—</w:t>
          </w:r>
        </w:p>
      </w:docPartBody>
    </w:docPart>
    <w:docPart>
      <w:docPartPr>
        <w:name w:val="E04F78D8A0044DFF8B7D656D5C4CCC36"/>
        <w:category>
          <w:name w:val="General"/>
          <w:gallery w:val="placeholder"/>
        </w:category>
        <w:types>
          <w:type w:val="bbPlcHdr"/>
        </w:types>
        <w:behaviors>
          <w:behavior w:val="content"/>
        </w:behaviors>
        <w:guid w:val="{C71F7656-32F3-4FAC-8054-2BE9E5721009}"/>
      </w:docPartPr>
      <w:docPartBody>
        <w:p w:rsidR="00000000" w:rsidRDefault="00000000">
          <w:pPr>
            <w:pStyle w:val="E04F78D8A0044DFF8B7D656D5C4CCC36"/>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02C"/>
    <w:rsid w:val="0058002C"/>
    <w:rsid w:val="007140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4E67831B454E3B804C4A900B32EB9A">
    <w:name w:val="0E4E67831B454E3B804C4A900B32EB9A"/>
  </w:style>
  <w:style w:type="paragraph" w:customStyle="1" w:styleId="FF749D98273A45F0811FDD33DF531177">
    <w:name w:val="FF749D98273A45F0811FDD33DF531177"/>
  </w:style>
  <w:style w:type="paragraph" w:customStyle="1" w:styleId="1C1E5F31BCD345E095A3743953C1625D">
    <w:name w:val="1C1E5F31BCD345E095A3743953C1625D"/>
  </w:style>
  <w:style w:type="paragraph" w:customStyle="1" w:styleId="75DE1D349D744E4CA8FC710F4D9C1941">
    <w:name w:val="75DE1D349D744E4CA8FC710F4D9C1941"/>
  </w:style>
  <w:style w:type="paragraph" w:customStyle="1" w:styleId="EBE6F1E9ED4B425497310C568D4FCC0B">
    <w:name w:val="EBE6F1E9ED4B425497310C568D4FCC0B"/>
  </w:style>
  <w:style w:type="paragraph" w:customStyle="1" w:styleId="E04F78D8A0044DFF8B7D656D5C4CCC36">
    <w:name w:val="E04F78D8A0044DFF8B7D656D5C4CCC36"/>
  </w:style>
  <w:style w:type="paragraph" w:customStyle="1" w:styleId="FF4A1E38F1BB49679833DBE4521BE19A">
    <w:name w:val="FF4A1E38F1BB49679833DBE4521BE19A"/>
  </w:style>
  <w:style w:type="paragraph" w:customStyle="1" w:styleId="6A0840DA53F44EE8A5A3B90E21240AA1">
    <w:name w:val="6A0840DA53F44EE8A5A3B90E21240AA1"/>
  </w:style>
  <w:style w:type="paragraph" w:customStyle="1" w:styleId="Text">
    <w:name w:val="Text"/>
    <w:basedOn w:val="Normal"/>
    <w:uiPriority w:val="5"/>
    <w:qFormat/>
    <w:pPr>
      <w:spacing w:after="0" w:line="240" w:lineRule="auto"/>
    </w:pPr>
    <w:rPr>
      <w:rFonts w:eastAsiaTheme="minorHAnsi"/>
      <w:kern w:val="0"/>
      <w:sz w:val="28"/>
      <w:szCs w:val="28"/>
      <w:lang w:val="en-US" w:eastAsia="en-US"/>
      <w14:ligatures w14:val="none"/>
    </w:rPr>
  </w:style>
  <w:style w:type="paragraph" w:customStyle="1" w:styleId="239755C018E54455B723989491811BAE">
    <w:name w:val="239755C018E54455B723989491811BAE"/>
  </w:style>
  <w:style w:type="paragraph" w:customStyle="1" w:styleId="9F20147FCBC94B62961D9DBFD6C972D2">
    <w:name w:val="9F20147FCBC94B62961D9DBFD6C972D2"/>
  </w:style>
  <w:style w:type="paragraph" w:customStyle="1" w:styleId="B4F6F88B995D4FB6BD83497F741749B1">
    <w:name w:val="B4F6F88B995D4FB6BD83497F741749B1"/>
  </w:style>
  <w:style w:type="paragraph" w:customStyle="1" w:styleId="2BAC795F8FB54DBD8F5286A1DA635F65">
    <w:name w:val="2BAC795F8FB54DBD8F5286A1DA635F65"/>
  </w:style>
  <w:style w:type="paragraph" w:customStyle="1" w:styleId="0D8CB175857C496480F2749385FC9FA9">
    <w:name w:val="0D8CB175857C496480F2749385FC9FA9"/>
  </w:style>
  <w:style w:type="paragraph" w:customStyle="1" w:styleId="5B4310AF1C8543ECB72D46E6044D1239">
    <w:name w:val="5B4310AF1C8543ECB72D46E6044D1239"/>
  </w:style>
  <w:style w:type="paragraph" w:customStyle="1" w:styleId="6FE352BC7F394D86B13F34BA0D9AD66B">
    <w:name w:val="6FE352BC7F394D86B13F34BA0D9AD66B"/>
  </w:style>
  <w:style w:type="paragraph" w:customStyle="1" w:styleId="53ED9DBA4C734A8685BC91F53BF2DB0E">
    <w:name w:val="53ED9DBA4C734A8685BC91F53BF2DB0E"/>
  </w:style>
  <w:style w:type="paragraph" w:customStyle="1" w:styleId="F082D550476F4DA0942CB844EA743B6E">
    <w:name w:val="F082D550476F4DA0942CB844EA743B6E"/>
  </w:style>
  <w:style w:type="paragraph" w:customStyle="1" w:styleId="1FF71AE6F50E4D0FA2E340360C3421DE">
    <w:name w:val="1FF71AE6F50E4D0FA2E340360C3421DE"/>
  </w:style>
  <w:style w:type="paragraph" w:customStyle="1" w:styleId="47D89CE611DA4220980AF45DF273B45E">
    <w:name w:val="47D89CE611DA4220980AF45DF273B45E"/>
  </w:style>
  <w:style w:type="paragraph" w:customStyle="1" w:styleId="B9F51C674F4D4AF9A6C6CFB799F6AF23">
    <w:name w:val="B9F51C674F4D4AF9A6C6CFB799F6AF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UEF22</b:Tag>
    <b:SourceType>InternetSite</b:SourceType>
    <b:Guid>{BE2F2054-2C65-4496-BDDB-D40C193EBDCE}</b:Guid>
    <b:Author>
      <b:Author>
        <b:Corporate>UEFA</b:Corporate>
      </b:Author>
    </b:Author>
    <b:Title>UEFA and grassroots football</b:Title>
    <b:Year>2022</b:Year>
    <b:YearAccessed>2026</b:YearAccessed>
    <b:MonthAccessed>March</b:MonthAccessed>
    <b:DayAccessed>20</b:DayAccessed>
    <b:URL>https://www.uefa.com/development/grassroots/overview/</b:URL>
    <b:RefOrder>1</b:RefOrder>
  </b:Source>
  <b:Source>
    <b:Tag>UEF26</b:Tag>
    <b:SourceType>InternetSite</b:SourceType>
    <b:Guid>{DC647709-E35D-4FC0-88D9-918B2CE16FFB}</b:Guid>
    <b:Title>The European Club Finance and Investment Landscape</b:Title>
    <b:Year>2026</b:Year>
    <b:Author>
      <b:Author>
        <b:Corporate>UEFA</b:Corporate>
      </b:Author>
    </b:Author>
    <b:YearAccessed>2026</b:YearAccessed>
    <b:MonthAccessed>March</b:MonthAccessed>
    <b:DayAccessed>20</b:DayAccessed>
    <b:URL>https://ecfil.uefa.com/2024</b:URL>
    <b:RefOrder>2</b:RefOrder>
  </b:Source>
  <b:Source>
    <b:Tag>Mor03</b:Tag>
    <b:SourceType>Book</b:SourceType>
    <b:Guid>{B7E9CBAE-460A-4647-BA54-77F44633BEDE}</b:Guid>
    <b:Title>The People's Game?: Football, Finance and Society</b:Title>
    <b:Year>2003</b:Year>
    <b:Author>
      <b:Author>
        <b:NameList>
          <b:Person>
            <b:Last>Morrow</b:Last>
            <b:First>Stephen</b:First>
          </b:Person>
        </b:NameList>
      </b:Author>
    </b:Author>
    <b:RefOrder>3</b:RefOrder>
  </b:Source>
  <b:Source>
    <b:Tag>PWC231</b:Tag>
    <b:SourceType>InternetSite</b:SourceType>
    <b:Guid>{A30453F2-C7C0-4571-B8F8-1EC66DD55C70}</b:Guid>
    <b:Title>Sports industry: Bouncing back</b:Title>
    <b:Year>2023</b:Year>
    <b:YearAccessed>2026</b:YearAccessed>
    <b:MonthAccessed>March</b:MonthAccessed>
    <b:DayAccessed>20</b:DayAccessed>
    <b:URL>https://www.pwc.co.uk/industries/hospitality-leisure/insights/sports-survey/2023.html</b:URL>
    <b:Author>
      <b:Author>
        <b:Corporate>PWC</b:Corporate>
      </b:Author>
    </b:Author>
    <b:RefOrder>4</b:RefOrder>
  </b:Source>
  <b:Source>
    <b:Tag>Con97</b:Tag>
    <b:SourceType>Book</b:SourceType>
    <b:Guid>{114DA575-A0CA-46C2-81EB-32B575601FFC}</b:Guid>
    <b:Title>The Football Business:</b:Title>
    <b:Year>1997</b:Year>
    <b:Author>
      <b:Author>
        <b:NameList>
          <b:Person>
            <b:Last>Conn</b:Last>
            <b:First>David</b:First>
          </b:Person>
        </b:NameList>
      </b:Author>
    </b:Author>
    <b:RefOrder>5</b:RefOrder>
  </b:Source>
  <b:Source>
    <b:Tag>Del25</b:Tag>
    <b:SourceType>InternetSite</b:SourceType>
    <b:Guid>{7E6860C8-1164-48F4-B350-A26A04E3F29D}</b:Guid>
    <b:Title>Annual Review of Football Finance 2025</b:Title>
    <b:Year>2025</b:Year>
    <b:Author>
      <b:Author>
        <b:Corporate>Deloitte</b:Corporate>
      </b:Author>
    </b:Author>
    <b:YearAccessed>2026</b:YearAccessed>
    <b:MonthAccessed>March</b:MonthAccessed>
    <b:DayAccessed>20</b:DayAccessed>
    <b:URL>https://www.deloitte.com/uk/en/services/consulting/research/annual-review-of-football-finance-europe.html</b:URL>
    <b:RefOrder>6</b:RefOrder>
  </b:Source>
  <b:Source>
    <b:Tag>err23</b:Tag>
    <b:SourceType>Report</b:SourceType>
    <b:Guid>{E6B3E261-548E-4FBD-B978-716F76C497BA}</b:Guid>
    <b:Author>
      <b:Author>
        <b:NameList>
          <b:Person>
            <b:Last>Serrano</b:Last>
            <b:First>R.,</b:First>
            <b:Middle>Acero, I., Farquhar, S. and Espitia Escuer, M.A.</b:Middle>
          </b:Person>
        </b:NameList>
      </b:Author>
    </b:Author>
    <b:Title>Financial Fair Play and Competitive Balance in European Football: A Long‑Term Perspective. Sport, Business and Management: An International Journal.</b:Title>
    <b:Year>2023</b:Year>
    <b:RefOrder>7</b:RefOrder>
  </b:Source>
  <b:Source>
    <b:Tag>UEF23</b:Tag>
    <b:SourceType>InternetSite</b:SourceType>
    <b:Guid>{C86AA72A-7CEE-4B80-AF4A-2F02FED04606}</b:Guid>
    <b:Title>The European Club Finance and Investment Landscape</b:Title>
    <b:Year>2023</b:Year>
    <b:YearAccessed>2026</b:YearAccessed>
    <b:MonthAccessed>March</b:MonthAccessed>
    <b:DayAccessed>20</b:DayAccessed>
    <b:URL>https://ecfil.uefa.com/2023</b:URL>
    <b:Author>
      <b:Author>
        <b:Corporate>UEFA</b:Corporate>
      </b:Author>
    </b:Author>
    <b:RefOrder>8</b:RefOrder>
  </b:Source>
  <b:Source>
    <b:Tag>Por081</b:Tag>
    <b:SourceType>Report</b:SourceType>
    <b:Guid>{A12CEBD6-A621-436A-B595-E0E05C648A99}</b:Guid>
    <b:Title>The Five Competitive Forces That Shape Strategy</b:Title>
    <b:Year>2008</b:Year>
    <b:Publisher>Harvard Business School</b:Publisher>
    <b:Author>
      <b:Author>
        <b:NameList>
          <b:Person>
            <b:Last>Porter</b:Last>
            <b:Middle>E</b:Middle>
            <b:First>Michael</b:First>
          </b:Person>
        </b:NameList>
      </b:Author>
    </b:Author>
    <b:RefOrder>9</b:RefOrder>
  </b:Source>
  <b:Source>
    <b:Tag>Sam25</b:Tag>
    <b:SourceType>BookSection</b:SourceType>
    <b:Guid>{61314D30-960F-424F-BC6C-F20205865E6F}</b:Guid>
    <b:Title>Exploring ecopreneurship and value creation: a case study of Forest Green Rovers Football Club</b:Title>
    <b:Year>2025</b:Year>
    <b:Author>
      <b:Author>
        <b:NameList>
          <b:Person>
            <b:Last>Samuel</b:Last>
            <b:First>Anthony</b:First>
          </b:Person>
          <b:Person>
            <b:Last>Bull</b:Last>
            <b:First>Mike</b:First>
          </b:Person>
          <b:Person>
            <b:Last>White</b:Last>
            <b:Middle>Reginald Terence</b:Middle>
            <b:First>Gareth</b:First>
          </b:Person>
        </b:NameList>
      </b:Author>
    </b:Author>
    <b:BookTitle>International Journal of Entrepreneurial Behavior &amp; Research</b:BookTitle>
    <b:Pages>505-528</b:Pages>
    <b:RefOrder>10</b:RefOrder>
  </b:Source>
  <b:Source>
    <b:Tag>Bar911</b:Tag>
    <b:SourceType>BookSection</b:SourceType>
    <b:Guid>{F2516CDC-38DA-4D18-AE9B-0FDE81651C29}</b:Guid>
    <b:Title>Firm Resources and Sustained Competitive Advantage. Journal of Management</b:Title>
    <b:Year>1991</b:Year>
    <b:Pages>99-120</b:Pages>
    <b:Author>
      <b:Author>
        <b:NameList>
          <b:Person>
            <b:Last>Barney</b:Last>
            <b:First>J.B</b:First>
          </b:Person>
        </b:NameList>
      </b:Author>
    </b:Author>
    <b:RefOrder>11</b:RefOrder>
  </b:Source>
  <b:Source>
    <b:Tag>Gra91</b:Tag>
    <b:SourceType>Book</b:SourceType>
    <b:Guid>{469BA22B-94F4-4D5B-AF2D-D0D5CC630116}</b:Guid>
    <b:Title>The Resource-Based Theory of Competitive Advantage</b:Title>
    <b:Year>1991</b:Year>
    <b:Author>
      <b:Author>
        <b:NameList>
          <b:Person>
            <b:Last>Grant</b:Last>
            <b:First>R.M</b:First>
          </b:Person>
        </b:NameList>
      </b:Author>
    </b:Author>
    <b:RefOrder>12</b:RefOrder>
  </b:Source>
  <b:Source>
    <b:Tag>Pet22</b:Tag>
    <b:SourceType>InternetSite</b:SourceType>
    <b:Guid>{A2E361B5-864A-4C03-8DB9-A7084B147622}</b:Guid>
    <b:Title>CFI - Ansoff Matrix</b:Title>
    <b:Year>2022</b:Year>
    <b:YearAccessed>2026</b:YearAccessed>
    <b:MonthAccessed>March</b:MonthAccessed>
    <b:DayAccessed>20</b:DayAccessed>
    <b:URL>https://corporatefinanceinstitute.com/resources/management/ansoff-matrix/</b:URL>
    <b:Author>
      <b:Author>
        <b:NameList>
          <b:Person>
            <b:Last>Peterdy</b:Last>
            <b:First>Peter</b:First>
          </b:Person>
        </b:NameList>
      </b:Author>
    </b:Author>
    <b:RefOrder>13</b:RefOrder>
  </b:Source>
  <b:Source>
    <b:Tag>Smi23</b:Tag>
    <b:SourceType>Report</b:SourceType>
    <b:Guid>{F4489D62-DA4B-4C8A-A0ED-A9E89C8960C1}</b:Guid>
    <b:Title>Sustainability in sport will take sacrifices</b:Title>
    <b:Year>2023</b:Year>
    <b:JournalName>IOC Athletes’ Commission Member and Summer and Winter Olympian</b:JournalName>
    <b:Author>
      <b:Author>
        <b:NameList>
          <b:Person>
            <b:Last>Smith</b:Last>
            <b:First>Oluseyi</b:First>
          </b:Person>
        </b:NameList>
      </b:Author>
    </b:Author>
    <b:Publisher>Winter Olympics</b:Publisher>
    <b:RefOrder>14</b:RefOrder>
  </b:Source>
</b:Sources>
</file>

<file path=customXml/itemProps1.xml><?xml version="1.0" encoding="utf-8"?>
<ds:datastoreItem xmlns:ds="http://schemas.openxmlformats.org/officeDocument/2006/customXml" ds:itemID="{5B78500D-A232-473D-9323-B5F9BB25933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E5839996-CCC2-4B4B-BB45-A9C641419A3B}">
  <ds:schemaRefs>
    <ds:schemaRef ds:uri="http://schemas.microsoft.com/sharepoint/v3/contenttype/forms"/>
  </ds:schemaRefs>
</ds:datastoreItem>
</file>

<file path=customXml/itemProps3.xml><?xml version="1.0" encoding="utf-8"?>
<ds:datastoreItem xmlns:ds="http://schemas.openxmlformats.org/officeDocument/2006/customXml" ds:itemID="{A3BB8769-E0A8-450B-A32F-AD36A1E546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744F701-DC83-48EE-AA81-BD3EE467414F}">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student report</Template>
  <TotalTime>231</TotalTime>
  <Pages>8</Pages>
  <Words>2994</Words>
  <Characters>17066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James</dc:creator>
  <cp:keywords/>
  <dc:description/>
  <cp:lastModifiedBy>Oliver James (2523576)</cp:lastModifiedBy>
  <cp:revision>1</cp:revision>
  <dcterms:created xsi:type="dcterms:W3CDTF">2026-03-27T16:19:00Z</dcterms:created>
  <dcterms:modified xsi:type="dcterms:W3CDTF">2026-03-27T22:05:00Z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