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042CF5E" wp14:paraId="289245EE" wp14:textId="1E0C37AC">
      <w:pPr>
        <w:pStyle w:val="Normal"/>
        <w:spacing w:before="322" w:beforeAutospacing="off" w:after="322"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6042CF5E" w:rsidR="691ACFAB">
        <w:rPr>
          <w:rFonts w:ascii="Arial" w:hAnsi="Arial" w:eastAsia="Arial" w:cs="Arial"/>
          <w:b w:val="0"/>
          <w:bCs w:val="0"/>
          <w:i w:val="0"/>
          <w:iCs w:val="0"/>
          <w:caps w:val="0"/>
          <w:smallCaps w:val="0"/>
          <w:noProof w:val="0"/>
          <w:color w:val="000000" w:themeColor="text1" w:themeTint="FF" w:themeShade="FF"/>
          <w:sz w:val="24"/>
          <w:szCs w:val="24"/>
          <w:lang w:val="en-GB"/>
        </w:rPr>
        <w:t>Name: Kudeja Yasmin</w:t>
      </w:r>
      <w:r>
        <w:br/>
      </w:r>
      <w:r w:rsidRPr="6042CF5E" w:rsidR="691ACFAB">
        <w:rPr>
          <w:rFonts w:ascii="Arial" w:hAnsi="Arial" w:eastAsia="Arial" w:cs="Arial"/>
          <w:b w:val="0"/>
          <w:bCs w:val="0"/>
          <w:i w:val="0"/>
          <w:iCs w:val="0"/>
          <w:caps w:val="0"/>
          <w:smallCaps w:val="0"/>
          <w:noProof w:val="0"/>
          <w:color w:val="000000" w:themeColor="text1" w:themeTint="FF" w:themeShade="FF"/>
          <w:sz w:val="24"/>
          <w:szCs w:val="24"/>
          <w:lang w:val="en-GB"/>
        </w:rPr>
        <w:t>Student Number: 2419337</w:t>
      </w:r>
      <w:r>
        <w:br/>
      </w:r>
      <w:r w:rsidRPr="6042CF5E" w:rsidR="691ACFAB">
        <w:rPr>
          <w:rFonts w:ascii="Arial" w:hAnsi="Arial" w:eastAsia="Arial" w:cs="Arial"/>
          <w:b w:val="0"/>
          <w:bCs w:val="0"/>
          <w:i w:val="0"/>
          <w:iCs w:val="0"/>
          <w:caps w:val="0"/>
          <w:smallCaps w:val="0"/>
          <w:noProof w:val="0"/>
          <w:color w:val="000000" w:themeColor="text1" w:themeTint="FF" w:themeShade="FF"/>
          <w:sz w:val="24"/>
          <w:szCs w:val="24"/>
          <w:lang w:val="en-GB"/>
        </w:rPr>
        <w:t xml:space="preserve">Title: Written </w:t>
      </w:r>
      <w:r w:rsidRPr="6042CF5E" w:rsidR="4805C1A1">
        <w:rPr>
          <w:rFonts w:ascii="Arial" w:hAnsi="Arial" w:eastAsia="Arial" w:cs="Arial"/>
          <w:b w:val="0"/>
          <w:bCs w:val="0"/>
          <w:i w:val="0"/>
          <w:iCs w:val="0"/>
          <w:caps w:val="0"/>
          <w:smallCaps w:val="0"/>
          <w:noProof w:val="0"/>
          <w:color w:val="000000" w:themeColor="text1" w:themeTint="FF" w:themeShade="FF"/>
          <w:sz w:val="24"/>
          <w:szCs w:val="24"/>
          <w:lang w:val="en-GB"/>
        </w:rPr>
        <w:t>Assignment (Case Study Report)</w:t>
      </w:r>
      <w:r>
        <w:br/>
      </w:r>
      <w:r w:rsidRPr="6042CF5E" w:rsidR="691ACFAB">
        <w:rPr>
          <w:rFonts w:ascii="Arial" w:hAnsi="Arial" w:eastAsia="Arial" w:cs="Arial"/>
          <w:b w:val="0"/>
          <w:bCs w:val="0"/>
          <w:i w:val="0"/>
          <w:iCs w:val="0"/>
          <w:caps w:val="0"/>
          <w:smallCaps w:val="0"/>
          <w:noProof w:val="0"/>
          <w:color w:val="000000" w:themeColor="text1" w:themeTint="FF" w:themeShade="FF"/>
          <w:sz w:val="24"/>
          <w:szCs w:val="24"/>
          <w:lang w:val="en-GB"/>
        </w:rPr>
        <w:t xml:space="preserve">Component 1 </w:t>
      </w:r>
      <w:r>
        <w:br/>
      </w:r>
      <w:r w:rsidRPr="6042CF5E" w:rsidR="0D74AB09">
        <w:rPr>
          <w:rFonts w:ascii="Arial" w:hAnsi="Arial" w:eastAsia="Arial" w:cs="Arial"/>
          <w:b w:val="0"/>
          <w:bCs w:val="0"/>
          <w:i w:val="0"/>
          <w:iCs w:val="0"/>
          <w:caps w:val="0"/>
          <w:smallCaps w:val="0"/>
          <w:noProof w:val="0"/>
          <w:color w:val="000000" w:themeColor="text1" w:themeTint="FF" w:themeShade="FF"/>
          <w:sz w:val="24"/>
          <w:szCs w:val="24"/>
          <w:lang w:val="en-GB"/>
        </w:rPr>
        <w:t>Module Name: Induction to Physiology</w:t>
      </w:r>
      <w:r>
        <w:br/>
      </w:r>
      <w:r w:rsidRPr="6042CF5E" w:rsidR="691ACFAB">
        <w:rPr>
          <w:rFonts w:ascii="Arial" w:hAnsi="Arial" w:eastAsia="Arial" w:cs="Arial"/>
          <w:b w:val="0"/>
          <w:bCs w:val="0"/>
          <w:i w:val="0"/>
          <w:iCs w:val="0"/>
          <w:caps w:val="0"/>
          <w:smallCaps w:val="0"/>
          <w:noProof w:val="0"/>
          <w:color w:val="000000" w:themeColor="text1" w:themeTint="FF" w:themeShade="FF"/>
          <w:sz w:val="24"/>
          <w:szCs w:val="24"/>
          <w:lang w:val="en-GB"/>
        </w:rPr>
        <w:t xml:space="preserve">Code: </w:t>
      </w:r>
      <w:r w:rsidRPr="6042CF5E" w:rsidR="4A0B0F36">
        <w:rPr>
          <w:rFonts w:ascii="Arial" w:hAnsi="Arial" w:eastAsia="Arial" w:cs="Arial"/>
          <w:b w:val="0"/>
          <w:bCs w:val="0"/>
          <w:i w:val="0"/>
          <w:iCs w:val="0"/>
          <w:caps w:val="0"/>
          <w:smallCaps w:val="0"/>
          <w:noProof w:val="0"/>
          <w:color w:val="000000" w:themeColor="text1" w:themeTint="FF" w:themeShade="FF"/>
          <w:sz w:val="24"/>
          <w:szCs w:val="24"/>
          <w:lang w:val="en-GB"/>
        </w:rPr>
        <w:t>BMHP5023</w:t>
      </w:r>
      <w:r>
        <w:br/>
      </w:r>
      <w:r w:rsidRPr="6042CF5E" w:rsidR="691ACFAB">
        <w:rPr>
          <w:rFonts w:ascii="Arial" w:hAnsi="Arial" w:eastAsia="Arial" w:cs="Arial"/>
          <w:b w:val="0"/>
          <w:bCs w:val="0"/>
          <w:i w:val="0"/>
          <w:iCs w:val="0"/>
          <w:caps w:val="0"/>
          <w:smallCaps w:val="0"/>
          <w:noProof w:val="0"/>
          <w:color w:val="000000" w:themeColor="text1" w:themeTint="FF" w:themeShade="FF"/>
          <w:sz w:val="24"/>
          <w:szCs w:val="24"/>
          <w:lang w:val="en-GB"/>
        </w:rPr>
        <w:t xml:space="preserve">Lecturer: </w:t>
      </w:r>
      <w:r w:rsidRPr="6042CF5E" w:rsidR="4AA560C0">
        <w:rPr>
          <w:rFonts w:ascii="Arial" w:hAnsi="Arial" w:eastAsia="Arial" w:cs="Arial"/>
          <w:b w:val="0"/>
          <w:bCs w:val="0"/>
          <w:i w:val="0"/>
          <w:iCs w:val="0"/>
          <w:caps w:val="0"/>
          <w:smallCaps w:val="0"/>
          <w:noProof w:val="0"/>
          <w:color w:val="000000" w:themeColor="text1" w:themeTint="FF" w:themeShade="FF"/>
          <w:sz w:val="24"/>
          <w:szCs w:val="24"/>
          <w:lang w:val="en-GB"/>
        </w:rPr>
        <w:t>Aishat Bakre</w:t>
      </w:r>
      <w:r>
        <w:br/>
      </w:r>
      <w:r>
        <w:br/>
      </w:r>
      <w:r w:rsidRPr="6042CF5E" w:rsidR="396097A4">
        <w:rPr>
          <w:rFonts w:ascii="Arial" w:hAnsi="Arial" w:eastAsia="Arial" w:cs="Arial"/>
          <w:b w:val="1"/>
          <w:bCs w:val="1"/>
          <w:noProof w:val="0"/>
          <w:sz w:val="28"/>
          <w:szCs w:val="28"/>
          <w:lang w:val="en-GB"/>
        </w:rPr>
        <w:t>Case Study 1: Type 2 Diabetes Mellitus</w:t>
      </w:r>
    </w:p>
    <w:p xmlns:wp14="http://schemas.microsoft.com/office/word/2010/wordml" w:rsidP="6042CF5E" wp14:paraId="0D1ED19E" wp14:textId="3BA11E2E">
      <w:pPr>
        <w:pStyle w:val="Heading2"/>
        <w:spacing w:before="299" w:beforeAutospacing="off" w:after="299" w:afterAutospacing="off"/>
        <w:rPr>
          <w:rFonts w:ascii="Arial" w:hAnsi="Arial" w:eastAsia="Arial" w:cs="Arial"/>
          <w:b w:val="1"/>
          <w:bCs w:val="1"/>
          <w:noProof w:val="0"/>
          <w:color w:val="auto"/>
          <w:sz w:val="24"/>
          <w:szCs w:val="24"/>
          <w:lang w:val="en-GB"/>
        </w:rPr>
      </w:pPr>
      <w:r w:rsidRPr="6042CF5E" w:rsidR="396097A4">
        <w:rPr>
          <w:rFonts w:ascii="Arial" w:hAnsi="Arial" w:eastAsia="Arial" w:cs="Arial"/>
          <w:b w:val="1"/>
          <w:bCs w:val="1"/>
          <w:noProof w:val="0"/>
          <w:color w:val="auto"/>
          <w:sz w:val="24"/>
          <w:szCs w:val="24"/>
          <w:lang w:val="en-GB"/>
        </w:rPr>
        <w:t>Introduction</w:t>
      </w:r>
    </w:p>
    <w:p xmlns:wp14="http://schemas.microsoft.com/office/word/2010/wordml" w:rsidP="6042CF5E" wp14:paraId="2ED4D4FA" wp14:textId="0B8E1047">
      <w:pPr>
        <w:spacing w:before="240" w:beforeAutospacing="off" w:after="240" w:afterAutospacing="off"/>
      </w:pPr>
      <w:r w:rsidRPr="6042CF5E" w:rsidR="396097A4">
        <w:rPr>
          <w:rFonts w:ascii="Arial" w:hAnsi="Arial" w:eastAsia="Arial" w:cs="Arial"/>
          <w:noProof w:val="0"/>
          <w:sz w:val="24"/>
          <w:szCs w:val="24"/>
          <w:lang w:val="en-GB"/>
        </w:rPr>
        <w:t>Type 2 Diabetes Mellitus (T2DM) is a chronic, progressive metabolic disorder characterised by sustained hyperglycaemia resulting from insulin resistance in peripheral tissues combined with an inadequate compensatory insulin secretory response from pancreatic beta cells. Unlike Type 1 diabetes, which is autoimmune in aetiology and characterised by absolute insulin deficiency, T2DM arises through multifactorial interactions between genetic predisposition, adiposity, chronic inflammation, sedentary behaviour, dietary exposure, and broader social determinants of health (Rang et al., 2019; Silverthorn, 2019). The disease trajectory is typically insidious, with metabolic abnormalities present years before formal diagnosis.</w:t>
      </w:r>
    </w:p>
    <w:p xmlns:wp14="http://schemas.microsoft.com/office/word/2010/wordml" w:rsidP="6042CF5E" wp14:paraId="239D0330" wp14:textId="68E459C8">
      <w:pPr>
        <w:spacing w:before="240" w:beforeAutospacing="off" w:after="240" w:afterAutospacing="off"/>
      </w:pPr>
      <w:r w:rsidRPr="6042CF5E" w:rsidR="396097A4">
        <w:rPr>
          <w:rFonts w:ascii="Arial" w:hAnsi="Arial" w:eastAsia="Arial" w:cs="Arial"/>
          <w:noProof w:val="0"/>
          <w:sz w:val="24"/>
          <w:szCs w:val="24"/>
          <w:lang w:val="en-GB"/>
        </w:rPr>
        <w:t>T2DM represents approximately 90% of global diabetes cases and has reached epidemic proportions worldwide (World Health Organization, 2023). In the United Kingdom, over 4.3 million individuals live with diabetes, with prevalence continuing to rise annually (Diabetes UK, 2023). However, epidemiological data underrepresent the true burden, as many individuals remain undiagnosed during the prolonged pre-diabetic phase. Importantly, T2DM disproportionately affects individuals from socioeconomically deprived backgrounds and certain ethnic minority groups, including South Asian and Black populations, reflecting structural inequalities in food environments, occupational patterns, healthcare access, and chronic stress exposure.</w:t>
      </w:r>
    </w:p>
    <w:p xmlns:wp14="http://schemas.microsoft.com/office/word/2010/wordml" w:rsidP="6042CF5E" wp14:paraId="7E2FF142" wp14:textId="29886765">
      <w:pPr>
        <w:spacing w:before="240" w:beforeAutospacing="off" w:after="240" w:afterAutospacing="off"/>
      </w:pPr>
      <w:r w:rsidRPr="6042CF5E" w:rsidR="396097A4">
        <w:rPr>
          <w:rFonts w:ascii="Arial" w:hAnsi="Arial" w:eastAsia="Arial" w:cs="Arial"/>
          <w:noProof w:val="0"/>
          <w:sz w:val="24"/>
          <w:szCs w:val="24"/>
          <w:lang w:val="en-GB"/>
        </w:rPr>
        <w:t xml:space="preserve">Although </w:t>
      </w:r>
      <w:r w:rsidRPr="6042CF5E" w:rsidR="396097A4">
        <w:rPr>
          <w:rFonts w:ascii="Arial" w:hAnsi="Arial" w:eastAsia="Arial" w:cs="Arial"/>
          <w:noProof w:val="0"/>
          <w:sz w:val="24"/>
          <w:szCs w:val="24"/>
          <w:lang w:val="en-GB"/>
        </w:rPr>
        <w:t>frequently</w:t>
      </w:r>
      <w:r w:rsidRPr="6042CF5E" w:rsidR="396097A4">
        <w:rPr>
          <w:rFonts w:ascii="Arial" w:hAnsi="Arial" w:eastAsia="Arial" w:cs="Arial"/>
          <w:noProof w:val="0"/>
          <w:sz w:val="24"/>
          <w:szCs w:val="24"/>
          <w:lang w:val="en-GB"/>
        </w:rPr>
        <w:t xml:space="preserve"> labelled a “lifestyle disease,” this terminology is increasingly challenged within academic discourse. While obesity and physical inactivity are key modifiable risk factors, their distribution is socially patterned rather than purely individual. The obesogenic environmen</w:t>
      </w:r>
      <w:r w:rsidRPr="6042CF5E" w:rsidR="11026943">
        <w:rPr>
          <w:rFonts w:ascii="Arial" w:hAnsi="Arial" w:eastAsia="Arial" w:cs="Arial"/>
          <w:noProof w:val="0"/>
          <w:sz w:val="24"/>
          <w:szCs w:val="24"/>
          <w:lang w:val="en-GB"/>
        </w:rPr>
        <w:t xml:space="preserve">t </w:t>
      </w:r>
      <w:r w:rsidRPr="6042CF5E" w:rsidR="396097A4">
        <w:rPr>
          <w:rFonts w:ascii="Arial" w:hAnsi="Arial" w:eastAsia="Arial" w:cs="Arial"/>
          <w:noProof w:val="0"/>
          <w:sz w:val="24"/>
          <w:szCs w:val="24"/>
          <w:lang w:val="en-GB"/>
        </w:rPr>
        <w:t>characterised by high availability of ultra-processed foods, urban design discouraging physical activity, and socioeconomic barriers</w:t>
      </w:r>
      <w:r w:rsidRPr="6042CF5E" w:rsidR="29A8AF34">
        <w:rPr>
          <w:rFonts w:ascii="Arial" w:hAnsi="Arial" w:eastAsia="Arial" w:cs="Arial"/>
          <w:noProof w:val="0"/>
          <w:sz w:val="24"/>
          <w:szCs w:val="24"/>
          <w:lang w:val="en-GB"/>
        </w:rPr>
        <w:t xml:space="preserve"> </w:t>
      </w:r>
      <w:r w:rsidRPr="6042CF5E" w:rsidR="396097A4">
        <w:rPr>
          <w:rFonts w:ascii="Arial" w:hAnsi="Arial" w:eastAsia="Arial" w:cs="Arial"/>
          <w:noProof w:val="0"/>
          <w:sz w:val="24"/>
          <w:szCs w:val="24"/>
          <w:lang w:val="en-GB"/>
        </w:rPr>
        <w:t xml:space="preserve">contributes significantly to metabolic risk. Consequently, T2DM must be conceptualised not solely as a behavioural disorder but as a complex </w:t>
      </w:r>
      <w:r w:rsidRPr="6042CF5E" w:rsidR="396097A4">
        <w:rPr>
          <w:rFonts w:ascii="Arial" w:hAnsi="Arial" w:eastAsia="Arial" w:cs="Arial"/>
          <w:noProof w:val="0"/>
          <w:sz w:val="24"/>
          <w:szCs w:val="24"/>
          <w:lang w:val="en-GB"/>
        </w:rPr>
        <w:t>biopsychosocial condition embedded within broader political and economic systems (Sattar et al., 2023).</w:t>
      </w:r>
    </w:p>
    <w:p xmlns:wp14="http://schemas.microsoft.com/office/word/2010/wordml" w:rsidP="6042CF5E" wp14:paraId="59A63FF8" wp14:textId="261EE307">
      <w:pPr>
        <w:spacing w:before="240" w:beforeAutospacing="off" w:after="240" w:afterAutospacing="off"/>
        <w:rPr>
          <w:rFonts w:ascii="Arial" w:hAnsi="Arial" w:eastAsia="Arial" w:cs="Arial"/>
          <w:noProof w:val="0"/>
          <w:sz w:val="24"/>
          <w:szCs w:val="24"/>
          <w:lang w:val="en-GB"/>
        </w:rPr>
      </w:pPr>
      <w:r w:rsidRPr="6042CF5E" w:rsidR="396097A4">
        <w:rPr>
          <w:rFonts w:ascii="Arial" w:hAnsi="Arial" w:eastAsia="Arial" w:cs="Arial"/>
          <w:noProof w:val="0"/>
          <w:sz w:val="24"/>
          <w:szCs w:val="24"/>
          <w:lang w:val="en-GB"/>
        </w:rPr>
        <w:t xml:space="preserve">This paper critically examines the pathophysiology of T2DM, the mechanisms of glucose homeostasis and cellular metabolism, contemporary monitoring strategies, and the comparative effectiveness of lifestyle and pharmacological interventions. </w:t>
      </w:r>
      <w:r w:rsidRPr="6042CF5E" w:rsidR="6958D705">
        <w:rPr>
          <w:rFonts w:ascii="Arial" w:hAnsi="Arial" w:eastAsia="Arial" w:cs="Arial"/>
          <w:noProof w:val="0"/>
          <w:sz w:val="24"/>
          <w:szCs w:val="24"/>
          <w:lang w:val="en-GB"/>
        </w:rPr>
        <w:t>Particularly</w:t>
      </w:r>
      <w:r w:rsidRPr="6042CF5E" w:rsidR="396097A4">
        <w:rPr>
          <w:rFonts w:ascii="Arial" w:hAnsi="Arial" w:eastAsia="Arial" w:cs="Arial"/>
          <w:noProof w:val="0"/>
          <w:sz w:val="24"/>
          <w:szCs w:val="24"/>
          <w:lang w:val="en-GB"/>
        </w:rPr>
        <w:t xml:space="preserve"> emphasis</w:t>
      </w:r>
      <w:r w:rsidRPr="6042CF5E" w:rsidR="396097A4">
        <w:rPr>
          <w:rFonts w:ascii="Arial" w:hAnsi="Arial" w:eastAsia="Arial" w:cs="Arial"/>
          <w:noProof w:val="0"/>
          <w:sz w:val="24"/>
          <w:szCs w:val="24"/>
          <w:lang w:val="en-GB"/>
        </w:rPr>
        <w:t xml:space="preserve"> is placed on synthesising emerging evidence </w:t>
      </w:r>
      <w:r w:rsidRPr="6042CF5E" w:rsidR="396097A4">
        <w:rPr>
          <w:rFonts w:ascii="Arial" w:hAnsi="Arial" w:eastAsia="Arial" w:cs="Arial"/>
          <w:noProof w:val="0"/>
          <w:sz w:val="24"/>
          <w:szCs w:val="24"/>
          <w:lang w:val="en-GB"/>
        </w:rPr>
        <w:t>regarding</w:t>
      </w:r>
      <w:r w:rsidRPr="6042CF5E" w:rsidR="396097A4">
        <w:rPr>
          <w:rFonts w:ascii="Arial" w:hAnsi="Arial" w:eastAsia="Arial" w:cs="Arial"/>
          <w:noProof w:val="0"/>
          <w:sz w:val="24"/>
          <w:szCs w:val="24"/>
          <w:lang w:val="en-GB"/>
        </w:rPr>
        <w:t xml:space="preserve"> remission, cardiometabolic protection</w:t>
      </w:r>
      <w:r w:rsidRPr="6042CF5E" w:rsidR="5061B761">
        <w:rPr>
          <w:rFonts w:ascii="Arial" w:hAnsi="Arial" w:eastAsia="Arial" w:cs="Arial"/>
          <w:noProof w:val="0"/>
          <w:sz w:val="24"/>
          <w:szCs w:val="24"/>
          <w:lang w:val="en-GB"/>
        </w:rPr>
        <w:t xml:space="preserve"> </w:t>
      </w:r>
      <w:r w:rsidRPr="6042CF5E" w:rsidR="396097A4">
        <w:rPr>
          <w:rFonts w:ascii="Arial" w:hAnsi="Arial" w:eastAsia="Arial" w:cs="Arial"/>
          <w:noProof w:val="0"/>
          <w:sz w:val="24"/>
          <w:szCs w:val="24"/>
          <w:lang w:val="en-GB"/>
        </w:rPr>
        <w:t xml:space="preserve">and personalised medicine to evaluate </w:t>
      </w:r>
      <w:r w:rsidRPr="6042CF5E" w:rsidR="396097A4">
        <w:rPr>
          <w:rFonts w:ascii="Arial" w:hAnsi="Arial" w:eastAsia="Arial" w:cs="Arial"/>
          <w:noProof w:val="0"/>
          <w:sz w:val="24"/>
          <w:szCs w:val="24"/>
          <w:lang w:val="en-GB"/>
        </w:rPr>
        <w:t>optimal</w:t>
      </w:r>
      <w:r w:rsidRPr="6042CF5E" w:rsidR="396097A4">
        <w:rPr>
          <w:rFonts w:ascii="Arial" w:hAnsi="Arial" w:eastAsia="Arial" w:cs="Arial"/>
          <w:noProof w:val="0"/>
          <w:sz w:val="24"/>
          <w:szCs w:val="24"/>
          <w:lang w:val="en-GB"/>
        </w:rPr>
        <w:t xml:space="preserve"> long-term management strategies.</w:t>
      </w:r>
    </w:p>
    <w:p xmlns:wp14="http://schemas.microsoft.com/office/word/2010/wordml" w:rsidP="6042CF5E" wp14:paraId="15A02A57" wp14:textId="255FC084">
      <w:pPr>
        <w:pStyle w:val="Heading2"/>
        <w:spacing w:before="299" w:beforeAutospacing="off" w:after="299" w:afterAutospacing="off"/>
        <w:rPr>
          <w:rFonts w:ascii="Arial" w:hAnsi="Arial" w:eastAsia="Arial" w:cs="Arial"/>
          <w:b w:val="1"/>
          <w:bCs w:val="1"/>
          <w:noProof w:val="0"/>
          <w:color w:val="auto"/>
          <w:sz w:val="28"/>
          <w:szCs w:val="28"/>
          <w:lang w:val="en-GB"/>
        </w:rPr>
      </w:pPr>
      <w:r w:rsidRPr="6042CF5E" w:rsidR="396097A4">
        <w:rPr>
          <w:rFonts w:ascii="Arial" w:hAnsi="Arial" w:eastAsia="Arial" w:cs="Arial"/>
          <w:b w:val="1"/>
          <w:bCs w:val="1"/>
          <w:noProof w:val="0"/>
          <w:color w:val="auto"/>
          <w:sz w:val="28"/>
          <w:szCs w:val="28"/>
          <w:lang w:val="en-GB"/>
        </w:rPr>
        <w:t>Pathophysiology of T2DM: Beyond Insulin Resistance</w:t>
      </w:r>
    </w:p>
    <w:p xmlns:wp14="http://schemas.microsoft.com/office/word/2010/wordml" w:rsidP="6042CF5E" wp14:paraId="31C079BC" wp14:textId="745623F5">
      <w:pPr>
        <w:pStyle w:val="Heading3"/>
        <w:spacing w:before="281" w:beforeAutospacing="off" w:after="281" w:afterAutospacing="off"/>
        <w:rPr>
          <w:rFonts w:ascii="Arial" w:hAnsi="Arial" w:eastAsia="Arial" w:cs="Arial"/>
          <w:b w:val="1"/>
          <w:bCs w:val="1"/>
          <w:noProof w:val="0"/>
          <w:color w:val="auto"/>
          <w:sz w:val="22"/>
          <w:szCs w:val="22"/>
          <w:lang w:val="en-GB"/>
        </w:rPr>
      </w:pPr>
      <w:r w:rsidRPr="6042CF5E" w:rsidR="396097A4">
        <w:rPr>
          <w:rFonts w:ascii="Arial" w:hAnsi="Arial" w:eastAsia="Arial" w:cs="Arial"/>
          <w:b w:val="1"/>
          <w:bCs w:val="1"/>
          <w:noProof w:val="0"/>
          <w:color w:val="auto"/>
          <w:sz w:val="24"/>
          <w:szCs w:val="24"/>
          <w:lang w:val="en-GB"/>
        </w:rPr>
        <w:t>Insulin Resistance and Beta-Cell Dysfunction</w:t>
      </w:r>
    </w:p>
    <w:p xmlns:wp14="http://schemas.microsoft.com/office/word/2010/wordml" w:rsidP="6042CF5E" wp14:paraId="03851CBF" wp14:textId="59A6DD67">
      <w:pPr>
        <w:spacing w:before="240" w:beforeAutospacing="off" w:after="240" w:afterAutospacing="off"/>
      </w:pPr>
      <w:r w:rsidRPr="6042CF5E" w:rsidR="396097A4">
        <w:rPr>
          <w:rFonts w:ascii="Arial" w:hAnsi="Arial" w:eastAsia="Arial" w:cs="Arial"/>
          <w:noProof w:val="0"/>
          <w:sz w:val="24"/>
          <w:szCs w:val="24"/>
          <w:lang w:val="en-GB"/>
        </w:rPr>
        <w:t xml:space="preserve">Under normal physiological conditions, blood glucose concentrations are tightly regulated within a fasting range of </w:t>
      </w:r>
      <w:r w:rsidRPr="6042CF5E" w:rsidR="396097A4">
        <w:rPr>
          <w:rFonts w:ascii="Arial" w:hAnsi="Arial" w:eastAsia="Arial" w:cs="Arial"/>
          <w:noProof w:val="0"/>
          <w:sz w:val="24"/>
          <w:szCs w:val="24"/>
          <w:lang w:val="en-GB"/>
        </w:rPr>
        <w:t>approximately 4</w:t>
      </w:r>
      <w:r w:rsidRPr="6042CF5E" w:rsidR="396097A4">
        <w:rPr>
          <w:rFonts w:ascii="Arial" w:hAnsi="Arial" w:eastAsia="Arial" w:cs="Arial"/>
          <w:noProof w:val="0"/>
          <w:sz w:val="24"/>
          <w:szCs w:val="24"/>
          <w:lang w:val="en-GB"/>
        </w:rPr>
        <w:t>–7 mmol/L through coordinated endocrine control by insulin and glucagon (Silverthorn, 2019). Insulin promotes glucose uptake via GLUT4 transporter translocation in skeletal muscle and adipose tissue, stimulates glycogen synthesis in the liver</w:t>
      </w:r>
      <w:r w:rsidRPr="6042CF5E" w:rsidR="7FBF0286">
        <w:rPr>
          <w:rFonts w:ascii="Arial" w:hAnsi="Arial" w:eastAsia="Arial" w:cs="Arial"/>
          <w:noProof w:val="0"/>
          <w:sz w:val="24"/>
          <w:szCs w:val="24"/>
          <w:lang w:val="en-GB"/>
        </w:rPr>
        <w:t xml:space="preserve"> </w:t>
      </w:r>
      <w:r w:rsidRPr="6042CF5E" w:rsidR="396097A4">
        <w:rPr>
          <w:rFonts w:ascii="Arial" w:hAnsi="Arial" w:eastAsia="Arial" w:cs="Arial"/>
          <w:noProof w:val="0"/>
          <w:sz w:val="24"/>
          <w:szCs w:val="24"/>
          <w:lang w:val="en-GB"/>
        </w:rPr>
        <w:t>and suppresses hepatic gluconeogenesis (Rang et al., 2019).</w:t>
      </w:r>
    </w:p>
    <w:p xmlns:wp14="http://schemas.microsoft.com/office/word/2010/wordml" w:rsidP="6042CF5E" wp14:paraId="07AB994E" wp14:textId="78380E9A">
      <w:pPr>
        <w:spacing w:before="240" w:beforeAutospacing="off" w:after="240" w:afterAutospacing="off"/>
      </w:pPr>
      <w:r w:rsidRPr="6042CF5E" w:rsidR="396097A4">
        <w:rPr>
          <w:rFonts w:ascii="Arial" w:hAnsi="Arial" w:eastAsia="Arial" w:cs="Arial"/>
          <w:noProof w:val="0"/>
          <w:sz w:val="24"/>
          <w:szCs w:val="24"/>
          <w:lang w:val="en-GB"/>
        </w:rPr>
        <w:t xml:space="preserve">In T2DM, peripheral insulin resistance develops primarily in skeletal muscle and hepatic tissue. Skeletal muscle insulin resistance reduces postprandial glucose disposal, while hepatic insulin resistance increases endogenous glucose production. In early disease, pancreatic beta cells compensate by increasing insulin secretion, resulting in </w:t>
      </w:r>
      <w:r w:rsidRPr="6042CF5E" w:rsidR="2ECD3A12">
        <w:rPr>
          <w:rFonts w:ascii="Arial" w:hAnsi="Arial" w:eastAsia="Arial" w:cs="Arial"/>
          <w:noProof w:val="0"/>
          <w:sz w:val="24"/>
          <w:szCs w:val="24"/>
          <w:lang w:val="en-GB"/>
        </w:rPr>
        <w:t>hyperinsulinemia</w:t>
      </w:r>
      <w:r w:rsidRPr="6042CF5E" w:rsidR="396097A4">
        <w:rPr>
          <w:rFonts w:ascii="Arial" w:hAnsi="Arial" w:eastAsia="Arial" w:cs="Arial"/>
          <w:noProof w:val="0"/>
          <w:sz w:val="24"/>
          <w:szCs w:val="24"/>
          <w:lang w:val="en-GB"/>
        </w:rPr>
        <w:t>. However, chronic exposure to elevated glucose and free fatty acids</w:t>
      </w:r>
      <w:r w:rsidRPr="6042CF5E" w:rsidR="379EB84B">
        <w:rPr>
          <w:rFonts w:ascii="Arial" w:hAnsi="Arial" w:eastAsia="Arial" w:cs="Arial"/>
          <w:noProof w:val="0"/>
          <w:sz w:val="24"/>
          <w:szCs w:val="24"/>
          <w:lang w:val="en-GB"/>
        </w:rPr>
        <w:t xml:space="preserve"> </w:t>
      </w:r>
      <w:r w:rsidRPr="6042CF5E" w:rsidR="396097A4">
        <w:rPr>
          <w:rFonts w:ascii="Arial" w:hAnsi="Arial" w:eastAsia="Arial" w:cs="Arial"/>
          <w:noProof w:val="0"/>
          <w:sz w:val="24"/>
          <w:szCs w:val="24"/>
          <w:lang w:val="en-GB"/>
        </w:rPr>
        <w:t xml:space="preserve">termed glucotoxicity and </w:t>
      </w:r>
      <w:r w:rsidRPr="6042CF5E" w:rsidR="4C1005BC">
        <w:rPr>
          <w:rFonts w:ascii="Arial" w:hAnsi="Arial" w:eastAsia="Arial" w:cs="Arial"/>
          <w:noProof w:val="0"/>
          <w:sz w:val="24"/>
          <w:szCs w:val="24"/>
          <w:lang w:val="en-GB"/>
        </w:rPr>
        <w:t>lipotoxicity</w:t>
      </w:r>
      <w:r w:rsidRPr="6042CF5E" w:rsidR="4C1005BC">
        <w:rPr>
          <w:rFonts w:ascii="Arial" w:hAnsi="Arial" w:eastAsia="Arial" w:cs="Arial"/>
          <w:noProof w:val="0"/>
          <w:sz w:val="24"/>
          <w:szCs w:val="24"/>
          <w:lang w:val="en-GB"/>
        </w:rPr>
        <w:t xml:space="preserve"> </w:t>
      </w:r>
      <w:r w:rsidRPr="6042CF5E" w:rsidR="396097A4">
        <w:rPr>
          <w:rFonts w:ascii="Arial" w:hAnsi="Arial" w:eastAsia="Arial" w:cs="Arial"/>
          <w:noProof w:val="0"/>
          <w:sz w:val="24"/>
          <w:szCs w:val="24"/>
          <w:lang w:val="en-GB"/>
        </w:rPr>
        <w:t>induces oxidative stress, mitochondrial dysfunction</w:t>
      </w:r>
      <w:r w:rsidRPr="6042CF5E" w:rsidR="28537D98">
        <w:rPr>
          <w:rFonts w:ascii="Arial" w:hAnsi="Arial" w:eastAsia="Arial" w:cs="Arial"/>
          <w:noProof w:val="0"/>
          <w:sz w:val="24"/>
          <w:szCs w:val="24"/>
          <w:lang w:val="en-GB"/>
        </w:rPr>
        <w:t xml:space="preserve"> </w:t>
      </w:r>
      <w:r w:rsidRPr="6042CF5E" w:rsidR="396097A4">
        <w:rPr>
          <w:rFonts w:ascii="Arial" w:hAnsi="Arial" w:eastAsia="Arial" w:cs="Arial"/>
          <w:noProof w:val="0"/>
          <w:sz w:val="24"/>
          <w:szCs w:val="24"/>
          <w:lang w:val="en-GB"/>
        </w:rPr>
        <w:t>and endoplasmic reticulum stress within beta cells, progressively impairing insulin secretion (Taylor, 2013).</w:t>
      </w:r>
    </w:p>
    <w:p xmlns:wp14="http://schemas.microsoft.com/office/word/2010/wordml" w:rsidP="6042CF5E" wp14:paraId="3714DF18" wp14:textId="7A505FCA">
      <w:pPr>
        <w:spacing w:before="240" w:beforeAutospacing="off" w:after="240" w:afterAutospacing="off"/>
      </w:pPr>
      <w:r w:rsidRPr="6042CF5E" w:rsidR="396097A4">
        <w:rPr>
          <w:rFonts w:ascii="Arial" w:hAnsi="Arial" w:eastAsia="Arial" w:cs="Arial"/>
          <w:noProof w:val="0"/>
          <w:sz w:val="24"/>
          <w:szCs w:val="24"/>
          <w:lang w:val="en-GB"/>
        </w:rPr>
        <w:t xml:space="preserve">Recent research has highlighted the role of chronic low-grade inflammation in mediating insulin resistance. Adipose tissue expansion, particularly visceral adiposity, promotes macrophage infiltration and release of pro-inflammatory cytokines such as TNF-α and IL-6, which interfere with insulin signalling pathways (Sattar et al., 2023). This inflammatory </w:t>
      </w:r>
      <w:r w:rsidRPr="6042CF5E" w:rsidR="396097A4">
        <w:rPr>
          <w:rFonts w:ascii="Arial" w:hAnsi="Arial" w:eastAsia="Arial" w:cs="Arial"/>
          <w:noProof w:val="0"/>
          <w:sz w:val="24"/>
          <w:szCs w:val="24"/>
          <w:lang w:val="en-GB"/>
        </w:rPr>
        <w:t>component</w:t>
      </w:r>
      <w:r w:rsidRPr="6042CF5E" w:rsidR="396097A4">
        <w:rPr>
          <w:rFonts w:ascii="Arial" w:hAnsi="Arial" w:eastAsia="Arial" w:cs="Arial"/>
          <w:noProof w:val="0"/>
          <w:sz w:val="24"/>
          <w:szCs w:val="24"/>
          <w:lang w:val="en-GB"/>
        </w:rPr>
        <w:t xml:space="preserve"> reframes T2DM as partly an </w:t>
      </w:r>
      <w:r w:rsidRPr="6042CF5E" w:rsidR="7292EB44">
        <w:rPr>
          <w:rFonts w:ascii="Arial" w:hAnsi="Arial" w:eastAsia="Arial" w:cs="Arial"/>
          <w:noProof w:val="0"/>
          <w:sz w:val="24"/>
          <w:szCs w:val="24"/>
          <w:lang w:val="en-GB"/>
        </w:rPr>
        <w:t>immunometabolism</w:t>
      </w:r>
      <w:r w:rsidRPr="6042CF5E" w:rsidR="396097A4">
        <w:rPr>
          <w:rFonts w:ascii="Arial" w:hAnsi="Arial" w:eastAsia="Arial" w:cs="Arial"/>
          <w:noProof w:val="0"/>
          <w:sz w:val="24"/>
          <w:szCs w:val="24"/>
          <w:lang w:val="en-GB"/>
        </w:rPr>
        <w:t xml:space="preserve"> disorder rather than a purely endocrine condition.</w:t>
      </w:r>
    </w:p>
    <w:p xmlns:wp14="http://schemas.microsoft.com/office/word/2010/wordml" w:rsidP="6042CF5E" wp14:paraId="6F962FE3" wp14:textId="425813A5">
      <w:pPr>
        <w:pStyle w:val="Heading3"/>
        <w:spacing w:before="281" w:beforeAutospacing="off" w:after="281" w:afterAutospacing="off"/>
        <w:rPr>
          <w:rFonts w:ascii="Arial" w:hAnsi="Arial" w:eastAsia="Arial" w:cs="Arial"/>
          <w:b w:val="1"/>
          <w:bCs w:val="1"/>
          <w:noProof w:val="0"/>
          <w:color w:val="auto"/>
          <w:sz w:val="24"/>
          <w:szCs w:val="24"/>
          <w:lang w:val="en-GB"/>
        </w:rPr>
      </w:pPr>
      <w:r w:rsidRPr="6042CF5E" w:rsidR="396097A4">
        <w:rPr>
          <w:rFonts w:ascii="Arial" w:hAnsi="Arial" w:eastAsia="Arial" w:cs="Arial"/>
          <w:b w:val="1"/>
          <w:bCs w:val="1"/>
          <w:noProof w:val="0"/>
          <w:color w:val="auto"/>
          <w:sz w:val="24"/>
          <w:szCs w:val="24"/>
          <w:lang w:val="en-GB"/>
        </w:rPr>
        <w:t>The Twin-Cycle Hypothesis and Remission</w:t>
      </w:r>
    </w:p>
    <w:p xmlns:wp14="http://schemas.microsoft.com/office/word/2010/wordml" w:rsidP="6042CF5E" wp14:paraId="5A2BA79D" wp14:textId="7E764F93">
      <w:pPr>
        <w:spacing w:before="240" w:beforeAutospacing="off" w:after="240" w:afterAutospacing="off"/>
      </w:pPr>
      <w:r w:rsidRPr="6042CF5E" w:rsidR="396097A4">
        <w:rPr>
          <w:rFonts w:ascii="Arial" w:hAnsi="Arial" w:eastAsia="Arial" w:cs="Arial"/>
          <w:noProof w:val="0"/>
          <w:sz w:val="24"/>
          <w:szCs w:val="24"/>
          <w:lang w:val="en-GB"/>
        </w:rPr>
        <w:t xml:space="preserve">Taylor’s (2013) twin-cycle hypothesis proposes that chronic caloric excess leads to hepatic fat accumulation, increasing hepatic glucose output and insulin resistance. Excess lipid is </w:t>
      </w:r>
      <w:r w:rsidRPr="6042CF5E" w:rsidR="396097A4">
        <w:rPr>
          <w:rFonts w:ascii="Arial" w:hAnsi="Arial" w:eastAsia="Arial" w:cs="Arial"/>
          <w:noProof w:val="0"/>
          <w:sz w:val="24"/>
          <w:szCs w:val="24"/>
          <w:lang w:val="en-GB"/>
        </w:rPr>
        <w:t>subsequently</w:t>
      </w:r>
      <w:r w:rsidRPr="6042CF5E" w:rsidR="396097A4">
        <w:rPr>
          <w:rFonts w:ascii="Arial" w:hAnsi="Arial" w:eastAsia="Arial" w:cs="Arial"/>
          <w:noProof w:val="0"/>
          <w:sz w:val="24"/>
          <w:szCs w:val="24"/>
          <w:lang w:val="en-GB"/>
        </w:rPr>
        <w:t xml:space="preserve"> exported to the pancreas, impairing beta-cell function. Evidence from the </w:t>
      </w:r>
      <w:r w:rsidRPr="6042CF5E" w:rsidR="7B7E71D3">
        <w:rPr>
          <w:rFonts w:ascii="Arial" w:hAnsi="Arial" w:eastAsia="Arial" w:cs="Arial"/>
          <w:noProof w:val="0"/>
          <w:sz w:val="24"/>
          <w:szCs w:val="24"/>
          <w:lang w:val="en-GB"/>
        </w:rPr>
        <w:t>direct</w:t>
      </w:r>
      <w:r w:rsidRPr="6042CF5E" w:rsidR="396097A4">
        <w:rPr>
          <w:rFonts w:ascii="Arial" w:hAnsi="Arial" w:eastAsia="Arial" w:cs="Arial"/>
          <w:noProof w:val="0"/>
          <w:sz w:val="24"/>
          <w:szCs w:val="24"/>
          <w:lang w:val="en-GB"/>
        </w:rPr>
        <w:t xml:space="preserve"> trial </w:t>
      </w:r>
      <w:r w:rsidRPr="6042CF5E" w:rsidR="396097A4">
        <w:rPr>
          <w:rFonts w:ascii="Arial" w:hAnsi="Arial" w:eastAsia="Arial" w:cs="Arial"/>
          <w:noProof w:val="0"/>
          <w:sz w:val="24"/>
          <w:szCs w:val="24"/>
          <w:lang w:val="en-GB"/>
        </w:rPr>
        <w:t>demonstrated</w:t>
      </w:r>
      <w:r w:rsidRPr="6042CF5E" w:rsidR="396097A4">
        <w:rPr>
          <w:rFonts w:ascii="Arial" w:hAnsi="Arial" w:eastAsia="Arial" w:cs="Arial"/>
          <w:noProof w:val="0"/>
          <w:sz w:val="24"/>
          <w:szCs w:val="24"/>
          <w:lang w:val="en-GB"/>
        </w:rPr>
        <w:t xml:space="preserve"> that significant weight loss through intensive calorie restriction resulted in remission in a substantial proportion of individuals with early T2DM (Lean et al., 2018). More recent follow-up data suggest remission durability correlates strongly with sustained weight loss (Lean et al., 2021).</w:t>
      </w:r>
    </w:p>
    <w:p xmlns:wp14="http://schemas.microsoft.com/office/word/2010/wordml" w:rsidP="6042CF5E" wp14:paraId="761BA675" wp14:textId="5F3331FB">
      <w:pPr>
        <w:spacing w:before="240" w:beforeAutospacing="off" w:after="240" w:afterAutospacing="off"/>
      </w:pPr>
      <w:r w:rsidRPr="6042CF5E" w:rsidR="396097A4">
        <w:rPr>
          <w:rFonts w:ascii="Arial" w:hAnsi="Arial" w:eastAsia="Arial" w:cs="Arial"/>
          <w:noProof w:val="0"/>
          <w:sz w:val="24"/>
          <w:szCs w:val="24"/>
          <w:lang w:val="en-GB"/>
        </w:rPr>
        <w:t>These findings challenge the traditional perception of T2DM as inevitably progressive. However, remission is less likely in individuals with longer disease duration, underscoring the importance of early detection and intervention.</w:t>
      </w:r>
    </w:p>
    <w:p xmlns:wp14="http://schemas.microsoft.com/office/word/2010/wordml" wp14:paraId="2FD312A7" wp14:textId="3F3EB15D"/>
    <w:p xmlns:wp14="http://schemas.microsoft.com/office/word/2010/wordml" w:rsidP="6042CF5E" wp14:paraId="26CBCADE" wp14:textId="6381530C">
      <w:pPr>
        <w:pStyle w:val="Heading2"/>
        <w:spacing w:before="299" w:beforeAutospacing="off" w:after="299" w:afterAutospacing="off"/>
        <w:rPr>
          <w:rFonts w:ascii="Arial" w:hAnsi="Arial" w:eastAsia="Arial" w:cs="Arial"/>
          <w:b w:val="1"/>
          <w:bCs w:val="1"/>
          <w:noProof w:val="0"/>
          <w:color w:val="auto"/>
          <w:sz w:val="22"/>
          <w:szCs w:val="22"/>
          <w:lang w:val="en-GB"/>
        </w:rPr>
      </w:pPr>
      <w:r w:rsidRPr="6042CF5E" w:rsidR="396097A4">
        <w:rPr>
          <w:rFonts w:ascii="Arial" w:hAnsi="Arial" w:eastAsia="Arial" w:cs="Arial"/>
          <w:b w:val="1"/>
          <w:bCs w:val="1"/>
          <w:noProof w:val="0"/>
          <w:color w:val="auto"/>
          <w:sz w:val="24"/>
          <w:szCs w:val="24"/>
          <w:lang w:val="en-GB"/>
        </w:rPr>
        <w:t>Cellular Metabolism and Energetic Dysfunction</w:t>
      </w:r>
    </w:p>
    <w:p xmlns:wp14="http://schemas.microsoft.com/office/word/2010/wordml" w:rsidP="6042CF5E" wp14:paraId="748FB656" wp14:textId="542E057D">
      <w:pPr>
        <w:spacing w:before="240" w:beforeAutospacing="off" w:after="240" w:afterAutospacing="off"/>
      </w:pPr>
      <w:r w:rsidRPr="6042CF5E" w:rsidR="396097A4">
        <w:rPr>
          <w:rFonts w:ascii="Arial" w:hAnsi="Arial" w:eastAsia="Arial" w:cs="Arial"/>
          <w:noProof w:val="0"/>
          <w:sz w:val="24"/>
          <w:szCs w:val="24"/>
          <w:lang w:val="en-GB"/>
        </w:rPr>
        <w:t>At the cellular level, glucose metabolism involves glycolysis, the Krebs cycle, and oxidative phosphorylation within mitochondria, producing ATP as the primary energy substrate (Silverthorn, 2019). Oxygen serves as the final electron acceptor in the electron transport chain, allowing efficient ATP synthesis.</w:t>
      </w:r>
    </w:p>
    <w:p xmlns:wp14="http://schemas.microsoft.com/office/word/2010/wordml" w:rsidP="6042CF5E" wp14:paraId="4F8135E8" wp14:textId="0C805446">
      <w:pPr>
        <w:spacing w:before="240" w:beforeAutospacing="off" w:after="240" w:afterAutospacing="off"/>
      </w:pPr>
      <w:r w:rsidRPr="6042CF5E" w:rsidR="396097A4">
        <w:rPr>
          <w:rFonts w:ascii="Arial" w:hAnsi="Arial" w:eastAsia="Arial" w:cs="Arial"/>
          <w:noProof w:val="0"/>
          <w:sz w:val="24"/>
          <w:szCs w:val="24"/>
          <w:lang w:val="en-GB"/>
        </w:rPr>
        <w:t>In T2DM, impaired insulin signalling limits glucose uptake into muscle cells, resulting in decreased glycolytic flux despite hyperglycaemia. Cells compensate through increased fatty acid oxidation; however, excessive lipid intermediates accumulate and further inhibit insulin receptor signalling. This metabolic inflexibility</w:t>
      </w:r>
      <w:r w:rsidRPr="6042CF5E" w:rsidR="0AED46C7">
        <w:rPr>
          <w:rFonts w:ascii="Arial" w:hAnsi="Arial" w:eastAsia="Arial" w:cs="Arial"/>
          <w:noProof w:val="0"/>
          <w:sz w:val="24"/>
          <w:szCs w:val="24"/>
          <w:lang w:val="en-GB"/>
        </w:rPr>
        <w:t xml:space="preserve"> </w:t>
      </w:r>
      <w:r w:rsidRPr="6042CF5E" w:rsidR="396097A4">
        <w:rPr>
          <w:rFonts w:ascii="Arial" w:hAnsi="Arial" w:eastAsia="Arial" w:cs="Arial"/>
          <w:noProof w:val="0"/>
          <w:sz w:val="24"/>
          <w:szCs w:val="24"/>
          <w:lang w:val="en-GB"/>
        </w:rPr>
        <w:t>impaired ability to switch between carbohydrate and lipid substrates</w:t>
      </w:r>
      <w:r w:rsidRPr="6042CF5E" w:rsidR="1A051275">
        <w:rPr>
          <w:rFonts w:ascii="Arial" w:hAnsi="Arial" w:eastAsia="Arial" w:cs="Arial"/>
          <w:noProof w:val="0"/>
          <w:sz w:val="24"/>
          <w:szCs w:val="24"/>
          <w:lang w:val="en-GB"/>
        </w:rPr>
        <w:t xml:space="preserve"> </w:t>
      </w:r>
      <w:r w:rsidRPr="6042CF5E" w:rsidR="396097A4">
        <w:rPr>
          <w:rFonts w:ascii="Arial" w:hAnsi="Arial" w:eastAsia="Arial" w:cs="Arial"/>
          <w:noProof w:val="0"/>
          <w:sz w:val="24"/>
          <w:szCs w:val="24"/>
          <w:lang w:val="en-GB"/>
        </w:rPr>
        <w:t xml:space="preserve">has </w:t>
      </w:r>
      <w:r w:rsidRPr="6042CF5E" w:rsidR="396097A4">
        <w:rPr>
          <w:rFonts w:ascii="Arial" w:hAnsi="Arial" w:eastAsia="Arial" w:cs="Arial"/>
          <w:noProof w:val="0"/>
          <w:sz w:val="24"/>
          <w:szCs w:val="24"/>
          <w:lang w:val="en-GB"/>
        </w:rPr>
        <w:t>emerged</w:t>
      </w:r>
      <w:r w:rsidRPr="6042CF5E" w:rsidR="396097A4">
        <w:rPr>
          <w:rFonts w:ascii="Arial" w:hAnsi="Arial" w:eastAsia="Arial" w:cs="Arial"/>
          <w:noProof w:val="0"/>
          <w:sz w:val="24"/>
          <w:szCs w:val="24"/>
          <w:lang w:val="en-GB"/>
        </w:rPr>
        <w:t xml:space="preserve"> as a central pathological feature (Sattar et al., 2023).</w:t>
      </w:r>
    </w:p>
    <w:p xmlns:wp14="http://schemas.microsoft.com/office/word/2010/wordml" w:rsidP="6042CF5E" wp14:paraId="47EBE43F" wp14:textId="21337B73">
      <w:pPr>
        <w:spacing w:before="240" w:beforeAutospacing="off" w:after="240" w:afterAutospacing="off"/>
      </w:pPr>
      <w:r w:rsidRPr="6042CF5E" w:rsidR="396097A4">
        <w:rPr>
          <w:rFonts w:ascii="Arial" w:hAnsi="Arial" w:eastAsia="Arial" w:cs="Arial"/>
          <w:noProof w:val="0"/>
          <w:sz w:val="24"/>
          <w:szCs w:val="24"/>
          <w:lang w:val="en-GB"/>
        </w:rPr>
        <w:t>Mitochondrial dysfunction is increasingly recognised in T2DM pathogenesis. Reduced mitochondrial density and impaired oxidative phosphorylation increase reactive oxygen species production, contributing to oxidative stress and endothelial dysfunction. These processes underlie both microvascular complications (retinopathy, nephropathy, neuropathy) and macrovascular disease.</w:t>
      </w:r>
    </w:p>
    <w:p xmlns:wp14="http://schemas.microsoft.com/office/word/2010/wordml" w:rsidP="6042CF5E" wp14:paraId="438C96D2" wp14:textId="664254B4">
      <w:pPr>
        <w:spacing w:before="240" w:beforeAutospacing="off" w:after="240" w:afterAutospacing="off"/>
      </w:pPr>
      <w:r w:rsidRPr="6042CF5E" w:rsidR="396097A4">
        <w:rPr>
          <w:rFonts w:ascii="Arial" w:hAnsi="Arial" w:eastAsia="Arial" w:cs="Arial"/>
          <w:noProof w:val="0"/>
          <w:sz w:val="24"/>
          <w:szCs w:val="24"/>
          <w:lang w:val="en-GB"/>
        </w:rPr>
        <w:t>Importantly, skeletal muscle contraction stimulates GLUT4 translocation independently of insulin via AMP-activated protein kinase (AMPK) activation. This mechanistic insight provides a physiological rationale for exercise-based interventions.</w:t>
      </w:r>
    </w:p>
    <w:p xmlns:wp14="http://schemas.microsoft.com/office/word/2010/wordml" w:rsidP="6042CF5E" wp14:paraId="1B867180" wp14:textId="6CDD5574">
      <w:pPr>
        <w:pStyle w:val="Heading2"/>
        <w:spacing w:before="299" w:beforeAutospacing="off" w:after="299" w:afterAutospacing="off"/>
        <w:rPr>
          <w:rFonts w:ascii="Arial" w:hAnsi="Arial" w:eastAsia="Arial" w:cs="Arial"/>
          <w:b w:val="1"/>
          <w:bCs w:val="1"/>
          <w:noProof w:val="0"/>
          <w:color w:val="auto"/>
          <w:sz w:val="22"/>
          <w:szCs w:val="22"/>
          <w:lang w:val="en-GB"/>
        </w:rPr>
      </w:pPr>
      <w:r w:rsidRPr="6042CF5E" w:rsidR="396097A4">
        <w:rPr>
          <w:rFonts w:ascii="Arial" w:hAnsi="Arial" w:eastAsia="Arial" w:cs="Arial"/>
          <w:b w:val="1"/>
          <w:bCs w:val="1"/>
          <w:noProof w:val="0"/>
          <w:color w:val="auto"/>
          <w:sz w:val="24"/>
          <w:szCs w:val="24"/>
          <w:lang w:val="en-GB"/>
        </w:rPr>
        <w:t>Complications and Cardiometabolic Risk</w:t>
      </w:r>
    </w:p>
    <w:p xmlns:wp14="http://schemas.microsoft.com/office/word/2010/wordml" w:rsidP="6042CF5E" wp14:paraId="5C031BBC" wp14:textId="23B6ECFB">
      <w:pPr>
        <w:spacing w:before="240" w:beforeAutospacing="off" w:after="240" w:afterAutospacing="off"/>
      </w:pPr>
      <w:r w:rsidRPr="6042CF5E" w:rsidR="396097A4">
        <w:rPr>
          <w:rFonts w:ascii="Arial" w:hAnsi="Arial" w:eastAsia="Arial" w:cs="Arial"/>
          <w:noProof w:val="0"/>
          <w:sz w:val="24"/>
          <w:szCs w:val="24"/>
          <w:lang w:val="en-GB"/>
        </w:rPr>
        <w:t>Chronic hyperglycaemia drives microvascular damage through formation of advanced glycation end-products (AGEs), activation of the polyol pathway, and oxidative stress. The UK Prospective Diabetes Study (UKPDS Group, 1998) demonstrated that intensive glycaemic control significantly reduces microvascular complications. However, cardiovascular outcomes showed more modest improvement, suggesting that glycaemia is only one component of cardiovascular risk.</w:t>
      </w:r>
    </w:p>
    <w:p xmlns:wp14="http://schemas.microsoft.com/office/word/2010/wordml" w:rsidP="6042CF5E" wp14:paraId="476CC99E" wp14:textId="16258C83">
      <w:pPr>
        <w:spacing w:before="240" w:beforeAutospacing="off" w:after="240" w:afterAutospacing="off"/>
      </w:pPr>
      <w:r w:rsidRPr="6042CF5E" w:rsidR="396097A4">
        <w:rPr>
          <w:rFonts w:ascii="Arial" w:hAnsi="Arial" w:eastAsia="Arial" w:cs="Arial"/>
          <w:noProof w:val="0"/>
          <w:sz w:val="24"/>
          <w:szCs w:val="24"/>
          <w:lang w:val="en-GB"/>
        </w:rPr>
        <w:t xml:space="preserve">Cardiovascular disease </w:t>
      </w:r>
      <w:r w:rsidRPr="6042CF5E" w:rsidR="396097A4">
        <w:rPr>
          <w:rFonts w:ascii="Arial" w:hAnsi="Arial" w:eastAsia="Arial" w:cs="Arial"/>
          <w:noProof w:val="0"/>
          <w:sz w:val="24"/>
          <w:szCs w:val="24"/>
          <w:lang w:val="en-GB"/>
        </w:rPr>
        <w:t>remains</w:t>
      </w:r>
      <w:r w:rsidRPr="6042CF5E" w:rsidR="396097A4">
        <w:rPr>
          <w:rFonts w:ascii="Arial" w:hAnsi="Arial" w:eastAsia="Arial" w:cs="Arial"/>
          <w:noProof w:val="0"/>
          <w:sz w:val="24"/>
          <w:szCs w:val="24"/>
          <w:lang w:val="en-GB"/>
        </w:rPr>
        <w:t xml:space="preserve"> the leading cause of mortality in individuals with T2DM (World Health Organization, 2023). Dyslipidaemia, hypertension, endothelial </w:t>
      </w:r>
      <w:r w:rsidRPr="6042CF5E" w:rsidR="396097A4">
        <w:rPr>
          <w:rFonts w:ascii="Arial" w:hAnsi="Arial" w:eastAsia="Arial" w:cs="Arial"/>
          <w:noProof w:val="0"/>
          <w:sz w:val="24"/>
          <w:szCs w:val="24"/>
          <w:lang w:val="en-GB"/>
        </w:rPr>
        <w:t>dysfunction</w:t>
      </w:r>
      <w:r w:rsidRPr="6042CF5E" w:rsidR="0FEFEB5D">
        <w:rPr>
          <w:rFonts w:ascii="Arial" w:hAnsi="Arial" w:eastAsia="Arial" w:cs="Arial"/>
          <w:noProof w:val="0"/>
          <w:sz w:val="24"/>
          <w:szCs w:val="24"/>
          <w:lang w:val="en-GB"/>
        </w:rPr>
        <w:t xml:space="preserve"> </w:t>
      </w:r>
      <w:r w:rsidRPr="6042CF5E" w:rsidR="396097A4">
        <w:rPr>
          <w:rFonts w:ascii="Arial" w:hAnsi="Arial" w:eastAsia="Arial" w:cs="Arial"/>
          <w:noProof w:val="0"/>
          <w:sz w:val="24"/>
          <w:szCs w:val="24"/>
          <w:lang w:val="en-GB"/>
        </w:rPr>
        <w:t>and chronic inflammation contribute synergistically.</w:t>
      </w:r>
      <w:r w:rsidRPr="6042CF5E" w:rsidR="2B1FFCDE">
        <w:rPr>
          <w:rFonts w:ascii="Arial" w:hAnsi="Arial" w:eastAsia="Arial" w:cs="Arial"/>
          <w:noProof w:val="0"/>
          <w:sz w:val="24"/>
          <w:szCs w:val="24"/>
          <w:lang w:val="en-GB"/>
        </w:rPr>
        <w:t xml:space="preserve"> </w:t>
      </w:r>
      <w:r w:rsidRPr="6042CF5E" w:rsidR="396097A4">
        <w:rPr>
          <w:rFonts w:ascii="Arial" w:hAnsi="Arial" w:eastAsia="Arial" w:cs="Arial"/>
          <w:noProof w:val="0"/>
          <w:sz w:val="24"/>
          <w:szCs w:val="24"/>
          <w:lang w:val="en-GB"/>
        </w:rPr>
        <w:t>Contemporary management therefore emphasises comprehensive risk reduction, including lipid-lowering therapy, blood pressure control, and smoking cessation.</w:t>
      </w:r>
    </w:p>
    <w:p xmlns:wp14="http://schemas.microsoft.com/office/word/2010/wordml" w:rsidP="6042CF5E" wp14:paraId="388C998F" wp14:textId="5CA1800E">
      <w:pPr>
        <w:spacing w:before="240" w:beforeAutospacing="off" w:after="240" w:afterAutospacing="off"/>
      </w:pPr>
      <w:r w:rsidRPr="6042CF5E" w:rsidR="396097A4">
        <w:rPr>
          <w:rFonts w:ascii="Arial" w:hAnsi="Arial" w:eastAsia="Arial" w:cs="Arial"/>
          <w:noProof w:val="0"/>
          <w:sz w:val="24"/>
          <w:szCs w:val="24"/>
          <w:lang w:val="en-GB"/>
        </w:rPr>
        <w:t>Recent meta-analyses demonstrate that SGLT2 inhibitors significantly reduce heart failure hospitalisation and slow chronic kidney disease progression (Zelniker et al., 2019; updated analyses 2022–2024). GLP-1 receptor agonists have shown reductions in major adverse cardiovascular events (Sattar et al., 2023). These findings have shifted treatment paradigms from glucose-centric to cardiometabolic-centred care.</w:t>
      </w:r>
    </w:p>
    <w:p xmlns:wp14="http://schemas.microsoft.com/office/word/2010/wordml" wp14:paraId="13BBFD2C" wp14:textId="03745237"/>
    <w:p xmlns:wp14="http://schemas.microsoft.com/office/word/2010/wordml" w:rsidP="6042CF5E" wp14:paraId="73F12A53" wp14:textId="499335BE">
      <w:pPr>
        <w:pStyle w:val="Heading2"/>
        <w:spacing w:before="299" w:beforeAutospacing="off" w:after="299" w:afterAutospacing="off"/>
        <w:rPr>
          <w:rFonts w:ascii="Arial" w:hAnsi="Arial" w:eastAsia="Arial" w:cs="Arial"/>
          <w:b w:val="1"/>
          <w:bCs w:val="1"/>
          <w:noProof w:val="0"/>
          <w:color w:val="auto"/>
          <w:sz w:val="24"/>
          <w:szCs w:val="24"/>
          <w:lang w:val="en-GB"/>
        </w:rPr>
      </w:pPr>
      <w:r w:rsidRPr="6042CF5E" w:rsidR="396097A4">
        <w:rPr>
          <w:rFonts w:ascii="Arial" w:hAnsi="Arial" w:eastAsia="Arial" w:cs="Arial"/>
          <w:b w:val="1"/>
          <w:bCs w:val="1"/>
          <w:noProof w:val="0"/>
          <w:color w:val="auto"/>
          <w:sz w:val="24"/>
          <w:szCs w:val="24"/>
          <w:lang w:val="en-GB"/>
        </w:rPr>
        <w:t>Monitoring and Personalised Risk Stratification</w:t>
      </w:r>
    </w:p>
    <w:p xmlns:wp14="http://schemas.microsoft.com/office/word/2010/wordml" w:rsidP="6042CF5E" wp14:paraId="280009BB" wp14:textId="3D10A41C">
      <w:pPr>
        <w:spacing w:before="240" w:beforeAutospacing="off" w:after="240" w:afterAutospacing="off"/>
      </w:pPr>
      <w:r w:rsidRPr="6042CF5E" w:rsidR="396097A4">
        <w:rPr>
          <w:rFonts w:ascii="Arial" w:hAnsi="Arial" w:eastAsia="Arial" w:cs="Arial"/>
          <w:noProof w:val="0"/>
          <w:sz w:val="24"/>
          <w:szCs w:val="24"/>
          <w:lang w:val="en-GB"/>
        </w:rPr>
        <w:t>HbA1c remains the primary biomarker for long-term glycaemic control, reflecting mean blood glucose over approximately three months. However, recent discourse highlights limitations, including variability across ethnic groups and reduced accuracy in conditions affecting red blood cell turnover.</w:t>
      </w:r>
    </w:p>
    <w:p xmlns:wp14="http://schemas.microsoft.com/office/word/2010/wordml" w:rsidP="6042CF5E" wp14:paraId="27F60D09" wp14:textId="250E0EC3">
      <w:pPr>
        <w:spacing w:before="240" w:beforeAutospacing="off" w:after="240" w:afterAutospacing="off"/>
      </w:pPr>
      <w:r w:rsidRPr="6042CF5E" w:rsidR="396097A4">
        <w:rPr>
          <w:rFonts w:ascii="Arial" w:hAnsi="Arial" w:eastAsia="Arial" w:cs="Arial"/>
          <w:noProof w:val="0"/>
          <w:sz w:val="24"/>
          <w:szCs w:val="24"/>
          <w:lang w:val="en-GB"/>
        </w:rPr>
        <w:t>Continuous glucose monitoring (CGM), increasingly used in T2DM, offers real</w:t>
      </w:r>
      <w:r w:rsidRPr="6042CF5E" w:rsidR="22B628E9">
        <w:rPr>
          <w:rFonts w:ascii="Arial" w:hAnsi="Arial" w:eastAsia="Arial" w:cs="Arial"/>
          <w:noProof w:val="0"/>
          <w:sz w:val="24"/>
          <w:szCs w:val="24"/>
          <w:lang w:val="en-GB"/>
        </w:rPr>
        <w:t xml:space="preserve"> </w:t>
      </w:r>
      <w:r w:rsidRPr="6042CF5E" w:rsidR="396097A4">
        <w:rPr>
          <w:rFonts w:ascii="Arial" w:hAnsi="Arial" w:eastAsia="Arial" w:cs="Arial"/>
          <w:noProof w:val="0"/>
          <w:sz w:val="24"/>
          <w:szCs w:val="24"/>
          <w:lang w:val="en-GB"/>
        </w:rPr>
        <w:t xml:space="preserve">time glucose variability data, </w:t>
      </w:r>
      <w:r w:rsidRPr="6042CF5E" w:rsidR="396097A4">
        <w:rPr>
          <w:rFonts w:ascii="Arial" w:hAnsi="Arial" w:eastAsia="Arial" w:cs="Arial"/>
          <w:noProof w:val="0"/>
          <w:sz w:val="24"/>
          <w:szCs w:val="24"/>
          <w:lang w:val="en-GB"/>
        </w:rPr>
        <w:t>facilitating</w:t>
      </w:r>
      <w:r w:rsidRPr="6042CF5E" w:rsidR="396097A4">
        <w:rPr>
          <w:rFonts w:ascii="Arial" w:hAnsi="Arial" w:eastAsia="Arial" w:cs="Arial"/>
          <w:noProof w:val="0"/>
          <w:sz w:val="24"/>
          <w:szCs w:val="24"/>
          <w:lang w:val="en-GB"/>
        </w:rPr>
        <w:t xml:space="preserve"> behavioural insight and medication adjustment (Davies et al., 2022). Individualised glycaemic targets are recommended, particularly for older adults or those with significant comorbidities, to avoid hypoglycaemia-related harm.</w:t>
      </w:r>
    </w:p>
    <w:p xmlns:wp14="http://schemas.microsoft.com/office/word/2010/wordml" w:rsidP="6042CF5E" wp14:paraId="5A644924" wp14:textId="65E30587">
      <w:pPr>
        <w:spacing w:before="240" w:beforeAutospacing="off" w:after="240" w:afterAutospacing="off"/>
      </w:pPr>
      <w:r w:rsidRPr="6042CF5E" w:rsidR="396097A4">
        <w:rPr>
          <w:rFonts w:ascii="Arial" w:hAnsi="Arial" w:eastAsia="Arial" w:cs="Arial"/>
          <w:noProof w:val="0"/>
          <w:sz w:val="24"/>
          <w:szCs w:val="24"/>
          <w:lang w:val="en-GB"/>
        </w:rPr>
        <w:t xml:space="preserve">Diabetes </w:t>
      </w:r>
      <w:r w:rsidRPr="6042CF5E" w:rsidR="5846E883">
        <w:rPr>
          <w:rFonts w:ascii="Arial" w:hAnsi="Arial" w:eastAsia="Arial" w:cs="Arial"/>
          <w:noProof w:val="0"/>
          <w:sz w:val="24"/>
          <w:szCs w:val="24"/>
          <w:lang w:val="en-GB"/>
        </w:rPr>
        <w:t>self-management</w:t>
      </w:r>
      <w:r w:rsidRPr="6042CF5E" w:rsidR="396097A4">
        <w:rPr>
          <w:rFonts w:ascii="Arial" w:hAnsi="Arial" w:eastAsia="Arial" w:cs="Arial"/>
          <w:noProof w:val="0"/>
          <w:sz w:val="24"/>
          <w:szCs w:val="24"/>
          <w:lang w:val="en-GB"/>
        </w:rPr>
        <w:t xml:space="preserve"> education and support (DSMES) programmes have </w:t>
      </w:r>
      <w:r w:rsidRPr="6042CF5E" w:rsidR="396097A4">
        <w:rPr>
          <w:rFonts w:ascii="Arial" w:hAnsi="Arial" w:eastAsia="Arial" w:cs="Arial"/>
          <w:noProof w:val="0"/>
          <w:sz w:val="24"/>
          <w:szCs w:val="24"/>
          <w:lang w:val="en-GB"/>
        </w:rPr>
        <w:t>demonstrated</w:t>
      </w:r>
      <w:r w:rsidRPr="6042CF5E" w:rsidR="396097A4">
        <w:rPr>
          <w:rFonts w:ascii="Arial" w:hAnsi="Arial" w:eastAsia="Arial" w:cs="Arial"/>
          <w:noProof w:val="0"/>
          <w:sz w:val="24"/>
          <w:szCs w:val="24"/>
          <w:lang w:val="en-GB"/>
        </w:rPr>
        <w:t xml:space="preserve"> improvements in HbA1c, quality of life, and medication adherence (Powers et al., 2020). Behavioural engagement is therefore central to translating biomedical monitoring into meaningful outcomes.</w:t>
      </w:r>
    </w:p>
    <w:p xmlns:wp14="http://schemas.microsoft.com/office/word/2010/wordml" wp14:paraId="78062563" wp14:textId="035AC5AF"/>
    <w:p xmlns:wp14="http://schemas.microsoft.com/office/word/2010/wordml" w:rsidP="6042CF5E" wp14:paraId="50040C91" wp14:textId="052B2B3C">
      <w:pPr>
        <w:pStyle w:val="Heading2"/>
        <w:spacing w:before="299" w:beforeAutospacing="off" w:after="299" w:afterAutospacing="off"/>
        <w:rPr>
          <w:rFonts w:ascii="Arial" w:hAnsi="Arial" w:eastAsia="Arial" w:cs="Arial"/>
          <w:b w:val="1"/>
          <w:bCs w:val="1"/>
          <w:noProof w:val="0"/>
          <w:color w:val="auto"/>
          <w:sz w:val="24"/>
          <w:szCs w:val="24"/>
          <w:lang w:val="en-GB"/>
        </w:rPr>
      </w:pPr>
      <w:r w:rsidRPr="6042CF5E" w:rsidR="396097A4">
        <w:rPr>
          <w:rFonts w:ascii="Arial" w:hAnsi="Arial" w:eastAsia="Arial" w:cs="Arial"/>
          <w:b w:val="1"/>
          <w:bCs w:val="1"/>
          <w:noProof w:val="0"/>
          <w:color w:val="auto"/>
          <w:sz w:val="28"/>
          <w:szCs w:val="28"/>
          <w:lang w:val="en-GB"/>
        </w:rPr>
        <w:t>Lifestyle Intervention: Efficacy, Sustainability and Structural Barriers</w:t>
      </w:r>
    </w:p>
    <w:p xmlns:wp14="http://schemas.microsoft.com/office/word/2010/wordml" w:rsidP="6042CF5E" wp14:paraId="5DFF0318" wp14:textId="426A2992">
      <w:pPr>
        <w:pStyle w:val="Heading3"/>
        <w:spacing w:before="281" w:beforeAutospacing="off" w:after="281" w:afterAutospacing="off"/>
        <w:rPr>
          <w:rFonts w:ascii="Arial" w:hAnsi="Arial" w:eastAsia="Arial" w:cs="Arial"/>
          <w:b w:val="1"/>
          <w:bCs w:val="1"/>
          <w:noProof w:val="0"/>
          <w:color w:val="auto"/>
          <w:sz w:val="22"/>
          <w:szCs w:val="22"/>
          <w:lang w:val="en-GB"/>
        </w:rPr>
      </w:pPr>
      <w:r w:rsidRPr="6042CF5E" w:rsidR="396097A4">
        <w:rPr>
          <w:rFonts w:ascii="Arial" w:hAnsi="Arial" w:eastAsia="Arial" w:cs="Arial"/>
          <w:b w:val="1"/>
          <w:bCs w:val="1"/>
          <w:noProof w:val="0"/>
          <w:color w:val="auto"/>
          <w:sz w:val="24"/>
          <w:szCs w:val="24"/>
          <w:lang w:val="en-GB"/>
        </w:rPr>
        <w:t>Dietary Modification</w:t>
      </w:r>
    </w:p>
    <w:p xmlns:wp14="http://schemas.microsoft.com/office/word/2010/wordml" w:rsidP="6042CF5E" wp14:paraId="57296406" wp14:textId="65B87ED6">
      <w:pPr>
        <w:spacing w:before="240" w:beforeAutospacing="off" w:after="240" w:afterAutospacing="off"/>
      </w:pPr>
      <w:r w:rsidRPr="6042CF5E" w:rsidR="396097A4">
        <w:rPr>
          <w:rFonts w:ascii="Arial" w:hAnsi="Arial" w:eastAsia="Arial" w:cs="Arial"/>
          <w:noProof w:val="0"/>
          <w:sz w:val="24"/>
          <w:szCs w:val="24"/>
          <w:lang w:val="en-GB"/>
        </w:rPr>
        <w:t xml:space="preserve">Weight reduction of 5–10% significantly improves insulin sensitivity and glycaemic control (Taylor, 2013). The Mediterranean diet </w:t>
      </w:r>
      <w:r w:rsidRPr="6042CF5E" w:rsidR="396097A4">
        <w:rPr>
          <w:rFonts w:ascii="Arial" w:hAnsi="Arial" w:eastAsia="Arial" w:cs="Arial"/>
          <w:noProof w:val="0"/>
          <w:sz w:val="24"/>
          <w:szCs w:val="24"/>
          <w:lang w:val="en-GB"/>
        </w:rPr>
        <w:t>demonstrates</w:t>
      </w:r>
      <w:r w:rsidRPr="6042CF5E" w:rsidR="396097A4">
        <w:rPr>
          <w:rFonts w:ascii="Arial" w:hAnsi="Arial" w:eastAsia="Arial" w:cs="Arial"/>
          <w:noProof w:val="0"/>
          <w:sz w:val="24"/>
          <w:szCs w:val="24"/>
          <w:lang w:val="en-GB"/>
        </w:rPr>
        <w:t xml:space="preserve"> robust improvements in cardiovascular risk markers and glycaemic indices (Esposito et al., 2014). Low</w:t>
      </w:r>
      <w:r w:rsidRPr="6042CF5E" w:rsidR="2F6311B4">
        <w:rPr>
          <w:rFonts w:ascii="Arial" w:hAnsi="Arial" w:eastAsia="Arial" w:cs="Arial"/>
          <w:noProof w:val="0"/>
          <w:sz w:val="24"/>
          <w:szCs w:val="24"/>
          <w:lang w:val="en-GB"/>
        </w:rPr>
        <w:t xml:space="preserve"> </w:t>
      </w:r>
      <w:r w:rsidRPr="6042CF5E" w:rsidR="396097A4">
        <w:rPr>
          <w:rFonts w:ascii="Arial" w:hAnsi="Arial" w:eastAsia="Arial" w:cs="Arial"/>
          <w:noProof w:val="0"/>
          <w:sz w:val="24"/>
          <w:szCs w:val="24"/>
          <w:lang w:val="en-GB"/>
        </w:rPr>
        <w:t>carbohydrate and low</w:t>
      </w:r>
      <w:r w:rsidRPr="6042CF5E" w:rsidR="06843C8C">
        <w:rPr>
          <w:rFonts w:ascii="Arial" w:hAnsi="Arial" w:eastAsia="Arial" w:cs="Arial"/>
          <w:noProof w:val="0"/>
          <w:sz w:val="24"/>
          <w:szCs w:val="24"/>
          <w:lang w:val="en-GB"/>
        </w:rPr>
        <w:t xml:space="preserve"> </w:t>
      </w:r>
      <w:r w:rsidRPr="6042CF5E" w:rsidR="396097A4">
        <w:rPr>
          <w:rFonts w:ascii="Arial" w:hAnsi="Arial" w:eastAsia="Arial" w:cs="Arial"/>
          <w:noProof w:val="0"/>
          <w:sz w:val="24"/>
          <w:szCs w:val="24"/>
          <w:lang w:val="en-GB"/>
        </w:rPr>
        <w:t>energy diets have shown short</w:t>
      </w:r>
      <w:r w:rsidRPr="6042CF5E" w:rsidR="0B41A1CA">
        <w:rPr>
          <w:rFonts w:ascii="Arial" w:hAnsi="Arial" w:eastAsia="Arial" w:cs="Arial"/>
          <w:noProof w:val="0"/>
          <w:sz w:val="24"/>
          <w:szCs w:val="24"/>
          <w:lang w:val="en-GB"/>
        </w:rPr>
        <w:t xml:space="preserve"> t</w:t>
      </w:r>
      <w:r w:rsidRPr="6042CF5E" w:rsidR="396097A4">
        <w:rPr>
          <w:rFonts w:ascii="Arial" w:hAnsi="Arial" w:eastAsia="Arial" w:cs="Arial"/>
          <w:noProof w:val="0"/>
          <w:sz w:val="24"/>
          <w:szCs w:val="24"/>
          <w:lang w:val="en-GB"/>
        </w:rPr>
        <w:t>erm HbA1c reductions, though long-term sustainability varies.</w:t>
      </w:r>
    </w:p>
    <w:p xmlns:wp14="http://schemas.microsoft.com/office/word/2010/wordml" w:rsidP="6042CF5E" wp14:paraId="2EA7BC0F" wp14:textId="07418810">
      <w:pPr>
        <w:spacing w:before="240" w:beforeAutospacing="off" w:after="240" w:afterAutospacing="off"/>
      </w:pPr>
      <w:r w:rsidRPr="6042CF5E" w:rsidR="396097A4">
        <w:rPr>
          <w:rFonts w:ascii="Arial" w:hAnsi="Arial" w:eastAsia="Arial" w:cs="Arial"/>
          <w:noProof w:val="0"/>
          <w:sz w:val="24"/>
          <w:szCs w:val="24"/>
          <w:lang w:val="en-GB"/>
        </w:rPr>
        <w:t>The Di</w:t>
      </w:r>
      <w:r w:rsidRPr="6042CF5E" w:rsidR="738556EE">
        <w:rPr>
          <w:rFonts w:ascii="Arial" w:hAnsi="Arial" w:eastAsia="Arial" w:cs="Arial"/>
          <w:noProof w:val="0"/>
          <w:sz w:val="24"/>
          <w:szCs w:val="24"/>
          <w:lang w:val="en-GB"/>
        </w:rPr>
        <w:t xml:space="preserve">rect </w:t>
      </w:r>
      <w:r w:rsidRPr="6042CF5E" w:rsidR="396097A4">
        <w:rPr>
          <w:rFonts w:ascii="Arial" w:hAnsi="Arial" w:eastAsia="Arial" w:cs="Arial"/>
          <w:noProof w:val="0"/>
          <w:sz w:val="24"/>
          <w:szCs w:val="24"/>
          <w:lang w:val="en-GB"/>
        </w:rPr>
        <w:t xml:space="preserve">trial (Lean et al., 2018; 2021) </w:t>
      </w:r>
      <w:r w:rsidRPr="6042CF5E" w:rsidR="396097A4">
        <w:rPr>
          <w:rFonts w:ascii="Arial" w:hAnsi="Arial" w:eastAsia="Arial" w:cs="Arial"/>
          <w:noProof w:val="0"/>
          <w:sz w:val="24"/>
          <w:szCs w:val="24"/>
          <w:lang w:val="en-GB"/>
        </w:rPr>
        <w:t>demonstrated</w:t>
      </w:r>
      <w:r w:rsidRPr="6042CF5E" w:rsidR="396097A4">
        <w:rPr>
          <w:rFonts w:ascii="Arial" w:hAnsi="Arial" w:eastAsia="Arial" w:cs="Arial"/>
          <w:noProof w:val="0"/>
          <w:sz w:val="24"/>
          <w:szCs w:val="24"/>
          <w:lang w:val="en-GB"/>
        </w:rPr>
        <w:t xml:space="preserve"> remission rates approaching 46% at one year in participants achieving 15 kg weight loss. However, relapse occurred in individuals who regained weight, highlighting the importance of sustained behavioural change.</w:t>
      </w:r>
    </w:p>
    <w:p xmlns:wp14="http://schemas.microsoft.com/office/word/2010/wordml" w:rsidP="6042CF5E" wp14:paraId="727C4184" wp14:textId="4570CC7A">
      <w:pPr>
        <w:spacing w:before="240" w:beforeAutospacing="off" w:after="240" w:afterAutospacing="off"/>
      </w:pPr>
      <w:r w:rsidRPr="6042CF5E" w:rsidR="396097A4">
        <w:rPr>
          <w:rFonts w:ascii="Arial" w:hAnsi="Arial" w:eastAsia="Arial" w:cs="Arial"/>
          <w:noProof w:val="0"/>
          <w:sz w:val="24"/>
          <w:szCs w:val="24"/>
          <w:lang w:val="en-GB"/>
        </w:rPr>
        <w:t>Socioeconomic inequalities profoundly influence dietary adherence. Food insecurity, marketing of energy-dense foods, and cost barriers undermine long-term success. Therefore, while biologically effective, dietary interventions require supportive public health policy to achieve equitable outcomes.</w:t>
      </w:r>
    </w:p>
    <w:p xmlns:wp14="http://schemas.microsoft.com/office/word/2010/wordml" w:rsidP="6042CF5E" wp14:paraId="25CD3009" wp14:textId="779A90E8">
      <w:pPr>
        <w:pStyle w:val="Heading3"/>
        <w:spacing w:before="281" w:beforeAutospacing="off" w:after="281" w:afterAutospacing="off"/>
        <w:rPr>
          <w:rFonts w:ascii="Arial" w:hAnsi="Arial" w:eastAsia="Arial" w:cs="Arial"/>
          <w:b w:val="1"/>
          <w:bCs w:val="1"/>
          <w:noProof w:val="0"/>
          <w:color w:val="auto"/>
          <w:sz w:val="24"/>
          <w:szCs w:val="24"/>
          <w:lang w:val="en-GB"/>
        </w:rPr>
      </w:pPr>
      <w:r w:rsidRPr="6042CF5E" w:rsidR="396097A4">
        <w:rPr>
          <w:rFonts w:ascii="Arial" w:hAnsi="Arial" w:eastAsia="Arial" w:cs="Arial"/>
          <w:b w:val="1"/>
          <w:bCs w:val="1"/>
          <w:noProof w:val="0"/>
          <w:color w:val="auto"/>
          <w:sz w:val="24"/>
          <w:szCs w:val="24"/>
          <w:lang w:val="en-GB"/>
        </w:rPr>
        <w:t>Physical Activity</w:t>
      </w:r>
    </w:p>
    <w:p xmlns:wp14="http://schemas.microsoft.com/office/word/2010/wordml" w:rsidP="6042CF5E" wp14:paraId="68AF6542" wp14:textId="0FEEA286">
      <w:pPr>
        <w:spacing w:before="240" w:beforeAutospacing="off" w:after="240" w:afterAutospacing="off"/>
      </w:pPr>
      <w:r w:rsidRPr="6042CF5E" w:rsidR="396097A4">
        <w:rPr>
          <w:rFonts w:ascii="Arial" w:hAnsi="Arial" w:eastAsia="Arial" w:cs="Arial"/>
          <w:noProof w:val="0"/>
          <w:sz w:val="24"/>
          <w:szCs w:val="24"/>
          <w:lang w:val="en-GB"/>
        </w:rPr>
        <w:t>Guidelines recommend at least 150 minutes of moderate</w:t>
      </w:r>
      <w:r w:rsidRPr="6042CF5E" w:rsidR="2E9FCAF7">
        <w:rPr>
          <w:rFonts w:ascii="Arial" w:hAnsi="Arial" w:eastAsia="Arial" w:cs="Arial"/>
          <w:noProof w:val="0"/>
          <w:sz w:val="24"/>
          <w:szCs w:val="24"/>
          <w:lang w:val="en-GB"/>
        </w:rPr>
        <w:t xml:space="preserve"> </w:t>
      </w:r>
      <w:r w:rsidRPr="6042CF5E" w:rsidR="396097A4">
        <w:rPr>
          <w:rFonts w:ascii="Arial" w:hAnsi="Arial" w:eastAsia="Arial" w:cs="Arial"/>
          <w:noProof w:val="0"/>
          <w:sz w:val="24"/>
          <w:szCs w:val="24"/>
          <w:lang w:val="en-GB"/>
        </w:rPr>
        <w:t>intensity aerobic activity weekly (NHS, 2022). Exercise enhances insulin sensitivity, increases mitochondrial biogenesis</w:t>
      </w:r>
      <w:r w:rsidRPr="6042CF5E" w:rsidR="74D7208D">
        <w:rPr>
          <w:rFonts w:ascii="Arial" w:hAnsi="Arial" w:eastAsia="Arial" w:cs="Arial"/>
          <w:noProof w:val="0"/>
          <w:sz w:val="24"/>
          <w:szCs w:val="24"/>
          <w:lang w:val="en-GB"/>
        </w:rPr>
        <w:t xml:space="preserve"> </w:t>
      </w:r>
      <w:r w:rsidRPr="6042CF5E" w:rsidR="396097A4">
        <w:rPr>
          <w:rFonts w:ascii="Arial" w:hAnsi="Arial" w:eastAsia="Arial" w:cs="Arial"/>
          <w:noProof w:val="0"/>
          <w:sz w:val="24"/>
          <w:szCs w:val="24"/>
          <w:lang w:val="en-GB"/>
        </w:rPr>
        <w:t>and reduces visceral adiposity. Resistance training further improves glycaemic control by increasing muscle mass.</w:t>
      </w:r>
    </w:p>
    <w:p xmlns:wp14="http://schemas.microsoft.com/office/word/2010/wordml" w:rsidP="6042CF5E" wp14:paraId="2C873551" wp14:textId="15A941A8">
      <w:pPr>
        <w:spacing w:before="240" w:beforeAutospacing="off" w:after="240" w:afterAutospacing="off"/>
      </w:pPr>
      <w:r w:rsidRPr="6042CF5E" w:rsidR="396097A4">
        <w:rPr>
          <w:rFonts w:ascii="Arial" w:hAnsi="Arial" w:eastAsia="Arial" w:cs="Arial"/>
          <w:noProof w:val="0"/>
          <w:sz w:val="24"/>
          <w:szCs w:val="24"/>
          <w:lang w:val="en-GB"/>
        </w:rPr>
        <w:t>However, adherence remains inconsistent. Environmental barriers, time constraints, and comorbidities limit participation. Community-based programmes integrating behavioural psychology demonstrate improved sustainability compared to prescriptive advice alone (Davies et al., 2022).</w:t>
      </w:r>
    </w:p>
    <w:p xmlns:wp14="http://schemas.microsoft.com/office/word/2010/wordml" w:rsidP="6042CF5E" wp14:paraId="2CC6DABE" wp14:textId="631782F4">
      <w:pPr>
        <w:pStyle w:val="Heading3"/>
        <w:spacing w:before="281" w:beforeAutospacing="off" w:after="281" w:afterAutospacing="off"/>
        <w:rPr>
          <w:rFonts w:ascii="Arial" w:hAnsi="Arial" w:eastAsia="Arial" w:cs="Arial"/>
          <w:b w:val="1"/>
          <w:bCs w:val="1"/>
          <w:noProof w:val="0"/>
          <w:color w:val="auto"/>
          <w:sz w:val="20"/>
          <w:szCs w:val="20"/>
          <w:lang w:val="en-GB"/>
        </w:rPr>
      </w:pPr>
      <w:r w:rsidRPr="6042CF5E" w:rsidR="396097A4">
        <w:rPr>
          <w:rFonts w:ascii="Arial" w:hAnsi="Arial" w:eastAsia="Arial" w:cs="Arial"/>
          <w:b w:val="1"/>
          <w:bCs w:val="1"/>
          <w:noProof w:val="0"/>
          <w:color w:val="auto"/>
          <w:sz w:val="22"/>
          <w:szCs w:val="22"/>
          <w:lang w:val="en-GB"/>
        </w:rPr>
        <w:t>Smoking Cessation</w:t>
      </w:r>
    </w:p>
    <w:p xmlns:wp14="http://schemas.microsoft.com/office/word/2010/wordml" w:rsidP="6042CF5E" wp14:paraId="138D5A3C" wp14:textId="03ACB3BE">
      <w:pPr>
        <w:spacing w:before="240" w:beforeAutospacing="off" w:after="240" w:afterAutospacing="off"/>
      </w:pPr>
      <w:r w:rsidRPr="6042CF5E" w:rsidR="396097A4">
        <w:rPr>
          <w:rFonts w:ascii="Arial" w:hAnsi="Arial" w:eastAsia="Arial" w:cs="Arial"/>
          <w:noProof w:val="0"/>
          <w:sz w:val="24"/>
          <w:szCs w:val="24"/>
          <w:lang w:val="en-GB"/>
        </w:rPr>
        <w:t>Smoking significantly increases cardiovascular risk in T2DM populations. Comprehensive cessation programmes incorporating behavioural counselling and pharmacotherapy demonstrate superior outcomes compared to brief advice alone (NHS England, 2022).</w:t>
      </w:r>
    </w:p>
    <w:p xmlns:wp14="http://schemas.microsoft.com/office/word/2010/wordml" wp14:paraId="0368847B" wp14:textId="6149013F"/>
    <w:p xmlns:wp14="http://schemas.microsoft.com/office/word/2010/wordml" w:rsidP="6042CF5E" wp14:paraId="002B12A8" wp14:textId="4E58A041">
      <w:pPr>
        <w:pStyle w:val="Heading2"/>
        <w:spacing w:before="299" w:beforeAutospacing="off" w:after="299" w:afterAutospacing="off"/>
        <w:rPr>
          <w:rFonts w:ascii="Arial" w:hAnsi="Arial" w:eastAsia="Arial" w:cs="Arial"/>
          <w:b w:val="1"/>
          <w:bCs w:val="1"/>
          <w:noProof w:val="0"/>
          <w:color w:val="auto"/>
          <w:sz w:val="22"/>
          <w:szCs w:val="22"/>
          <w:lang w:val="en-GB"/>
        </w:rPr>
      </w:pPr>
      <w:r w:rsidRPr="6042CF5E" w:rsidR="396097A4">
        <w:rPr>
          <w:rFonts w:ascii="Arial" w:hAnsi="Arial" w:eastAsia="Arial" w:cs="Arial"/>
          <w:b w:val="1"/>
          <w:bCs w:val="1"/>
          <w:noProof w:val="0"/>
          <w:color w:val="auto"/>
          <w:sz w:val="24"/>
          <w:szCs w:val="24"/>
          <w:lang w:val="en-GB"/>
        </w:rPr>
        <w:t>Pharmacological Management: Evolving Paradigms</w:t>
      </w:r>
    </w:p>
    <w:p xmlns:wp14="http://schemas.microsoft.com/office/word/2010/wordml" w:rsidP="6042CF5E" wp14:paraId="702FEBCC" wp14:textId="6F93E38E">
      <w:pPr>
        <w:spacing w:before="240" w:beforeAutospacing="off" w:after="240" w:afterAutospacing="off"/>
      </w:pPr>
      <w:r w:rsidRPr="6042CF5E" w:rsidR="396097A4">
        <w:rPr>
          <w:rFonts w:ascii="Arial" w:hAnsi="Arial" w:eastAsia="Arial" w:cs="Arial"/>
          <w:noProof w:val="0"/>
          <w:sz w:val="24"/>
          <w:szCs w:val="24"/>
          <w:lang w:val="en-GB"/>
        </w:rPr>
        <w:t xml:space="preserve">Metformin </w:t>
      </w:r>
      <w:r w:rsidRPr="6042CF5E" w:rsidR="396097A4">
        <w:rPr>
          <w:rFonts w:ascii="Arial" w:hAnsi="Arial" w:eastAsia="Arial" w:cs="Arial"/>
          <w:noProof w:val="0"/>
          <w:sz w:val="24"/>
          <w:szCs w:val="24"/>
          <w:lang w:val="en-GB"/>
        </w:rPr>
        <w:t>remains</w:t>
      </w:r>
      <w:r w:rsidRPr="6042CF5E" w:rsidR="396097A4">
        <w:rPr>
          <w:rFonts w:ascii="Arial" w:hAnsi="Arial" w:eastAsia="Arial" w:cs="Arial"/>
          <w:noProof w:val="0"/>
          <w:sz w:val="24"/>
          <w:szCs w:val="24"/>
          <w:lang w:val="en-GB"/>
        </w:rPr>
        <w:t xml:space="preserve"> first</w:t>
      </w:r>
      <w:r w:rsidRPr="6042CF5E" w:rsidR="3D1BF403">
        <w:rPr>
          <w:rFonts w:ascii="Arial" w:hAnsi="Arial" w:eastAsia="Arial" w:cs="Arial"/>
          <w:noProof w:val="0"/>
          <w:sz w:val="24"/>
          <w:szCs w:val="24"/>
          <w:lang w:val="en-GB"/>
        </w:rPr>
        <w:t xml:space="preserve"> </w:t>
      </w:r>
      <w:r w:rsidRPr="6042CF5E" w:rsidR="396097A4">
        <w:rPr>
          <w:rFonts w:ascii="Arial" w:hAnsi="Arial" w:eastAsia="Arial" w:cs="Arial"/>
          <w:noProof w:val="0"/>
          <w:sz w:val="24"/>
          <w:szCs w:val="24"/>
          <w:lang w:val="en-GB"/>
        </w:rPr>
        <w:t>line pharmacotherapy due to its hepatic gluconeogenesis suppression, favourable safety profile, and potential cardiovascular benefit (Rang et al., 2019).</w:t>
      </w:r>
    </w:p>
    <w:p xmlns:wp14="http://schemas.microsoft.com/office/word/2010/wordml" w:rsidP="6042CF5E" wp14:paraId="27382849" wp14:textId="692C92F6">
      <w:pPr>
        <w:spacing w:before="240" w:beforeAutospacing="off" w:after="240" w:afterAutospacing="off"/>
      </w:pPr>
      <w:r w:rsidRPr="6042CF5E" w:rsidR="396097A4">
        <w:rPr>
          <w:rFonts w:ascii="Arial" w:hAnsi="Arial" w:eastAsia="Arial" w:cs="Arial"/>
          <w:noProof w:val="0"/>
          <w:sz w:val="24"/>
          <w:szCs w:val="24"/>
          <w:lang w:val="en-GB"/>
        </w:rPr>
        <w:t>Second-line therapies increasingly prioritise cardiometabolic protection:</w:t>
      </w:r>
    </w:p>
    <w:p xmlns:wp14="http://schemas.microsoft.com/office/word/2010/wordml" w:rsidP="6042CF5E" wp14:paraId="2843BCE5" wp14:textId="2C622478">
      <w:pPr>
        <w:pStyle w:val="ListParagraph"/>
        <w:numPr>
          <w:ilvl w:val="0"/>
          <w:numId w:val="1"/>
        </w:numPr>
        <w:spacing w:before="240" w:beforeAutospacing="off" w:after="240" w:afterAutospacing="off"/>
        <w:rPr>
          <w:rFonts w:ascii="Arial" w:hAnsi="Arial" w:eastAsia="Arial" w:cs="Arial"/>
          <w:noProof w:val="0"/>
          <w:sz w:val="24"/>
          <w:szCs w:val="24"/>
          <w:lang w:val="en-GB"/>
        </w:rPr>
      </w:pPr>
      <w:r w:rsidRPr="6042CF5E" w:rsidR="396097A4">
        <w:rPr>
          <w:rFonts w:ascii="Arial" w:hAnsi="Arial" w:eastAsia="Arial" w:cs="Arial"/>
          <w:b w:val="1"/>
          <w:bCs w:val="1"/>
          <w:noProof w:val="0"/>
          <w:sz w:val="24"/>
          <w:szCs w:val="24"/>
          <w:lang w:val="en-GB"/>
        </w:rPr>
        <w:t>SGLT2 inhibitors</w:t>
      </w:r>
      <w:r w:rsidRPr="6042CF5E" w:rsidR="396097A4">
        <w:rPr>
          <w:rFonts w:ascii="Arial" w:hAnsi="Arial" w:eastAsia="Arial" w:cs="Arial"/>
          <w:noProof w:val="0"/>
          <w:sz w:val="24"/>
          <w:szCs w:val="24"/>
          <w:lang w:val="en-GB"/>
        </w:rPr>
        <w:t>: reduce glucose reabsorption in renal proximal tubules, promoting glycosuria and modest weight loss. Demonstrated reductions in heart failure and renal disease progression (Zelniker et al., 2019; updated 2024 data).</w:t>
      </w:r>
    </w:p>
    <w:p xmlns:wp14="http://schemas.microsoft.com/office/word/2010/wordml" w:rsidP="6042CF5E" wp14:paraId="4A507C18" wp14:textId="28ECCF04">
      <w:pPr>
        <w:pStyle w:val="ListParagraph"/>
        <w:numPr>
          <w:ilvl w:val="0"/>
          <w:numId w:val="1"/>
        </w:numPr>
        <w:spacing w:before="240" w:beforeAutospacing="off" w:after="240" w:afterAutospacing="off"/>
        <w:rPr>
          <w:rFonts w:ascii="Arial" w:hAnsi="Arial" w:eastAsia="Arial" w:cs="Arial"/>
          <w:noProof w:val="0"/>
          <w:sz w:val="24"/>
          <w:szCs w:val="24"/>
          <w:lang w:val="en-GB"/>
        </w:rPr>
      </w:pPr>
      <w:r w:rsidRPr="6042CF5E" w:rsidR="396097A4">
        <w:rPr>
          <w:rFonts w:ascii="Arial" w:hAnsi="Arial" w:eastAsia="Arial" w:cs="Arial"/>
          <w:b w:val="1"/>
          <w:bCs w:val="1"/>
          <w:noProof w:val="0"/>
          <w:sz w:val="24"/>
          <w:szCs w:val="24"/>
          <w:lang w:val="en-GB"/>
        </w:rPr>
        <w:t>GLP-1 receptor agonists</w:t>
      </w:r>
      <w:r w:rsidRPr="6042CF5E" w:rsidR="396097A4">
        <w:rPr>
          <w:rFonts w:ascii="Arial" w:hAnsi="Arial" w:eastAsia="Arial" w:cs="Arial"/>
          <w:noProof w:val="0"/>
          <w:sz w:val="24"/>
          <w:szCs w:val="24"/>
          <w:lang w:val="en-GB"/>
        </w:rPr>
        <w:t>: enhance glucose-dependent insulin secretion, suppress appetite, and promote weight loss. Shown to reduce major cardiovascular events (Sattar et al., 2023).</w:t>
      </w:r>
    </w:p>
    <w:p xmlns:wp14="http://schemas.microsoft.com/office/word/2010/wordml" w:rsidP="6042CF5E" wp14:paraId="6A31DEE3" wp14:textId="2C830F09">
      <w:pPr>
        <w:pStyle w:val="ListParagraph"/>
        <w:numPr>
          <w:ilvl w:val="0"/>
          <w:numId w:val="1"/>
        </w:numPr>
        <w:spacing w:before="240" w:beforeAutospacing="off" w:after="240" w:afterAutospacing="off"/>
        <w:rPr>
          <w:rFonts w:ascii="Arial" w:hAnsi="Arial" w:eastAsia="Arial" w:cs="Arial"/>
          <w:noProof w:val="0"/>
          <w:sz w:val="24"/>
          <w:szCs w:val="24"/>
          <w:lang w:val="en-GB"/>
        </w:rPr>
      </w:pPr>
      <w:r w:rsidRPr="6042CF5E" w:rsidR="396097A4">
        <w:rPr>
          <w:rFonts w:ascii="Arial" w:hAnsi="Arial" w:eastAsia="Arial" w:cs="Arial"/>
          <w:b w:val="1"/>
          <w:bCs w:val="1"/>
          <w:noProof w:val="0"/>
          <w:sz w:val="24"/>
          <w:szCs w:val="24"/>
          <w:lang w:val="en-GB"/>
        </w:rPr>
        <w:t>DPP-4 inhibitors</w:t>
      </w:r>
      <w:r w:rsidRPr="6042CF5E" w:rsidR="396097A4">
        <w:rPr>
          <w:rFonts w:ascii="Arial" w:hAnsi="Arial" w:eastAsia="Arial" w:cs="Arial"/>
          <w:noProof w:val="0"/>
          <w:sz w:val="24"/>
          <w:szCs w:val="24"/>
          <w:lang w:val="en-GB"/>
        </w:rPr>
        <w:t>: modest HbA1c reduction with weight neutrality.</w:t>
      </w:r>
    </w:p>
    <w:p xmlns:wp14="http://schemas.microsoft.com/office/word/2010/wordml" w:rsidP="6042CF5E" wp14:paraId="04CDBA35" wp14:textId="0194A056">
      <w:pPr>
        <w:pStyle w:val="ListParagraph"/>
        <w:numPr>
          <w:ilvl w:val="0"/>
          <w:numId w:val="1"/>
        </w:numPr>
        <w:spacing w:before="240" w:beforeAutospacing="off" w:after="240" w:afterAutospacing="off"/>
        <w:rPr>
          <w:rFonts w:ascii="Arial" w:hAnsi="Arial" w:eastAsia="Arial" w:cs="Arial"/>
          <w:noProof w:val="0"/>
          <w:sz w:val="24"/>
          <w:szCs w:val="24"/>
          <w:lang w:val="en-GB"/>
        </w:rPr>
      </w:pPr>
      <w:r w:rsidRPr="6042CF5E" w:rsidR="396097A4">
        <w:rPr>
          <w:rFonts w:ascii="Arial" w:hAnsi="Arial" w:eastAsia="Arial" w:cs="Arial"/>
          <w:b w:val="1"/>
          <w:bCs w:val="1"/>
          <w:noProof w:val="0"/>
          <w:sz w:val="24"/>
          <w:szCs w:val="24"/>
          <w:lang w:val="en-GB"/>
        </w:rPr>
        <w:t>Insulin therapy</w:t>
      </w:r>
      <w:r w:rsidRPr="6042CF5E" w:rsidR="396097A4">
        <w:rPr>
          <w:rFonts w:ascii="Arial" w:hAnsi="Arial" w:eastAsia="Arial" w:cs="Arial"/>
          <w:noProof w:val="0"/>
          <w:sz w:val="24"/>
          <w:szCs w:val="24"/>
          <w:lang w:val="en-GB"/>
        </w:rPr>
        <w:t>: necessary in advanced disease but associated with hypoglycaemia risk and weight gain.</w:t>
      </w:r>
    </w:p>
    <w:p xmlns:wp14="http://schemas.microsoft.com/office/word/2010/wordml" w:rsidP="6042CF5E" wp14:paraId="17422049" wp14:textId="29B1546E">
      <w:pPr>
        <w:spacing w:before="240" w:beforeAutospacing="off" w:after="240" w:afterAutospacing="off"/>
      </w:pPr>
      <w:r w:rsidRPr="6042CF5E" w:rsidR="396097A4">
        <w:rPr>
          <w:rFonts w:ascii="Arial" w:hAnsi="Arial" w:eastAsia="Arial" w:cs="Arial"/>
          <w:noProof w:val="0"/>
          <w:sz w:val="24"/>
          <w:szCs w:val="24"/>
          <w:lang w:val="en-GB"/>
        </w:rPr>
        <w:t>Pharmacological management raises ethical and economic considerations. Newer agents are significantly more expensive, potentially exacerbating inequities in access. Polypharmacy increases treatment complexity and adherence burden. However, evidence increasingly supports early initiation of cardioprotective agents in high-risk individuals rather than delayed escalation.</w:t>
      </w:r>
    </w:p>
    <w:p xmlns:wp14="http://schemas.microsoft.com/office/word/2010/wordml" wp14:paraId="623D7052" wp14:textId="18864AC0"/>
    <w:p xmlns:wp14="http://schemas.microsoft.com/office/word/2010/wordml" w:rsidP="6042CF5E" wp14:paraId="17509D7A" wp14:textId="01A643F3">
      <w:pPr>
        <w:pStyle w:val="Heading2"/>
        <w:spacing w:before="299" w:beforeAutospacing="off" w:after="299" w:afterAutospacing="off"/>
        <w:rPr>
          <w:rFonts w:ascii="Arial" w:hAnsi="Arial" w:eastAsia="Arial" w:cs="Arial"/>
          <w:b w:val="1"/>
          <w:bCs w:val="1"/>
          <w:noProof w:val="0"/>
          <w:color w:val="auto"/>
          <w:sz w:val="24"/>
          <w:szCs w:val="24"/>
          <w:lang w:val="en-GB"/>
        </w:rPr>
      </w:pPr>
      <w:r w:rsidRPr="6042CF5E" w:rsidR="396097A4">
        <w:rPr>
          <w:rFonts w:ascii="Arial" w:hAnsi="Arial" w:eastAsia="Arial" w:cs="Arial"/>
          <w:b w:val="1"/>
          <w:bCs w:val="1"/>
          <w:noProof w:val="0"/>
          <w:color w:val="auto"/>
          <w:sz w:val="24"/>
          <w:szCs w:val="24"/>
          <w:lang w:val="en-GB"/>
        </w:rPr>
        <w:t>Integrative Management: Moving Beyond False Dichotomies</w:t>
      </w:r>
    </w:p>
    <w:p xmlns:wp14="http://schemas.microsoft.com/office/word/2010/wordml" w:rsidP="6042CF5E" wp14:paraId="6BA656CA" wp14:textId="57EB949C">
      <w:pPr>
        <w:spacing w:before="240" w:beforeAutospacing="off" w:after="240" w:afterAutospacing="off"/>
      </w:pPr>
      <w:r w:rsidRPr="6042CF5E" w:rsidR="396097A4">
        <w:rPr>
          <w:rFonts w:ascii="Arial" w:hAnsi="Arial" w:eastAsia="Arial" w:cs="Arial"/>
          <w:noProof w:val="0"/>
          <w:sz w:val="24"/>
          <w:szCs w:val="24"/>
          <w:lang w:val="en-GB"/>
        </w:rPr>
        <w:t>The debate between lifestyle and pharmacological management is conceptually flawed. Lifestyle interventions address upstream metabolic dysfunction and offer remission potential, particularly in early disease. Pharmacological therapies provide reliable glycaemic control and organ protection, particularly in established disease or high-risk populations.</w:t>
      </w:r>
    </w:p>
    <w:p xmlns:wp14="http://schemas.microsoft.com/office/word/2010/wordml" w:rsidP="6042CF5E" wp14:paraId="512CF4B4" wp14:textId="2D625D37">
      <w:pPr>
        <w:spacing w:before="240" w:beforeAutospacing="off" w:after="240" w:afterAutospacing="off"/>
      </w:pPr>
      <w:r w:rsidRPr="6042CF5E" w:rsidR="396097A4">
        <w:rPr>
          <w:rFonts w:ascii="Arial" w:hAnsi="Arial" w:eastAsia="Arial" w:cs="Arial"/>
          <w:noProof w:val="0"/>
          <w:sz w:val="24"/>
          <w:szCs w:val="24"/>
          <w:lang w:val="en-GB"/>
        </w:rPr>
        <w:t>An integrative model</w:t>
      </w:r>
      <w:r w:rsidRPr="6042CF5E" w:rsidR="68F80B9A">
        <w:rPr>
          <w:rFonts w:ascii="Arial" w:hAnsi="Arial" w:eastAsia="Arial" w:cs="Arial"/>
          <w:noProof w:val="0"/>
          <w:sz w:val="24"/>
          <w:szCs w:val="24"/>
          <w:lang w:val="en-GB"/>
        </w:rPr>
        <w:t xml:space="preserve"> </w:t>
      </w:r>
      <w:r w:rsidRPr="6042CF5E" w:rsidR="396097A4">
        <w:rPr>
          <w:rFonts w:ascii="Arial" w:hAnsi="Arial" w:eastAsia="Arial" w:cs="Arial"/>
          <w:noProof w:val="0"/>
          <w:sz w:val="24"/>
          <w:szCs w:val="24"/>
          <w:lang w:val="en-GB"/>
        </w:rPr>
        <w:t xml:space="preserve">combining early intensive lifestyle intervention, structured education, and </w:t>
      </w:r>
      <w:r w:rsidRPr="6042CF5E" w:rsidR="396097A4">
        <w:rPr>
          <w:rFonts w:ascii="Arial" w:hAnsi="Arial" w:eastAsia="Arial" w:cs="Arial"/>
          <w:noProof w:val="0"/>
          <w:sz w:val="24"/>
          <w:szCs w:val="24"/>
          <w:lang w:val="en-GB"/>
        </w:rPr>
        <w:t>timely</w:t>
      </w:r>
      <w:r w:rsidRPr="6042CF5E" w:rsidR="396097A4">
        <w:rPr>
          <w:rFonts w:ascii="Arial" w:hAnsi="Arial" w:eastAsia="Arial" w:cs="Arial"/>
          <w:noProof w:val="0"/>
          <w:sz w:val="24"/>
          <w:szCs w:val="24"/>
          <w:lang w:val="en-GB"/>
        </w:rPr>
        <w:t xml:space="preserve"> pharmacotherapy guided by cardiovascular risk</w:t>
      </w:r>
      <w:r w:rsidRPr="6042CF5E" w:rsidR="53BD8E68">
        <w:rPr>
          <w:rFonts w:ascii="Arial" w:hAnsi="Arial" w:eastAsia="Arial" w:cs="Arial"/>
          <w:noProof w:val="0"/>
          <w:sz w:val="24"/>
          <w:szCs w:val="24"/>
          <w:lang w:val="en-GB"/>
        </w:rPr>
        <w:t xml:space="preserve"> </w:t>
      </w:r>
      <w:r w:rsidRPr="6042CF5E" w:rsidR="396097A4">
        <w:rPr>
          <w:rFonts w:ascii="Arial" w:hAnsi="Arial" w:eastAsia="Arial" w:cs="Arial"/>
          <w:noProof w:val="0"/>
          <w:sz w:val="24"/>
          <w:szCs w:val="24"/>
          <w:lang w:val="en-GB"/>
        </w:rPr>
        <w:t>offers superior outcomes. Personalised medicine approaches incorporating genetic risk profiling, metabolic phenotyping, and behavioural assessment may further optimise treatment allocation.</w:t>
      </w:r>
    </w:p>
    <w:p xmlns:wp14="http://schemas.microsoft.com/office/word/2010/wordml" wp14:paraId="19C4786D" wp14:textId="7520F9AC"/>
    <w:p xmlns:wp14="http://schemas.microsoft.com/office/word/2010/wordml" w:rsidP="6042CF5E" wp14:paraId="4E21D16E" wp14:textId="644A1B5D">
      <w:pPr>
        <w:pStyle w:val="Heading2"/>
        <w:spacing w:before="299" w:beforeAutospacing="off" w:after="299" w:afterAutospacing="off"/>
        <w:rPr>
          <w:rFonts w:ascii="Arial" w:hAnsi="Arial" w:eastAsia="Arial" w:cs="Arial"/>
          <w:b w:val="1"/>
          <w:bCs w:val="1"/>
          <w:noProof w:val="0"/>
          <w:color w:val="auto"/>
          <w:sz w:val="22"/>
          <w:szCs w:val="22"/>
          <w:lang w:val="en-GB"/>
        </w:rPr>
      </w:pPr>
      <w:r w:rsidRPr="6042CF5E" w:rsidR="396097A4">
        <w:rPr>
          <w:rFonts w:ascii="Arial" w:hAnsi="Arial" w:eastAsia="Arial" w:cs="Arial"/>
          <w:b w:val="1"/>
          <w:bCs w:val="1"/>
          <w:noProof w:val="0"/>
          <w:color w:val="auto"/>
          <w:sz w:val="24"/>
          <w:szCs w:val="24"/>
          <w:lang w:val="en-GB"/>
        </w:rPr>
        <w:t>Public Health and Future Directions</w:t>
      </w:r>
    </w:p>
    <w:p xmlns:wp14="http://schemas.microsoft.com/office/word/2010/wordml" w:rsidP="6042CF5E" wp14:paraId="3C2A3343" wp14:textId="18D084CF">
      <w:pPr>
        <w:spacing w:before="240" w:beforeAutospacing="off" w:after="240" w:afterAutospacing="off"/>
      </w:pPr>
      <w:r w:rsidRPr="6042CF5E" w:rsidR="396097A4">
        <w:rPr>
          <w:rFonts w:ascii="Arial" w:hAnsi="Arial" w:eastAsia="Arial" w:cs="Arial"/>
          <w:noProof w:val="0"/>
          <w:sz w:val="24"/>
          <w:szCs w:val="24"/>
          <w:lang w:val="en-GB"/>
        </w:rPr>
        <w:t>The rising global prevalence of T2DM reflects systemic factors beyond individual control. Urban planning, food industry regulation, taxation of sugar-sweetened beverages, and early-life prevention strategies are increasingly recognised as essential components of diabetes control policy (World Health Organization, 2023).</w:t>
      </w:r>
    </w:p>
    <w:p xmlns:wp14="http://schemas.microsoft.com/office/word/2010/wordml" w:rsidP="6042CF5E" wp14:paraId="1A85C39D" wp14:textId="6053620A">
      <w:pPr>
        <w:spacing w:before="240" w:beforeAutospacing="off" w:after="240" w:afterAutospacing="off"/>
      </w:pPr>
      <w:r w:rsidRPr="6042CF5E" w:rsidR="396097A4">
        <w:rPr>
          <w:rFonts w:ascii="Arial" w:hAnsi="Arial" w:eastAsia="Arial" w:cs="Arial"/>
          <w:noProof w:val="0"/>
          <w:sz w:val="24"/>
          <w:szCs w:val="24"/>
          <w:lang w:val="en-GB"/>
        </w:rPr>
        <w:t>Artificial intelligence-assisted risk prediction models and digital health interventions offer promising tools for early identification and self-management support. However, digital divides risk widening inequalities if implementation lacks equity considerations.</w:t>
      </w:r>
    </w:p>
    <w:p xmlns:wp14="http://schemas.microsoft.com/office/word/2010/wordml" w:rsidP="6042CF5E" wp14:paraId="7F1951F1" wp14:textId="348B5E6C">
      <w:pPr>
        <w:spacing w:before="240" w:beforeAutospacing="off" w:after="240" w:afterAutospacing="off"/>
      </w:pPr>
      <w:r w:rsidRPr="6042CF5E" w:rsidR="396097A4">
        <w:rPr>
          <w:rFonts w:ascii="Arial" w:hAnsi="Arial" w:eastAsia="Arial" w:cs="Arial"/>
          <w:noProof w:val="0"/>
          <w:sz w:val="24"/>
          <w:szCs w:val="24"/>
          <w:lang w:val="en-GB"/>
        </w:rPr>
        <w:t>Future research should focus on long-term remission sustainability, prevention in high-risk populations, and cost-effectiveness of early cardioprotective therapy.</w:t>
      </w:r>
    </w:p>
    <w:p xmlns:wp14="http://schemas.microsoft.com/office/word/2010/wordml" w:rsidP="6042CF5E" wp14:paraId="758E25D7" wp14:textId="2D830959">
      <w:pPr>
        <w:pStyle w:val="Heading2"/>
        <w:spacing w:before="299" w:beforeAutospacing="off" w:after="299" w:afterAutospacing="off"/>
        <w:rPr>
          <w:rFonts w:ascii="Arial" w:hAnsi="Arial" w:eastAsia="Arial" w:cs="Arial"/>
          <w:b w:val="1"/>
          <w:bCs w:val="1"/>
          <w:noProof w:val="0"/>
          <w:color w:val="auto"/>
          <w:sz w:val="24"/>
          <w:szCs w:val="24"/>
          <w:lang w:val="en-GB"/>
        </w:rPr>
      </w:pPr>
      <w:r w:rsidRPr="6042CF5E" w:rsidR="396097A4">
        <w:rPr>
          <w:rFonts w:ascii="Arial" w:hAnsi="Arial" w:eastAsia="Arial" w:cs="Arial"/>
          <w:b w:val="1"/>
          <w:bCs w:val="1"/>
          <w:noProof w:val="0"/>
          <w:color w:val="auto"/>
          <w:sz w:val="24"/>
          <w:szCs w:val="24"/>
          <w:lang w:val="en-GB"/>
        </w:rPr>
        <w:t>Conclusion</w:t>
      </w:r>
    </w:p>
    <w:p xmlns:wp14="http://schemas.microsoft.com/office/word/2010/wordml" w:rsidP="6042CF5E" wp14:paraId="6715E065" wp14:textId="79F7BCB9">
      <w:pPr>
        <w:spacing w:before="240" w:beforeAutospacing="off" w:after="240" w:afterAutospacing="off"/>
      </w:pPr>
      <w:r w:rsidRPr="6042CF5E" w:rsidR="396097A4">
        <w:rPr>
          <w:rFonts w:ascii="Arial" w:hAnsi="Arial" w:eastAsia="Arial" w:cs="Arial"/>
          <w:noProof w:val="0"/>
          <w:sz w:val="24"/>
          <w:szCs w:val="24"/>
          <w:lang w:val="en-GB"/>
        </w:rPr>
        <w:t>Type 2 Diabetes Mellitus is a complex, multifactorial metabolic disorder driven by insulin resistance, beta-cell dysfunction, chronic inflammation, and environmental exposure. Its progression reflects both biological susceptibility and structural health inequalities.</w:t>
      </w:r>
    </w:p>
    <w:p xmlns:wp14="http://schemas.microsoft.com/office/word/2010/wordml" w:rsidP="6042CF5E" wp14:paraId="4062B2F4" wp14:textId="55D21EB1">
      <w:pPr>
        <w:spacing w:before="240" w:beforeAutospacing="off" w:after="240" w:afterAutospacing="off"/>
      </w:pPr>
      <w:r w:rsidRPr="6042CF5E" w:rsidR="396097A4">
        <w:rPr>
          <w:rFonts w:ascii="Arial" w:hAnsi="Arial" w:eastAsia="Arial" w:cs="Arial"/>
          <w:noProof w:val="0"/>
          <w:sz w:val="24"/>
          <w:szCs w:val="24"/>
          <w:lang w:val="en-GB"/>
        </w:rPr>
        <w:t>While intensive glycaemic control reduces microvascular complications, comprehensive cardiovascular risk reduction requires multifactorial intervention. Lifestyle modification remains biologically potent and capable of inducing remission in early disease, yet sustainability challenges and socioeconomic barriers limit universal effectiveness.</w:t>
      </w:r>
    </w:p>
    <w:p xmlns:wp14="http://schemas.microsoft.com/office/word/2010/wordml" w:rsidP="6042CF5E" wp14:paraId="2E041F1D" wp14:textId="58EF2EBE">
      <w:pPr>
        <w:spacing w:before="240" w:beforeAutospacing="off" w:after="240" w:afterAutospacing="off"/>
      </w:pPr>
      <w:r w:rsidRPr="6042CF5E" w:rsidR="396097A4">
        <w:rPr>
          <w:rFonts w:ascii="Arial" w:hAnsi="Arial" w:eastAsia="Arial" w:cs="Arial"/>
          <w:noProof w:val="0"/>
          <w:sz w:val="24"/>
          <w:szCs w:val="24"/>
          <w:lang w:val="en-GB"/>
        </w:rPr>
        <w:t>Pharmacological therapies</w:t>
      </w:r>
      <w:r w:rsidRPr="6042CF5E" w:rsidR="703197F7">
        <w:rPr>
          <w:rFonts w:ascii="Arial" w:hAnsi="Arial" w:eastAsia="Arial" w:cs="Arial"/>
          <w:noProof w:val="0"/>
          <w:sz w:val="24"/>
          <w:szCs w:val="24"/>
          <w:lang w:val="en-GB"/>
        </w:rPr>
        <w:t xml:space="preserve"> </w:t>
      </w:r>
      <w:r w:rsidRPr="6042CF5E" w:rsidR="396097A4">
        <w:rPr>
          <w:rFonts w:ascii="Arial" w:hAnsi="Arial" w:eastAsia="Arial" w:cs="Arial"/>
          <w:noProof w:val="0"/>
          <w:sz w:val="24"/>
          <w:szCs w:val="24"/>
          <w:lang w:val="en-GB"/>
        </w:rPr>
        <w:t>particularly SGLT2 inhibitors and GLP-1 receptor agonists</w:t>
      </w:r>
      <w:r w:rsidRPr="6042CF5E" w:rsidR="2669A610">
        <w:rPr>
          <w:rFonts w:ascii="Arial" w:hAnsi="Arial" w:eastAsia="Arial" w:cs="Arial"/>
          <w:noProof w:val="0"/>
          <w:sz w:val="24"/>
          <w:szCs w:val="24"/>
          <w:lang w:val="en-GB"/>
        </w:rPr>
        <w:t xml:space="preserve"> </w:t>
      </w:r>
      <w:r w:rsidRPr="6042CF5E" w:rsidR="396097A4">
        <w:rPr>
          <w:rFonts w:ascii="Arial" w:hAnsi="Arial" w:eastAsia="Arial" w:cs="Arial"/>
          <w:noProof w:val="0"/>
          <w:sz w:val="24"/>
          <w:szCs w:val="24"/>
          <w:lang w:val="en-GB"/>
        </w:rPr>
        <w:t xml:space="preserve">have transformed management paradigms by offering cardiovascular and renal protection beyond glucose lowering. However, </w:t>
      </w:r>
      <w:r w:rsidRPr="6042CF5E" w:rsidR="396097A4">
        <w:rPr>
          <w:rFonts w:ascii="Arial" w:hAnsi="Arial" w:eastAsia="Arial" w:cs="Arial"/>
          <w:noProof w:val="0"/>
          <w:sz w:val="24"/>
          <w:szCs w:val="24"/>
          <w:lang w:val="en-GB"/>
        </w:rPr>
        <w:t>equitable</w:t>
      </w:r>
      <w:r w:rsidRPr="6042CF5E" w:rsidR="396097A4">
        <w:rPr>
          <w:rFonts w:ascii="Arial" w:hAnsi="Arial" w:eastAsia="Arial" w:cs="Arial"/>
          <w:noProof w:val="0"/>
          <w:sz w:val="24"/>
          <w:szCs w:val="24"/>
          <w:lang w:val="en-GB"/>
        </w:rPr>
        <w:t xml:space="preserve"> access and polypharmacy considerations </w:t>
      </w:r>
      <w:r w:rsidRPr="6042CF5E" w:rsidR="396097A4">
        <w:rPr>
          <w:rFonts w:ascii="Arial" w:hAnsi="Arial" w:eastAsia="Arial" w:cs="Arial"/>
          <w:noProof w:val="0"/>
          <w:sz w:val="24"/>
          <w:szCs w:val="24"/>
          <w:lang w:val="en-GB"/>
        </w:rPr>
        <w:t>remain</w:t>
      </w:r>
      <w:r w:rsidRPr="6042CF5E" w:rsidR="396097A4">
        <w:rPr>
          <w:rFonts w:ascii="Arial" w:hAnsi="Arial" w:eastAsia="Arial" w:cs="Arial"/>
          <w:noProof w:val="0"/>
          <w:sz w:val="24"/>
          <w:szCs w:val="24"/>
          <w:lang w:val="en-GB"/>
        </w:rPr>
        <w:t xml:space="preserve"> critical.</w:t>
      </w:r>
    </w:p>
    <w:p xmlns:wp14="http://schemas.microsoft.com/office/word/2010/wordml" w:rsidP="6042CF5E" wp14:paraId="4CB2825E" wp14:textId="1A9C631F">
      <w:pPr>
        <w:spacing w:before="240" w:beforeAutospacing="off" w:after="240" w:afterAutospacing="off"/>
      </w:pPr>
      <w:r w:rsidRPr="6042CF5E" w:rsidR="396097A4">
        <w:rPr>
          <w:rFonts w:ascii="Arial" w:hAnsi="Arial" w:eastAsia="Arial" w:cs="Arial"/>
          <w:noProof w:val="0"/>
          <w:sz w:val="24"/>
          <w:szCs w:val="24"/>
          <w:lang w:val="en-GB"/>
        </w:rPr>
        <w:t xml:space="preserve">The </w:t>
      </w:r>
      <w:r w:rsidRPr="6042CF5E" w:rsidR="396097A4">
        <w:rPr>
          <w:rFonts w:ascii="Arial" w:hAnsi="Arial" w:eastAsia="Arial" w:cs="Arial"/>
          <w:noProof w:val="0"/>
          <w:sz w:val="24"/>
          <w:szCs w:val="24"/>
          <w:lang w:val="en-GB"/>
        </w:rPr>
        <w:t>optimal</w:t>
      </w:r>
      <w:r w:rsidRPr="6042CF5E" w:rsidR="396097A4">
        <w:rPr>
          <w:rFonts w:ascii="Arial" w:hAnsi="Arial" w:eastAsia="Arial" w:cs="Arial"/>
          <w:noProof w:val="0"/>
          <w:sz w:val="24"/>
          <w:szCs w:val="24"/>
          <w:lang w:val="en-GB"/>
        </w:rPr>
        <w:t xml:space="preserve"> strategy is neither exclusively lifestyle</w:t>
      </w:r>
      <w:r w:rsidRPr="6042CF5E" w:rsidR="1F8E6214">
        <w:rPr>
          <w:rFonts w:ascii="Arial" w:hAnsi="Arial" w:eastAsia="Arial" w:cs="Arial"/>
          <w:noProof w:val="0"/>
          <w:sz w:val="24"/>
          <w:szCs w:val="24"/>
          <w:lang w:val="en-GB"/>
        </w:rPr>
        <w:t xml:space="preserve"> </w:t>
      </w:r>
      <w:r w:rsidRPr="6042CF5E" w:rsidR="396097A4">
        <w:rPr>
          <w:rFonts w:ascii="Arial" w:hAnsi="Arial" w:eastAsia="Arial" w:cs="Arial"/>
          <w:noProof w:val="0"/>
          <w:sz w:val="24"/>
          <w:szCs w:val="24"/>
          <w:lang w:val="en-GB"/>
        </w:rPr>
        <w:t>based nor purely pharmacological. Instead, early</w:t>
      </w:r>
      <w:r w:rsidRPr="6042CF5E" w:rsidR="396097A4">
        <w:rPr>
          <w:rFonts w:ascii="Arial" w:hAnsi="Arial" w:eastAsia="Arial" w:cs="Arial"/>
          <w:noProof w:val="0"/>
          <w:sz w:val="24"/>
          <w:szCs w:val="24"/>
          <w:lang w:val="en-GB"/>
        </w:rPr>
        <w:t xml:space="preserve"> </w:t>
      </w:r>
      <w:r w:rsidRPr="6042CF5E" w:rsidR="396097A4">
        <w:rPr>
          <w:rFonts w:ascii="Arial" w:hAnsi="Arial" w:eastAsia="Arial" w:cs="Arial"/>
          <w:noProof w:val="0"/>
          <w:sz w:val="24"/>
          <w:szCs w:val="24"/>
          <w:lang w:val="en-GB"/>
        </w:rPr>
        <w:t>intensive</w:t>
      </w:r>
      <w:r w:rsidRPr="6042CF5E" w:rsidR="3E7B71BD">
        <w:rPr>
          <w:rFonts w:ascii="Arial" w:hAnsi="Arial" w:eastAsia="Arial" w:cs="Arial"/>
          <w:noProof w:val="0"/>
          <w:sz w:val="24"/>
          <w:szCs w:val="24"/>
          <w:lang w:val="en-GB"/>
        </w:rPr>
        <w:t xml:space="preserve"> </w:t>
      </w:r>
      <w:r w:rsidRPr="6042CF5E" w:rsidR="396097A4">
        <w:rPr>
          <w:rFonts w:ascii="Arial" w:hAnsi="Arial" w:eastAsia="Arial" w:cs="Arial"/>
          <w:noProof w:val="0"/>
          <w:sz w:val="24"/>
          <w:szCs w:val="24"/>
          <w:lang w:val="en-GB"/>
        </w:rPr>
        <w:t xml:space="preserve">and individualised integration of behavioural intervention, structured education, cardiometabolic risk management, and </w:t>
      </w:r>
      <w:r w:rsidRPr="6042CF5E" w:rsidR="2F7E7855">
        <w:rPr>
          <w:rFonts w:ascii="Arial" w:hAnsi="Arial" w:eastAsia="Arial" w:cs="Arial"/>
          <w:noProof w:val="0"/>
          <w:sz w:val="24"/>
          <w:szCs w:val="24"/>
          <w:lang w:val="en-GB"/>
        </w:rPr>
        <w:t>evidence-based</w:t>
      </w:r>
      <w:r w:rsidRPr="6042CF5E" w:rsidR="396097A4">
        <w:rPr>
          <w:rFonts w:ascii="Arial" w:hAnsi="Arial" w:eastAsia="Arial" w:cs="Arial"/>
          <w:noProof w:val="0"/>
          <w:sz w:val="24"/>
          <w:szCs w:val="24"/>
          <w:lang w:val="en-GB"/>
        </w:rPr>
        <w:t xml:space="preserve"> pharmacotherapy provides the strongest evidence for long</w:t>
      </w:r>
      <w:r w:rsidRPr="6042CF5E" w:rsidR="4ED8B237">
        <w:rPr>
          <w:rFonts w:ascii="Arial" w:hAnsi="Arial" w:eastAsia="Arial" w:cs="Arial"/>
          <w:noProof w:val="0"/>
          <w:sz w:val="24"/>
          <w:szCs w:val="24"/>
          <w:lang w:val="en-GB"/>
        </w:rPr>
        <w:t xml:space="preserve"> </w:t>
      </w:r>
      <w:r w:rsidRPr="6042CF5E" w:rsidR="396097A4">
        <w:rPr>
          <w:rFonts w:ascii="Arial" w:hAnsi="Arial" w:eastAsia="Arial" w:cs="Arial"/>
          <w:noProof w:val="0"/>
          <w:sz w:val="24"/>
          <w:szCs w:val="24"/>
          <w:lang w:val="en-GB"/>
        </w:rPr>
        <w:t>term outcomes.</w:t>
      </w:r>
    </w:p>
    <w:p xmlns:wp14="http://schemas.microsoft.com/office/word/2010/wordml" w:rsidP="6042CF5E" wp14:paraId="649660FA" wp14:textId="742DBDFF">
      <w:pPr>
        <w:spacing w:before="240" w:beforeAutospacing="off" w:after="240" w:afterAutospacing="off"/>
      </w:pPr>
      <w:r w:rsidRPr="6042CF5E" w:rsidR="396097A4">
        <w:rPr>
          <w:rFonts w:ascii="Arial" w:hAnsi="Arial" w:eastAsia="Arial" w:cs="Arial"/>
          <w:noProof w:val="0"/>
          <w:sz w:val="24"/>
          <w:szCs w:val="24"/>
          <w:lang w:val="en-GB"/>
        </w:rPr>
        <w:t xml:space="preserve">Future healthcare systems must prioritise prevention, </w:t>
      </w:r>
      <w:r w:rsidRPr="6042CF5E" w:rsidR="396097A4">
        <w:rPr>
          <w:rFonts w:ascii="Arial" w:hAnsi="Arial" w:eastAsia="Arial" w:cs="Arial"/>
          <w:noProof w:val="0"/>
          <w:sz w:val="24"/>
          <w:szCs w:val="24"/>
          <w:lang w:val="en-GB"/>
        </w:rPr>
        <w:t>equitable</w:t>
      </w:r>
      <w:r w:rsidRPr="6042CF5E" w:rsidR="396097A4">
        <w:rPr>
          <w:rFonts w:ascii="Arial" w:hAnsi="Arial" w:eastAsia="Arial" w:cs="Arial"/>
          <w:noProof w:val="0"/>
          <w:sz w:val="24"/>
          <w:szCs w:val="24"/>
          <w:lang w:val="en-GB"/>
        </w:rPr>
        <w:t xml:space="preserve"> </w:t>
      </w:r>
      <w:r w:rsidRPr="6042CF5E" w:rsidR="396097A4">
        <w:rPr>
          <w:rFonts w:ascii="Arial" w:hAnsi="Arial" w:eastAsia="Arial" w:cs="Arial"/>
          <w:noProof w:val="0"/>
          <w:sz w:val="24"/>
          <w:szCs w:val="24"/>
          <w:lang w:val="en-GB"/>
        </w:rPr>
        <w:t>access</w:t>
      </w:r>
      <w:r w:rsidRPr="6042CF5E" w:rsidR="3D8106B4">
        <w:rPr>
          <w:rFonts w:ascii="Arial" w:hAnsi="Arial" w:eastAsia="Arial" w:cs="Arial"/>
          <w:noProof w:val="0"/>
          <w:sz w:val="24"/>
          <w:szCs w:val="24"/>
          <w:lang w:val="en-GB"/>
        </w:rPr>
        <w:t xml:space="preserve"> </w:t>
      </w:r>
      <w:r w:rsidRPr="6042CF5E" w:rsidR="396097A4">
        <w:rPr>
          <w:rFonts w:ascii="Arial" w:hAnsi="Arial" w:eastAsia="Arial" w:cs="Arial"/>
          <w:noProof w:val="0"/>
          <w:sz w:val="24"/>
          <w:szCs w:val="24"/>
          <w:lang w:val="en-GB"/>
        </w:rPr>
        <w:t xml:space="preserve">and structural reform to mitigate the escalating burden of T2DM. Successful management </w:t>
      </w:r>
      <w:r w:rsidRPr="6042CF5E" w:rsidR="396097A4">
        <w:rPr>
          <w:rFonts w:ascii="Arial" w:hAnsi="Arial" w:eastAsia="Arial" w:cs="Arial"/>
          <w:noProof w:val="0"/>
          <w:sz w:val="24"/>
          <w:szCs w:val="24"/>
          <w:lang w:val="en-GB"/>
        </w:rPr>
        <w:t>requires</w:t>
      </w:r>
      <w:r w:rsidRPr="6042CF5E" w:rsidR="396097A4">
        <w:rPr>
          <w:rFonts w:ascii="Arial" w:hAnsi="Arial" w:eastAsia="Arial" w:cs="Arial"/>
          <w:noProof w:val="0"/>
          <w:sz w:val="24"/>
          <w:szCs w:val="24"/>
          <w:lang w:val="en-GB"/>
        </w:rPr>
        <w:t xml:space="preserve"> not only biochemical control but sustained behavioural engagement, patient empowerment</w:t>
      </w:r>
      <w:r w:rsidRPr="6042CF5E" w:rsidR="7A5807A1">
        <w:rPr>
          <w:rFonts w:ascii="Arial" w:hAnsi="Arial" w:eastAsia="Arial" w:cs="Arial"/>
          <w:noProof w:val="0"/>
          <w:sz w:val="24"/>
          <w:szCs w:val="24"/>
          <w:lang w:val="en-GB"/>
        </w:rPr>
        <w:t xml:space="preserve"> </w:t>
      </w:r>
      <w:r w:rsidRPr="6042CF5E" w:rsidR="396097A4">
        <w:rPr>
          <w:rFonts w:ascii="Arial" w:hAnsi="Arial" w:eastAsia="Arial" w:cs="Arial"/>
          <w:noProof w:val="0"/>
          <w:sz w:val="24"/>
          <w:szCs w:val="24"/>
          <w:lang w:val="en-GB"/>
        </w:rPr>
        <w:t>and systemic public health action.</w:t>
      </w:r>
    </w:p>
    <w:p xmlns:wp14="http://schemas.microsoft.com/office/word/2010/wordml" w:rsidP="6042CF5E" wp14:paraId="75010172" wp14:textId="7A8FAFE6">
      <w:pPr>
        <w:spacing w:before="240" w:beforeAutospacing="off" w:after="240" w:afterAutospacing="off"/>
        <w:rPr>
          <w:rFonts w:ascii="Arial" w:hAnsi="Arial" w:eastAsia="Arial" w:cs="Arial"/>
          <w:noProof w:val="0"/>
          <w:sz w:val="24"/>
          <w:szCs w:val="24"/>
          <w:lang w:val="en-GB"/>
        </w:rPr>
      </w:pPr>
    </w:p>
    <w:p xmlns:wp14="http://schemas.microsoft.com/office/word/2010/wordml" w:rsidP="6042CF5E" wp14:paraId="6CB7A006" wp14:textId="66B10F40">
      <w:pPr>
        <w:spacing w:before="240" w:beforeAutospacing="off" w:after="240" w:afterAutospacing="off"/>
        <w:rPr>
          <w:rFonts w:ascii="Arial" w:hAnsi="Arial" w:eastAsia="Arial" w:cs="Arial"/>
          <w:noProof w:val="0"/>
          <w:sz w:val="24"/>
          <w:szCs w:val="24"/>
          <w:lang w:val="en-GB"/>
        </w:rPr>
      </w:pPr>
    </w:p>
    <w:p xmlns:wp14="http://schemas.microsoft.com/office/word/2010/wordml" w:rsidP="6042CF5E" wp14:paraId="2F804C71" wp14:textId="689CDDB3">
      <w:pPr>
        <w:spacing w:before="240" w:beforeAutospacing="off" w:after="240" w:afterAutospacing="off"/>
        <w:rPr>
          <w:rFonts w:ascii="Arial" w:hAnsi="Arial" w:eastAsia="Arial" w:cs="Arial"/>
          <w:noProof w:val="0"/>
          <w:sz w:val="24"/>
          <w:szCs w:val="24"/>
          <w:lang w:val="en-GB"/>
        </w:rPr>
      </w:pPr>
    </w:p>
    <w:p xmlns:wp14="http://schemas.microsoft.com/office/word/2010/wordml" w:rsidP="6042CF5E" wp14:paraId="4E2A5AD9" wp14:textId="2AB5AADB">
      <w:pPr>
        <w:spacing w:before="240" w:beforeAutospacing="off" w:after="240" w:afterAutospacing="off"/>
        <w:rPr>
          <w:rFonts w:ascii="Arial" w:hAnsi="Arial" w:eastAsia="Arial" w:cs="Arial"/>
          <w:noProof w:val="0"/>
          <w:sz w:val="24"/>
          <w:szCs w:val="24"/>
          <w:lang w:val="en-GB"/>
        </w:rPr>
      </w:pPr>
    </w:p>
    <w:p xmlns:wp14="http://schemas.microsoft.com/office/word/2010/wordml" w:rsidP="6042CF5E" wp14:paraId="4862B8C1" wp14:textId="6F23F21B">
      <w:pPr>
        <w:spacing w:before="240" w:beforeAutospacing="off" w:after="240" w:afterAutospacing="off"/>
        <w:rPr>
          <w:rFonts w:ascii="Arial" w:hAnsi="Arial" w:eastAsia="Arial" w:cs="Arial"/>
          <w:noProof w:val="0"/>
          <w:sz w:val="24"/>
          <w:szCs w:val="24"/>
          <w:lang w:val="en-GB"/>
        </w:rPr>
      </w:pPr>
    </w:p>
    <w:p xmlns:wp14="http://schemas.microsoft.com/office/word/2010/wordml" w:rsidP="6042CF5E" wp14:paraId="5E4F2DF9" wp14:textId="6AC85F42">
      <w:pPr>
        <w:spacing w:before="240" w:beforeAutospacing="off" w:after="240" w:afterAutospacing="off"/>
        <w:rPr>
          <w:rFonts w:ascii="Arial" w:hAnsi="Arial" w:eastAsia="Arial" w:cs="Arial"/>
          <w:noProof w:val="0"/>
          <w:sz w:val="24"/>
          <w:szCs w:val="24"/>
          <w:lang w:val="en-GB"/>
        </w:rPr>
      </w:pPr>
    </w:p>
    <w:p xmlns:wp14="http://schemas.microsoft.com/office/word/2010/wordml" w:rsidP="6042CF5E" wp14:paraId="0D25ECC5" wp14:textId="6556630E">
      <w:pPr>
        <w:pStyle w:val="Heading1"/>
        <w:spacing w:before="322" w:beforeAutospacing="off" w:after="322" w:afterAutospacing="off"/>
        <w:rPr>
          <w:rFonts w:ascii="Arial" w:hAnsi="Arial" w:eastAsia="Arial" w:cs="Arial"/>
          <w:b w:val="0"/>
          <w:bCs w:val="0"/>
          <w:i w:val="1"/>
          <w:iCs w:val="1"/>
          <w:noProof w:val="0"/>
          <w:color w:val="auto"/>
          <w:sz w:val="28"/>
          <w:szCs w:val="28"/>
          <w:lang w:val="en-GB"/>
        </w:rPr>
      </w:pPr>
      <w:r w:rsidRPr="6042CF5E" w:rsidR="396097A4">
        <w:rPr>
          <w:rFonts w:ascii="Arial" w:hAnsi="Arial" w:eastAsia="Arial" w:cs="Arial"/>
          <w:b w:val="0"/>
          <w:bCs w:val="0"/>
          <w:i w:val="1"/>
          <w:iCs w:val="1"/>
          <w:noProof w:val="0"/>
          <w:color w:val="auto"/>
          <w:sz w:val="28"/>
          <w:szCs w:val="28"/>
          <w:lang w:val="en-GB"/>
        </w:rPr>
        <w:t>Reference</w:t>
      </w:r>
      <w:r w:rsidRPr="6042CF5E" w:rsidR="79EAE29D">
        <w:rPr>
          <w:rFonts w:ascii="Arial" w:hAnsi="Arial" w:eastAsia="Arial" w:cs="Arial"/>
          <w:b w:val="0"/>
          <w:bCs w:val="0"/>
          <w:i w:val="1"/>
          <w:iCs w:val="1"/>
          <w:noProof w:val="0"/>
          <w:color w:val="auto"/>
          <w:sz w:val="28"/>
          <w:szCs w:val="28"/>
          <w:lang w:val="en-GB"/>
        </w:rPr>
        <w:t>s</w:t>
      </w:r>
    </w:p>
    <w:p xmlns:wp14="http://schemas.microsoft.com/office/word/2010/wordml" w:rsidP="6042CF5E" wp14:paraId="6BAF6EB0" wp14:textId="4F8AD258">
      <w:pPr>
        <w:spacing w:before="240" w:beforeAutospacing="off" w:after="240" w:afterAutospacing="off"/>
      </w:pPr>
      <w:r w:rsidRPr="6042CF5E" w:rsidR="396097A4">
        <w:rPr>
          <w:rFonts w:ascii="Arial" w:hAnsi="Arial" w:eastAsia="Arial" w:cs="Arial"/>
          <w:noProof w:val="0"/>
          <w:sz w:val="24"/>
          <w:szCs w:val="24"/>
          <w:lang w:val="en-GB"/>
        </w:rPr>
        <w:t xml:space="preserve">Davies, M.J. et al. (2022) ‘Management of hyperglycaemia in type 2 diabetes, 2022 consensus report’, </w:t>
      </w:r>
      <w:r w:rsidRPr="6042CF5E" w:rsidR="396097A4">
        <w:rPr>
          <w:rFonts w:ascii="Arial" w:hAnsi="Arial" w:eastAsia="Arial" w:cs="Arial"/>
          <w:i w:val="1"/>
          <w:iCs w:val="1"/>
          <w:noProof w:val="0"/>
          <w:sz w:val="24"/>
          <w:szCs w:val="24"/>
          <w:lang w:val="en-GB"/>
        </w:rPr>
        <w:t>Diabetologia</w:t>
      </w:r>
      <w:r w:rsidRPr="6042CF5E" w:rsidR="396097A4">
        <w:rPr>
          <w:rFonts w:ascii="Arial" w:hAnsi="Arial" w:eastAsia="Arial" w:cs="Arial"/>
          <w:noProof w:val="0"/>
          <w:sz w:val="24"/>
          <w:szCs w:val="24"/>
          <w:lang w:val="en-GB"/>
        </w:rPr>
        <w:t>, 65(12), pp. 1925–1966.</w:t>
      </w:r>
    </w:p>
    <w:p xmlns:wp14="http://schemas.microsoft.com/office/word/2010/wordml" w:rsidP="6042CF5E" wp14:paraId="7CEA221A" wp14:textId="06B0B21C">
      <w:pPr>
        <w:spacing w:before="240" w:beforeAutospacing="off" w:after="240" w:afterAutospacing="off"/>
      </w:pPr>
      <w:r w:rsidRPr="6042CF5E" w:rsidR="396097A4">
        <w:rPr>
          <w:rFonts w:ascii="Arial" w:hAnsi="Arial" w:eastAsia="Arial" w:cs="Arial"/>
          <w:noProof w:val="0"/>
          <w:sz w:val="24"/>
          <w:szCs w:val="24"/>
          <w:lang w:val="en-GB"/>
        </w:rPr>
        <w:t xml:space="preserve">Diabetes UK (2023) </w:t>
      </w:r>
      <w:r w:rsidRPr="6042CF5E" w:rsidR="396097A4">
        <w:rPr>
          <w:rFonts w:ascii="Arial" w:hAnsi="Arial" w:eastAsia="Arial" w:cs="Arial"/>
          <w:i w:val="1"/>
          <w:iCs w:val="1"/>
          <w:noProof w:val="0"/>
          <w:sz w:val="24"/>
          <w:szCs w:val="24"/>
          <w:lang w:val="en-GB"/>
        </w:rPr>
        <w:t>Diabetes prevalence 2023</w:t>
      </w:r>
      <w:r w:rsidRPr="6042CF5E" w:rsidR="396097A4">
        <w:rPr>
          <w:rFonts w:ascii="Arial" w:hAnsi="Arial" w:eastAsia="Arial" w:cs="Arial"/>
          <w:noProof w:val="0"/>
          <w:sz w:val="24"/>
          <w:szCs w:val="24"/>
          <w:lang w:val="en-GB"/>
        </w:rPr>
        <w:t xml:space="preserve">. Available at: </w:t>
      </w:r>
      <w:hyperlink r:id="R50e150bc6fbd44a7">
        <w:r w:rsidRPr="6042CF5E" w:rsidR="396097A4">
          <w:rPr>
            <w:rStyle w:val="Hyperlink"/>
            <w:rFonts w:ascii="Arial" w:hAnsi="Arial" w:eastAsia="Arial" w:cs="Arial"/>
            <w:noProof w:val="0"/>
            <w:color w:val="auto"/>
            <w:sz w:val="24"/>
            <w:szCs w:val="24"/>
            <w:lang w:val="en-GB"/>
          </w:rPr>
          <w:t>https://www.diabetes.org.uk</w:t>
        </w:r>
      </w:hyperlink>
      <w:r w:rsidRPr="6042CF5E" w:rsidR="396097A4">
        <w:rPr>
          <w:rFonts w:ascii="Arial" w:hAnsi="Arial" w:eastAsia="Arial" w:cs="Arial"/>
          <w:noProof w:val="0"/>
          <w:color w:val="auto"/>
          <w:sz w:val="24"/>
          <w:szCs w:val="24"/>
          <w:lang w:val="en-GB"/>
        </w:rPr>
        <w:t xml:space="preserve"> </w:t>
      </w:r>
      <w:r w:rsidRPr="6042CF5E" w:rsidR="396097A4">
        <w:rPr>
          <w:rFonts w:ascii="Arial" w:hAnsi="Arial" w:eastAsia="Arial" w:cs="Arial"/>
          <w:noProof w:val="0"/>
          <w:sz w:val="24"/>
          <w:szCs w:val="24"/>
          <w:lang w:val="en-GB"/>
        </w:rPr>
        <w:t>(Accessed: 18 February 2026).</w:t>
      </w:r>
    </w:p>
    <w:p xmlns:wp14="http://schemas.microsoft.com/office/word/2010/wordml" w:rsidP="6042CF5E" wp14:paraId="2980E7DD" wp14:textId="6D3BE097">
      <w:pPr>
        <w:spacing w:before="240" w:beforeAutospacing="off" w:after="240" w:afterAutospacing="off"/>
      </w:pPr>
      <w:r w:rsidRPr="6042CF5E" w:rsidR="396097A4">
        <w:rPr>
          <w:rFonts w:ascii="Arial" w:hAnsi="Arial" w:eastAsia="Arial" w:cs="Arial"/>
          <w:noProof w:val="0"/>
          <w:sz w:val="24"/>
          <w:szCs w:val="24"/>
          <w:lang w:val="en-GB"/>
        </w:rPr>
        <w:t xml:space="preserve">Esposito, K. et al. (2014) ‘Mediterranean diet and type 2 diabetes’, </w:t>
      </w:r>
      <w:r w:rsidRPr="6042CF5E" w:rsidR="396097A4">
        <w:rPr>
          <w:rFonts w:ascii="Arial" w:hAnsi="Arial" w:eastAsia="Arial" w:cs="Arial"/>
          <w:i w:val="1"/>
          <w:iCs w:val="1"/>
          <w:noProof w:val="0"/>
          <w:sz w:val="24"/>
          <w:szCs w:val="24"/>
          <w:lang w:val="en-GB"/>
        </w:rPr>
        <w:t>BMJ Open</w:t>
      </w:r>
      <w:r w:rsidRPr="6042CF5E" w:rsidR="396097A4">
        <w:rPr>
          <w:rFonts w:ascii="Arial" w:hAnsi="Arial" w:eastAsia="Arial" w:cs="Arial"/>
          <w:noProof w:val="0"/>
          <w:sz w:val="24"/>
          <w:szCs w:val="24"/>
          <w:lang w:val="en-GB"/>
        </w:rPr>
        <w:t>, 4(8), e005153.</w:t>
      </w:r>
    </w:p>
    <w:p xmlns:wp14="http://schemas.microsoft.com/office/word/2010/wordml" w:rsidP="6042CF5E" wp14:paraId="623D3823" wp14:textId="26A72C50">
      <w:pPr>
        <w:spacing w:before="240" w:beforeAutospacing="off" w:after="240" w:afterAutospacing="off"/>
      </w:pPr>
      <w:r w:rsidRPr="6042CF5E" w:rsidR="396097A4">
        <w:rPr>
          <w:rFonts w:ascii="Arial" w:hAnsi="Arial" w:eastAsia="Arial" w:cs="Arial"/>
          <w:noProof w:val="0"/>
          <w:sz w:val="24"/>
          <w:szCs w:val="24"/>
          <w:lang w:val="en-GB"/>
        </w:rPr>
        <w:t xml:space="preserve">Lean, M.E.J. et al. (2018) ‘Primary care-led weight management for remission of type 2 diabetes (DiRECT)’, </w:t>
      </w:r>
      <w:r w:rsidRPr="6042CF5E" w:rsidR="396097A4">
        <w:rPr>
          <w:rFonts w:ascii="Arial" w:hAnsi="Arial" w:eastAsia="Arial" w:cs="Arial"/>
          <w:i w:val="1"/>
          <w:iCs w:val="1"/>
          <w:noProof w:val="0"/>
          <w:sz w:val="24"/>
          <w:szCs w:val="24"/>
          <w:lang w:val="en-GB"/>
        </w:rPr>
        <w:t>The Lancet</w:t>
      </w:r>
      <w:r w:rsidRPr="6042CF5E" w:rsidR="396097A4">
        <w:rPr>
          <w:rFonts w:ascii="Arial" w:hAnsi="Arial" w:eastAsia="Arial" w:cs="Arial"/>
          <w:noProof w:val="0"/>
          <w:sz w:val="24"/>
          <w:szCs w:val="24"/>
          <w:lang w:val="en-GB"/>
        </w:rPr>
        <w:t>, 391(10120), pp. 541–551.</w:t>
      </w:r>
    </w:p>
    <w:p xmlns:wp14="http://schemas.microsoft.com/office/word/2010/wordml" w:rsidP="6042CF5E" wp14:paraId="06B9C998" wp14:textId="5209C070">
      <w:pPr>
        <w:spacing w:before="240" w:beforeAutospacing="off" w:after="240" w:afterAutospacing="off"/>
      </w:pPr>
      <w:r w:rsidRPr="6042CF5E" w:rsidR="396097A4">
        <w:rPr>
          <w:rFonts w:ascii="Arial" w:hAnsi="Arial" w:eastAsia="Arial" w:cs="Arial"/>
          <w:noProof w:val="0"/>
          <w:sz w:val="24"/>
          <w:szCs w:val="24"/>
          <w:lang w:val="en-GB"/>
        </w:rPr>
        <w:t xml:space="preserve">Lean, M.E.J. et al. (2021) ‘Durability of remission in type 2 diabetes’, </w:t>
      </w:r>
      <w:r w:rsidRPr="6042CF5E" w:rsidR="396097A4">
        <w:rPr>
          <w:rFonts w:ascii="Arial" w:hAnsi="Arial" w:eastAsia="Arial" w:cs="Arial"/>
          <w:i w:val="1"/>
          <w:iCs w:val="1"/>
          <w:noProof w:val="0"/>
          <w:sz w:val="24"/>
          <w:szCs w:val="24"/>
          <w:lang w:val="en-GB"/>
        </w:rPr>
        <w:t>The Lancet Diabetes &amp; Endocrinology</w:t>
      </w:r>
      <w:r w:rsidRPr="6042CF5E" w:rsidR="396097A4">
        <w:rPr>
          <w:rFonts w:ascii="Arial" w:hAnsi="Arial" w:eastAsia="Arial" w:cs="Arial"/>
          <w:noProof w:val="0"/>
          <w:sz w:val="24"/>
          <w:szCs w:val="24"/>
          <w:lang w:val="en-GB"/>
        </w:rPr>
        <w:t>, 9(9), pp. 629–638.</w:t>
      </w:r>
    </w:p>
    <w:p xmlns:wp14="http://schemas.microsoft.com/office/word/2010/wordml" w:rsidP="6042CF5E" wp14:paraId="6ED87E30" wp14:textId="67D6893A">
      <w:pPr>
        <w:spacing w:before="240" w:beforeAutospacing="off" w:after="240" w:afterAutospacing="off"/>
        <w:rPr>
          <w:rFonts w:ascii="Arial" w:hAnsi="Arial" w:eastAsia="Arial" w:cs="Arial"/>
          <w:noProof w:val="0"/>
          <w:color w:val="auto"/>
          <w:sz w:val="24"/>
          <w:szCs w:val="24"/>
          <w:lang w:val="en-GB"/>
        </w:rPr>
      </w:pPr>
      <w:r w:rsidRPr="6042CF5E" w:rsidR="396097A4">
        <w:rPr>
          <w:rFonts w:ascii="Arial" w:hAnsi="Arial" w:eastAsia="Arial" w:cs="Arial"/>
          <w:noProof w:val="0"/>
          <w:sz w:val="24"/>
          <w:szCs w:val="24"/>
          <w:lang w:val="en-GB"/>
        </w:rPr>
        <w:t xml:space="preserve">NHS (2022) </w:t>
      </w:r>
      <w:r w:rsidRPr="6042CF5E" w:rsidR="396097A4">
        <w:rPr>
          <w:rFonts w:ascii="Arial" w:hAnsi="Arial" w:eastAsia="Arial" w:cs="Arial"/>
          <w:i w:val="1"/>
          <w:iCs w:val="1"/>
          <w:noProof w:val="0"/>
          <w:sz w:val="24"/>
          <w:szCs w:val="24"/>
          <w:lang w:val="en-GB"/>
        </w:rPr>
        <w:t>Physical activity guidelines for adults</w:t>
      </w:r>
      <w:r w:rsidRPr="6042CF5E" w:rsidR="396097A4">
        <w:rPr>
          <w:rFonts w:ascii="Arial" w:hAnsi="Arial" w:eastAsia="Arial" w:cs="Arial"/>
          <w:noProof w:val="0"/>
          <w:sz w:val="24"/>
          <w:szCs w:val="24"/>
          <w:lang w:val="en-GB"/>
        </w:rPr>
        <w:t>. Available at:</w:t>
      </w:r>
      <w:r w:rsidRPr="6042CF5E" w:rsidR="396097A4">
        <w:rPr>
          <w:rFonts w:ascii="Arial" w:hAnsi="Arial" w:eastAsia="Arial" w:cs="Arial"/>
          <w:noProof w:val="0"/>
          <w:color w:val="auto"/>
          <w:sz w:val="24"/>
          <w:szCs w:val="24"/>
          <w:lang w:val="en-GB"/>
        </w:rPr>
        <w:t xml:space="preserve"> </w:t>
      </w:r>
      <w:hyperlink r:id="R1704c5bb50fe432f">
        <w:r w:rsidRPr="6042CF5E" w:rsidR="396097A4">
          <w:rPr>
            <w:rStyle w:val="Hyperlink"/>
            <w:rFonts w:ascii="Arial" w:hAnsi="Arial" w:eastAsia="Arial" w:cs="Arial"/>
            <w:noProof w:val="0"/>
            <w:color w:val="auto"/>
            <w:sz w:val="24"/>
            <w:szCs w:val="24"/>
            <w:lang w:val="en-GB"/>
          </w:rPr>
          <w:t>https://www.nhs.uk</w:t>
        </w:r>
      </w:hyperlink>
      <w:r w:rsidRPr="6042CF5E" w:rsidR="396097A4">
        <w:rPr>
          <w:rFonts w:ascii="Arial" w:hAnsi="Arial" w:eastAsia="Arial" w:cs="Arial"/>
          <w:noProof w:val="0"/>
          <w:color w:val="auto"/>
          <w:sz w:val="24"/>
          <w:szCs w:val="24"/>
          <w:lang w:val="en-GB"/>
        </w:rPr>
        <w:t xml:space="preserve"> (Accessed: 18 February 2026).</w:t>
      </w:r>
    </w:p>
    <w:p xmlns:wp14="http://schemas.microsoft.com/office/word/2010/wordml" w:rsidP="6042CF5E" wp14:paraId="228B2B6E" wp14:textId="6D552E8F">
      <w:pPr>
        <w:spacing w:before="240" w:beforeAutospacing="off" w:after="240" w:afterAutospacing="off"/>
        <w:rPr>
          <w:rFonts w:ascii="Arial" w:hAnsi="Arial" w:eastAsia="Arial" w:cs="Arial"/>
          <w:noProof w:val="0"/>
          <w:color w:val="auto"/>
          <w:sz w:val="24"/>
          <w:szCs w:val="24"/>
          <w:lang w:val="en-GB"/>
        </w:rPr>
      </w:pPr>
      <w:r w:rsidRPr="6042CF5E" w:rsidR="396097A4">
        <w:rPr>
          <w:rFonts w:ascii="Arial" w:hAnsi="Arial" w:eastAsia="Arial" w:cs="Arial"/>
          <w:noProof w:val="0"/>
          <w:color w:val="auto"/>
          <w:sz w:val="24"/>
          <w:szCs w:val="24"/>
          <w:lang w:val="en-GB"/>
        </w:rPr>
        <w:t xml:space="preserve">NHS England (2022) </w:t>
      </w:r>
      <w:r w:rsidRPr="6042CF5E" w:rsidR="396097A4">
        <w:rPr>
          <w:rFonts w:ascii="Arial" w:hAnsi="Arial" w:eastAsia="Arial" w:cs="Arial"/>
          <w:i w:val="1"/>
          <w:iCs w:val="1"/>
          <w:noProof w:val="0"/>
          <w:color w:val="auto"/>
          <w:sz w:val="24"/>
          <w:szCs w:val="24"/>
          <w:lang w:val="en-GB"/>
        </w:rPr>
        <w:t>National diabetes report</w:t>
      </w:r>
      <w:r w:rsidRPr="6042CF5E" w:rsidR="396097A4">
        <w:rPr>
          <w:rFonts w:ascii="Arial" w:hAnsi="Arial" w:eastAsia="Arial" w:cs="Arial"/>
          <w:noProof w:val="0"/>
          <w:color w:val="auto"/>
          <w:sz w:val="24"/>
          <w:szCs w:val="24"/>
          <w:lang w:val="en-GB"/>
        </w:rPr>
        <w:t xml:space="preserve">. Available at: </w:t>
      </w:r>
      <w:hyperlink r:id="R8d5425567e8349bd">
        <w:r w:rsidRPr="6042CF5E" w:rsidR="396097A4">
          <w:rPr>
            <w:rStyle w:val="Hyperlink"/>
            <w:rFonts w:ascii="Arial" w:hAnsi="Arial" w:eastAsia="Arial" w:cs="Arial"/>
            <w:noProof w:val="0"/>
            <w:color w:val="auto"/>
            <w:sz w:val="24"/>
            <w:szCs w:val="24"/>
            <w:lang w:val="en-GB"/>
          </w:rPr>
          <w:t>https://www.england.nhs.uk</w:t>
        </w:r>
      </w:hyperlink>
      <w:r w:rsidRPr="6042CF5E" w:rsidR="396097A4">
        <w:rPr>
          <w:rFonts w:ascii="Arial" w:hAnsi="Arial" w:eastAsia="Arial" w:cs="Arial"/>
          <w:noProof w:val="0"/>
          <w:color w:val="auto"/>
          <w:sz w:val="24"/>
          <w:szCs w:val="24"/>
          <w:lang w:val="en-GB"/>
        </w:rPr>
        <w:t xml:space="preserve"> (Accessed: 18 February 2026).</w:t>
      </w:r>
    </w:p>
    <w:p xmlns:wp14="http://schemas.microsoft.com/office/word/2010/wordml" w:rsidP="6042CF5E" wp14:paraId="2BDC2035" wp14:textId="0B5B925D">
      <w:pPr>
        <w:spacing w:before="240" w:beforeAutospacing="off" w:after="240" w:afterAutospacing="off"/>
      </w:pPr>
      <w:r w:rsidRPr="6042CF5E" w:rsidR="396097A4">
        <w:rPr>
          <w:rFonts w:ascii="Arial" w:hAnsi="Arial" w:eastAsia="Arial" w:cs="Arial"/>
          <w:noProof w:val="0"/>
          <w:sz w:val="24"/>
          <w:szCs w:val="24"/>
          <w:lang w:val="en-GB"/>
        </w:rPr>
        <w:t xml:space="preserve">Powers, M.A. et al. (2020) ‘Diabetes self-management education and support’, </w:t>
      </w:r>
      <w:r w:rsidRPr="6042CF5E" w:rsidR="396097A4">
        <w:rPr>
          <w:rFonts w:ascii="Arial" w:hAnsi="Arial" w:eastAsia="Arial" w:cs="Arial"/>
          <w:i w:val="1"/>
          <w:iCs w:val="1"/>
          <w:noProof w:val="0"/>
          <w:sz w:val="24"/>
          <w:szCs w:val="24"/>
          <w:lang w:val="en-GB"/>
        </w:rPr>
        <w:t>The Diabetes Educator</w:t>
      </w:r>
      <w:r w:rsidRPr="6042CF5E" w:rsidR="396097A4">
        <w:rPr>
          <w:rFonts w:ascii="Arial" w:hAnsi="Arial" w:eastAsia="Arial" w:cs="Arial"/>
          <w:noProof w:val="0"/>
          <w:sz w:val="24"/>
          <w:szCs w:val="24"/>
          <w:lang w:val="en-GB"/>
        </w:rPr>
        <w:t>, 46(4), pp. 350–369.</w:t>
      </w:r>
    </w:p>
    <w:p xmlns:wp14="http://schemas.microsoft.com/office/word/2010/wordml" w:rsidP="6042CF5E" wp14:paraId="76335C01" wp14:textId="63083119">
      <w:pPr>
        <w:spacing w:before="240" w:beforeAutospacing="off" w:after="240" w:afterAutospacing="off"/>
      </w:pPr>
      <w:r w:rsidRPr="6042CF5E" w:rsidR="396097A4">
        <w:rPr>
          <w:rFonts w:ascii="Arial" w:hAnsi="Arial" w:eastAsia="Arial" w:cs="Arial"/>
          <w:noProof w:val="0"/>
          <w:sz w:val="24"/>
          <w:szCs w:val="24"/>
          <w:lang w:val="en-GB"/>
        </w:rPr>
        <w:t xml:space="preserve">Rang, H.P. et al. (2019) </w:t>
      </w:r>
      <w:r w:rsidRPr="6042CF5E" w:rsidR="396097A4">
        <w:rPr>
          <w:rFonts w:ascii="Arial" w:hAnsi="Arial" w:eastAsia="Arial" w:cs="Arial"/>
          <w:i w:val="1"/>
          <w:iCs w:val="1"/>
          <w:noProof w:val="0"/>
          <w:sz w:val="24"/>
          <w:szCs w:val="24"/>
          <w:lang w:val="en-GB"/>
        </w:rPr>
        <w:t>Rang and Dale’s Pharmacology</w:t>
      </w:r>
      <w:r w:rsidRPr="6042CF5E" w:rsidR="396097A4">
        <w:rPr>
          <w:rFonts w:ascii="Arial" w:hAnsi="Arial" w:eastAsia="Arial" w:cs="Arial"/>
          <w:noProof w:val="0"/>
          <w:sz w:val="24"/>
          <w:szCs w:val="24"/>
          <w:lang w:val="en-GB"/>
        </w:rPr>
        <w:t>. 9th edn. London: Elsevier.</w:t>
      </w:r>
    </w:p>
    <w:p xmlns:wp14="http://schemas.microsoft.com/office/word/2010/wordml" w:rsidP="6042CF5E" wp14:paraId="19AC4E3F" wp14:textId="212B57E4">
      <w:pPr>
        <w:spacing w:before="240" w:beforeAutospacing="off" w:after="240" w:afterAutospacing="off"/>
      </w:pPr>
      <w:r w:rsidRPr="6042CF5E" w:rsidR="396097A4">
        <w:rPr>
          <w:rFonts w:ascii="Arial" w:hAnsi="Arial" w:eastAsia="Arial" w:cs="Arial"/>
          <w:noProof w:val="0"/>
          <w:sz w:val="24"/>
          <w:szCs w:val="24"/>
          <w:lang w:val="en-GB"/>
        </w:rPr>
        <w:t xml:space="preserve">Sattar, N. et al. (2023) ‘Cardiometabolic benefits of GLP-1 receptor agonists and SGLT2 inhibitors’, </w:t>
      </w:r>
      <w:r w:rsidRPr="6042CF5E" w:rsidR="396097A4">
        <w:rPr>
          <w:rFonts w:ascii="Arial" w:hAnsi="Arial" w:eastAsia="Arial" w:cs="Arial"/>
          <w:i w:val="1"/>
          <w:iCs w:val="1"/>
          <w:noProof w:val="0"/>
          <w:sz w:val="24"/>
          <w:szCs w:val="24"/>
          <w:lang w:val="en-GB"/>
        </w:rPr>
        <w:t>The Lancet</w:t>
      </w:r>
      <w:r w:rsidRPr="6042CF5E" w:rsidR="396097A4">
        <w:rPr>
          <w:rFonts w:ascii="Arial" w:hAnsi="Arial" w:eastAsia="Arial" w:cs="Arial"/>
          <w:noProof w:val="0"/>
          <w:sz w:val="24"/>
          <w:szCs w:val="24"/>
          <w:lang w:val="en-GB"/>
        </w:rPr>
        <w:t>, 401(10378), pp. 120–132.</w:t>
      </w:r>
    </w:p>
    <w:p xmlns:wp14="http://schemas.microsoft.com/office/word/2010/wordml" w:rsidP="6042CF5E" wp14:paraId="589CD98F" wp14:textId="65C0D2B2">
      <w:pPr>
        <w:spacing w:before="240" w:beforeAutospacing="off" w:after="240" w:afterAutospacing="off"/>
      </w:pPr>
      <w:r w:rsidRPr="6042CF5E" w:rsidR="396097A4">
        <w:rPr>
          <w:rFonts w:ascii="Arial" w:hAnsi="Arial" w:eastAsia="Arial" w:cs="Arial"/>
          <w:noProof w:val="0"/>
          <w:sz w:val="24"/>
          <w:szCs w:val="24"/>
          <w:lang w:val="en-GB"/>
        </w:rPr>
        <w:t xml:space="preserve">Silverthorn, D.U. (2019) </w:t>
      </w:r>
      <w:r w:rsidRPr="6042CF5E" w:rsidR="396097A4">
        <w:rPr>
          <w:rFonts w:ascii="Arial" w:hAnsi="Arial" w:eastAsia="Arial" w:cs="Arial"/>
          <w:i w:val="1"/>
          <w:iCs w:val="1"/>
          <w:noProof w:val="0"/>
          <w:sz w:val="24"/>
          <w:szCs w:val="24"/>
          <w:lang w:val="en-GB"/>
        </w:rPr>
        <w:t>Human Physiology: An Integrated Approach</w:t>
      </w:r>
      <w:r w:rsidRPr="6042CF5E" w:rsidR="396097A4">
        <w:rPr>
          <w:rFonts w:ascii="Arial" w:hAnsi="Arial" w:eastAsia="Arial" w:cs="Arial"/>
          <w:noProof w:val="0"/>
          <w:sz w:val="24"/>
          <w:szCs w:val="24"/>
          <w:lang w:val="en-GB"/>
        </w:rPr>
        <w:t>. 8th edn. Harlow: Pearson.</w:t>
      </w:r>
    </w:p>
    <w:p xmlns:wp14="http://schemas.microsoft.com/office/word/2010/wordml" w:rsidP="6042CF5E" wp14:paraId="64E263BD" wp14:textId="5201A14F">
      <w:pPr>
        <w:spacing w:before="240" w:beforeAutospacing="off" w:after="240" w:afterAutospacing="off"/>
      </w:pPr>
      <w:r w:rsidRPr="6042CF5E" w:rsidR="396097A4">
        <w:rPr>
          <w:rFonts w:ascii="Arial" w:hAnsi="Arial" w:eastAsia="Arial" w:cs="Arial"/>
          <w:noProof w:val="0"/>
          <w:sz w:val="24"/>
          <w:szCs w:val="24"/>
          <w:lang w:val="en-GB"/>
        </w:rPr>
        <w:t xml:space="preserve">Taylor, R. (2013) ‘Type 2 diabetes: </w:t>
      </w:r>
      <w:r w:rsidRPr="6042CF5E" w:rsidR="396097A4">
        <w:rPr>
          <w:rFonts w:ascii="Arial" w:hAnsi="Arial" w:eastAsia="Arial" w:cs="Arial"/>
          <w:noProof w:val="0"/>
          <w:sz w:val="24"/>
          <w:szCs w:val="24"/>
          <w:lang w:val="en-GB"/>
        </w:rPr>
        <w:t>etiology</w:t>
      </w:r>
      <w:r w:rsidRPr="6042CF5E" w:rsidR="396097A4">
        <w:rPr>
          <w:rFonts w:ascii="Arial" w:hAnsi="Arial" w:eastAsia="Arial" w:cs="Arial"/>
          <w:noProof w:val="0"/>
          <w:sz w:val="24"/>
          <w:szCs w:val="24"/>
          <w:lang w:val="en-GB"/>
        </w:rPr>
        <w:t xml:space="preserve"> and reversibility’, </w:t>
      </w:r>
      <w:r w:rsidRPr="6042CF5E" w:rsidR="396097A4">
        <w:rPr>
          <w:rFonts w:ascii="Arial" w:hAnsi="Arial" w:eastAsia="Arial" w:cs="Arial"/>
          <w:i w:val="1"/>
          <w:iCs w:val="1"/>
          <w:noProof w:val="0"/>
          <w:sz w:val="24"/>
          <w:szCs w:val="24"/>
          <w:lang w:val="en-GB"/>
        </w:rPr>
        <w:t>Diabetes Care</w:t>
      </w:r>
      <w:r w:rsidRPr="6042CF5E" w:rsidR="396097A4">
        <w:rPr>
          <w:rFonts w:ascii="Arial" w:hAnsi="Arial" w:eastAsia="Arial" w:cs="Arial"/>
          <w:noProof w:val="0"/>
          <w:sz w:val="24"/>
          <w:szCs w:val="24"/>
          <w:lang w:val="en-GB"/>
        </w:rPr>
        <w:t>, 36(4), pp. 1047–1055.</w:t>
      </w:r>
    </w:p>
    <w:p xmlns:wp14="http://schemas.microsoft.com/office/word/2010/wordml" w:rsidP="6042CF5E" wp14:paraId="11C6720C" wp14:textId="398516BD">
      <w:pPr>
        <w:spacing w:before="240" w:beforeAutospacing="off" w:after="240" w:afterAutospacing="off"/>
      </w:pPr>
      <w:r w:rsidRPr="6042CF5E" w:rsidR="396097A4">
        <w:rPr>
          <w:rFonts w:ascii="Arial" w:hAnsi="Arial" w:eastAsia="Arial" w:cs="Arial"/>
          <w:noProof w:val="0"/>
          <w:sz w:val="24"/>
          <w:szCs w:val="24"/>
          <w:lang w:val="en-GB"/>
        </w:rPr>
        <w:t xml:space="preserve">UK Prospective Diabetes Study (UKPDS) Group (1998) ‘Intensive blood-glucose control…’, </w:t>
      </w:r>
      <w:r w:rsidRPr="6042CF5E" w:rsidR="396097A4">
        <w:rPr>
          <w:rFonts w:ascii="Arial" w:hAnsi="Arial" w:eastAsia="Arial" w:cs="Arial"/>
          <w:i w:val="1"/>
          <w:iCs w:val="1"/>
          <w:noProof w:val="0"/>
          <w:sz w:val="24"/>
          <w:szCs w:val="24"/>
          <w:lang w:val="en-GB"/>
        </w:rPr>
        <w:t>The Lancet</w:t>
      </w:r>
      <w:r w:rsidRPr="6042CF5E" w:rsidR="396097A4">
        <w:rPr>
          <w:rFonts w:ascii="Arial" w:hAnsi="Arial" w:eastAsia="Arial" w:cs="Arial"/>
          <w:noProof w:val="0"/>
          <w:sz w:val="24"/>
          <w:szCs w:val="24"/>
          <w:lang w:val="en-GB"/>
        </w:rPr>
        <w:t>, 352(9131), pp. 837–853.</w:t>
      </w:r>
    </w:p>
    <w:p xmlns:wp14="http://schemas.microsoft.com/office/word/2010/wordml" w:rsidP="6042CF5E" wp14:paraId="5203D728" wp14:textId="34013586">
      <w:pPr>
        <w:spacing w:before="240" w:beforeAutospacing="off" w:after="240" w:afterAutospacing="off"/>
      </w:pPr>
      <w:r w:rsidRPr="6042CF5E" w:rsidR="396097A4">
        <w:rPr>
          <w:rFonts w:ascii="Arial" w:hAnsi="Arial" w:eastAsia="Arial" w:cs="Arial"/>
          <w:noProof w:val="0"/>
          <w:sz w:val="24"/>
          <w:szCs w:val="24"/>
          <w:lang w:val="en-GB"/>
        </w:rPr>
        <w:t xml:space="preserve">World Health Organization (2023) </w:t>
      </w:r>
      <w:r w:rsidRPr="6042CF5E" w:rsidR="396097A4">
        <w:rPr>
          <w:rFonts w:ascii="Arial" w:hAnsi="Arial" w:eastAsia="Arial" w:cs="Arial"/>
          <w:i w:val="1"/>
          <w:iCs w:val="1"/>
          <w:noProof w:val="0"/>
          <w:sz w:val="24"/>
          <w:szCs w:val="24"/>
          <w:lang w:val="en-GB"/>
        </w:rPr>
        <w:t>Diabetes fact sheet</w:t>
      </w:r>
      <w:r w:rsidRPr="6042CF5E" w:rsidR="396097A4">
        <w:rPr>
          <w:rFonts w:ascii="Arial" w:hAnsi="Arial" w:eastAsia="Arial" w:cs="Arial"/>
          <w:noProof w:val="0"/>
          <w:sz w:val="24"/>
          <w:szCs w:val="24"/>
          <w:lang w:val="en-GB"/>
        </w:rPr>
        <w:t xml:space="preserve">. Available at: </w:t>
      </w:r>
      <w:hyperlink r:id="R95af00e4c6f640d2">
        <w:r w:rsidRPr="6042CF5E" w:rsidR="396097A4">
          <w:rPr>
            <w:rStyle w:val="Hyperlink"/>
            <w:rFonts w:ascii="Arial" w:hAnsi="Arial" w:eastAsia="Arial" w:cs="Arial"/>
            <w:noProof w:val="0"/>
            <w:sz w:val="24"/>
            <w:szCs w:val="24"/>
            <w:lang w:val="en-GB"/>
          </w:rPr>
          <w:t>https://www.who.int</w:t>
        </w:r>
      </w:hyperlink>
      <w:r w:rsidRPr="6042CF5E" w:rsidR="396097A4">
        <w:rPr>
          <w:rFonts w:ascii="Arial" w:hAnsi="Arial" w:eastAsia="Arial" w:cs="Arial"/>
          <w:noProof w:val="0"/>
          <w:sz w:val="24"/>
          <w:szCs w:val="24"/>
          <w:lang w:val="en-GB"/>
        </w:rPr>
        <w:t xml:space="preserve"> (Accessed: 10 February 2026).</w:t>
      </w:r>
    </w:p>
    <w:p xmlns:wp14="http://schemas.microsoft.com/office/word/2010/wordml" w:rsidP="6042CF5E" wp14:paraId="31D9A433" wp14:textId="2861D0B2">
      <w:pPr>
        <w:spacing w:before="240" w:beforeAutospacing="off" w:after="240" w:afterAutospacing="off"/>
      </w:pPr>
      <w:r w:rsidRPr="6042CF5E" w:rsidR="396097A4">
        <w:rPr>
          <w:rFonts w:ascii="Arial" w:hAnsi="Arial" w:eastAsia="Arial" w:cs="Arial"/>
          <w:noProof w:val="0"/>
          <w:sz w:val="24"/>
          <w:szCs w:val="24"/>
          <w:lang w:val="en-GB"/>
        </w:rPr>
        <w:t xml:space="preserve">Zelniker, T.A. et al. (2019) ‘Cardiovascular and renal outcomes with SGLT2 inhibitors’, </w:t>
      </w:r>
      <w:r w:rsidRPr="6042CF5E" w:rsidR="396097A4">
        <w:rPr>
          <w:rFonts w:ascii="Arial" w:hAnsi="Arial" w:eastAsia="Arial" w:cs="Arial"/>
          <w:i w:val="1"/>
          <w:iCs w:val="1"/>
          <w:noProof w:val="0"/>
          <w:sz w:val="24"/>
          <w:szCs w:val="24"/>
          <w:lang w:val="en-GB"/>
        </w:rPr>
        <w:t>The Lancet</w:t>
      </w:r>
      <w:r w:rsidRPr="6042CF5E" w:rsidR="396097A4">
        <w:rPr>
          <w:rFonts w:ascii="Arial" w:hAnsi="Arial" w:eastAsia="Arial" w:cs="Arial"/>
          <w:noProof w:val="0"/>
          <w:sz w:val="24"/>
          <w:szCs w:val="24"/>
          <w:lang w:val="en-GB"/>
        </w:rPr>
        <w:t>, 393(10166), pp. 31–39.</w:t>
      </w:r>
    </w:p>
    <w:p xmlns:wp14="http://schemas.microsoft.com/office/word/2010/wordml" w:rsidP="6042CF5E" wp14:paraId="21ACFF33" wp14:textId="0F75790D">
      <w:pPr>
        <w:spacing w:before="240" w:beforeAutospacing="off" w:after="240" w:afterAutospacing="off"/>
        <w:rPr>
          <w:rFonts w:ascii="Arial" w:hAnsi="Arial" w:eastAsia="Arial" w:cs="Arial"/>
          <w:noProof w:val="0"/>
          <w:sz w:val="24"/>
          <w:szCs w:val="24"/>
          <w:lang w:val="en-GB"/>
        </w:rPr>
      </w:pPr>
    </w:p>
    <w:p xmlns:wp14="http://schemas.microsoft.com/office/word/2010/wordml" w:rsidP="6042CF5E" wp14:paraId="5E5787A5" wp14:textId="3E476B62">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164fb2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C40DBB"/>
    <w:rsid w:val="031B2CFB"/>
    <w:rsid w:val="034D14F2"/>
    <w:rsid w:val="04568937"/>
    <w:rsid w:val="0489BE8B"/>
    <w:rsid w:val="05DDA1DE"/>
    <w:rsid w:val="06843C8C"/>
    <w:rsid w:val="06C423FA"/>
    <w:rsid w:val="09AD4C66"/>
    <w:rsid w:val="0AED46C7"/>
    <w:rsid w:val="0B41A1CA"/>
    <w:rsid w:val="0D74AB09"/>
    <w:rsid w:val="0FEFEB5D"/>
    <w:rsid w:val="105CE81A"/>
    <w:rsid w:val="11026943"/>
    <w:rsid w:val="1A051275"/>
    <w:rsid w:val="1F8E6214"/>
    <w:rsid w:val="21A9775B"/>
    <w:rsid w:val="22B628E9"/>
    <w:rsid w:val="24276983"/>
    <w:rsid w:val="2669A610"/>
    <w:rsid w:val="26A0A697"/>
    <w:rsid w:val="28537D98"/>
    <w:rsid w:val="29A8AF34"/>
    <w:rsid w:val="2B1FFCDE"/>
    <w:rsid w:val="2BED7852"/>
    <w:rsid w:val="2E337EAD"/>
    <w:rsid w:val="2E9FCAF7"/>
    <w:rsid w:val="2ECD3A12"/>
    <w:rsid w:val="2F6311B4"/>
    <w:rsid w:val="2F7E20D9"/>
    <w:rsid w:val="2F7E7855"/>
    <w:rsid w:val="3060B0A3"/>
    <w:rsid w:val="31BB8B6A"/>
    <w:rsid w:val="35CBFAE4"/>
    <w:rsid w:val="379EB84B"/>
    <w:rsid w:val="3886C15A"/>
    <w:rsid w:val="396097A4"/>
    <w:rsid w:val="3B075351"/>
    <w:rsid w:val="3B221F9B"/>
    <w:rsid w:val="3C666CDD"/>
    <w:rsid w:val="3D1BF403"/>
    <w:rsid w:val="3D8106B4"/>
    <w:rsid w:val="3E7B71BD"/>
    <w:rsid w:val="3F849107"/>
    <w:rsid w:val="411DE24B"/>
    <w:rsid w:val="4378235B"/>
    <w:rsid w:val="44A98763"/>
    <w:rsid w:val="47FEF82E"/>
    <w:rsid w:val="4805C1A1"/>
    <w:rsid w:val="4A0B0F36"/>
    <w:rsid w:val="4AA560C0"/>
    <w:rsid w:val="4C1005BC"/>
    <w:rsid w:val="4C5CC3E6"/>
    <w:rsid w:val="4ED8B237"/>
    <w:rsid w:val="5061B761"/>
    <w:rsid w:val="53BD8E68"/>
    <w:rsid w:val="54553D5B"/>
    <w:rsid w:val="5846E883"/>
    <w:rsid w:val="5E2EE4CD"/>
    <w:rsid w:val="6042CF5E"/>
    <w:rsid w:val="6192A246"/>
    <w:rsid w:val="62755A5C"/>
    <w:rsid w:val="63C40DBB"/>
    <w:rsid w:val="64729C5B"/>
    <w:rsid w:val="68F80B9A"/>
    <w:rsid w:val="691ACFAB"/>
    <w:rsid w:val="6958D705"/>
    <w:rsid w:val="6E5BE450"/>
    <w:rsid w:val="703197F7"/>
    <w:rsid w:val="7292EB44"/>
    <w:rsid w:val="738556EE"/>
    <w:rsid w:val="739B698F"/>
    <w:rsid w:val="74D7208D"/>
    <w:rsid w:val="79EAE29D"/>
    <w:rsid w:val="7A5807A1"/>
    <w:rsid w:val="7B7E71D3"/>
    <w:rsid w:val="7CB78F23"/>
    <w:rsid w:val="7FBF02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C40DBB"/>
  <w15:chartTrackingRefBased/>
  <w15:docId w15:val="{4100256A-29B8-4BC7-8973-3803AE9E356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21A9775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21A9775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21A9775B"/>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21A9775B"/>
    <w:pPr>
      <w:spacing/>
      <w:ind w:left="720"/>
      <w:contextualSpacing/>
    </w:pPr>
  </w:style>
  <w:style w:type="character" w:styleId="Hyperlink">
    <w:uiPriority w:val="99"/>
    <w:name w:val="Hyperlink"/>
    <w:basedOn w:val="DefaultParagraphFont"/>
    <w:unhideWhenUsed/>
    <w:rsid w:val="21A9775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diabetes.org.uk/" TargetMode="External" Id="R50e150bc6fbd44a7" /><Relationship Type="http://schemas.openxmlformats.org/officeDocument/2006/relationships/hyperlink" Target="https://www.nhs.uk/" TargetMode="External" Id="R1704c5bb50fe432f" /><Relationship Type="http://schemas.openxmlformats.org/officeDocument/2006/relationships/hyperlink" Target="https://www.england.nhs.uk/" TargetMode="External" Id="R8d5425567e8349bd" /><Relationship Type="http://schemas.openxmlformats.org/officeDocument/2006/relationships/hyperlink" Target="https://www.who.int/" TargetMode="External" Id="R95af00e4c6f640d2" /><Relationship Type="http://schemas.openxmlformats.org/officeDocument/2006/relationships/numbering" Target="/word/numbering.xml" Id="R19ccc2e620094df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Kudeja Yasmin (2419337)</dc:creator>
  <keywords/>
  <dc:description/>
  <lastModifiedBy>Kudeja Yasmin (2419337)</lastModifiedBy>
  <revision>3</revision>
  <dcterms:created xsi:type="dcterms:W3CDTF">2026-02-21T23:27:22.4833531Z</dcterms:created>
  <dcterms:modified xsi:type="dcterms:W3CDTF">2026-02-22T20:19:58.0239748Z</dcterms:modified>
</coreProperties>
</file>