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135EA" w14:textId="77777777" w:rsidR="00C75978" w:rsidRDefault="00C75978" w:rsidP="00C75978">
      <w:pPr>
        <w:pStyle w:val="Title"/>
        <w:spacing w:before="240" w:after="240" w:line="360" w:lineRule="auto"/>
        <w:jc w:val="center"/>
        <w:rPr>
          <w:rFonts w:ascii="Times New Roman" w:hAnsi="Times New Roman" w:cs="Times New Roman"/>
          <w:b/>
          <w:sz w:val="40"/>
          <w:szCs w:val="40"/>
        </w:rPr>
      </w:pPr>
    </w:p>
    <w:p w14:paraId="19568CBD" w14:textId="3E288E00" w:rsidR="00C75978" w:rsidRDefault="00C75978" w:rsidP="00C75978">
      <w:pPr>
        <w:pStyle w:val="Title"/>
        <w:spacing w:before="240" w:after="240" w:line="360" w:lineRule="auto"/>
        <w:jc w:val="center"/>
        <w:rPr>
          <w:rFonts w:ascii="Times New Roman" w:hAnsi="Times New Roman" w:cs="Times New Roman"/>
          <w:b/>
          <w:sz w:val="40"/>
          <w:szCs w:val="40"/>
        </w:rPr>
      </w:pPr>
      <w:r>
        <w:rPr>
          <w:rFonts w:ascii="Times New Roman" w:hAnsi="Times New Roman" w:cs="Times New Roman"/>
          <w:b/>
          <w:noProof/>
          <w:sz w:val="40"/>
          <w:szCs w:val="40"/>
          <w14:ligatures w14:val="standardContextual"/>
        </w:rPr>
        <w:drawing>
          <wp:inline distT="0" distB="0" distL="0" distR="0" wp14:anchorId="5E9198AE" wp14:editId="3C19F296">
            <wp:extent cx="1781175" cy="1190625"/>
            <wp:effectExtent l="0" t="0" r="9525" b="9525"/>
            <wp:docPr id="1986794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94558" name="Picture 1986794558"/>
                    <pic:cNvPicPr/>
                  </pic:nvPicPr>
                  <pic:blipFill>
                    <a:blip r:embed="rId4">
                      <a:extLst>
                        <a:ext uri="{28A0092B-C50C-407E-A947-70E740481C1C}">
                          <a14:useLocalDpi xmlns:a14="http://schemas.microsoft.com/office/drawing/2010/main" val="0"/>
                        </a:ext>
                      </a:extLst>
                    </a:blip>
                    <a:stretch>
                      <a:fillRect/>
                    </a:stretch>
                  </pic:blipFill>
                  <pic:spPr>
                    <a:xfrm>
                      <a:off x="0" y="0"/>
                      <a:ext cx="1781175" cy="1190625"/>
                    </a:xfrm>
                    <a:prstGeom prst="rect">
                      <a:avLst/>
                    </a:prstGeom>
                  </pic:spPr>
                </pic:pic>
              </a:graphicData>
            </a:graphic>
          </wp:inline>
        </w:drawing>
      </w:r>
    </w:p>
    <w:p w14:paraId="0831377B" w14:textId="1FCCD20F" w:rsidR="00C75978" w:rsidRDefault="00C75978" w:rsidP="00C75978">
      <w:pPr>
        <w:rPr>
          <w:sz w:val="32"/>
          <w:szCs w:val="32"/>
        </w:rPr>
      </w:pPr>
      <w:r>
        <w:rPr>
          <w:sz w:val="32"/>
          <w:szCs w:val="32"/>
        </w:rPr>
        <w:t xml:space="preserve">        </w:t>
      </w:r>
      <w:r w:rsidR="00254684">
        <w:rPr>
          <w:sz w:val="32"/>
          <w:szCs w:val="32"/>
        </w:rPr>
        <w:t xml:space="preserve">   </w:t>
      </w:r>
      <w:r>
        <w:rPr>
          <w:sz w:val="32"/>
          <w:szCs w:val="32"/>
        </w:rPr>
        <w:t xml:space="preserve">    </w:t>
      </w:r>
      <w:r w:rsidRPr="00C75978">
        <w:rPr>
          <w:sz w:val="32"/>
          <w:szCs w:val="32"/>
        </w:rPr>
        <w:t xml:space="preserve">Name </w:t>
      </w:r>
      <w:r>
        <w:rPr>
          <w:sz w:val="32"/>
          <w:szCs w:val="32"/>
        </w:rPr>
        <w:t>O</w:t>
      </w:r>
      <w:r w:rsidRPr="00C75978">
        <w:rPr>
          <w:sz w:val="32"/>
          <w:szCs w:val="32"/>
        </w:rPr>
        <w:t xml:space="preserve">f </w:t>
      </w:r>
      <w:r>
        <w:rPr>
          <w:sz w:val="32"/>
          <w:szCs w:val="32"/>
        </w:rPr>
        <w:t>S</w:t>
      </w:r>
      <w:r w:rsidRPr="00C75978">
        <w:rPr>
          <w:sz w:val="32"/>
          <w:szCs w:val="32"/>
        </w:rPr>
        <w:t xml:space="preserve">tudent: </w:t>
      </w:r>
      <w:r>
        <w:rPr>
          <w:sz w:val="32"/>
          <w:szCs w:val="32"/>
        </w:rPr>
        <w:t>R</w:t>
      </w:r>
      <w:r w:rsidRPr="00C75978">
        <w:rPr>
          <w:sz w:val="32"/>
          <w:szCs w:val="32"/>
        </w:rPr>
        <w:t xml:space="preserve">inkuben </w:t>
      </w:r>
      <w:r>
        <w:rPr>
          <w:sz w:val="32"/>
          <w:szCs w:val="32"/>
        </w:rPr>
        <w:t>A</w:t>
      </w:r>
      <w:r w:rsidRPr="00C75978">
        <w:rPr>
          <w:sz w:val="32"/>
          <w:szCs w:val="32"/>
        </w:rPr>
        <w:t>kshaygiri Aparanathi</w:t>
      </w:r>
    </w:p>
    <w:p w14:paraId="1E0910BD" w14:textId="0A217B62" w:rsidR="00C75978" w:rsidRDefault="00C75978" w:rsidP="00C75978">
      <w:pPr>
        <w:rPr>
          <w:sz w:val="32"/>
          <w:szCs w:val="32"/>
        </w:rPr>
      </w:pPr>
      <w:r>
        <w:rPr>
          <w:sz w:val="32"/>
          <w:szCs w:val="32"/>
        </w:rPr>
        <w:t xml:space="preserve">                          </w:t>
      </w:r>
      <w:r w:rsidR="00254684">
        <w:rPr>
          <w:sz w:val="32"/>
          <w:szCs w:val="32"/>
        </w:rPr>
        <w:t xml:space="preserve">     </w:t>
      </w:r>
      <w:r>
        <w:rPr>
          <w:sz w:val="32"/>
          <w:szCs w:val="32"/>
        </w:rPr>
        <w:t xml:space="preserve"> Student ID: 2221508</w:t>
      </w:r>
    </w:p>
    <w:p w14:paraId="45842965" w14:textId="56753D2F" w:rsidR="00C75978" w:rsidRDefault="00C75978" w:rsidP="00C75978">
      <w:pPr>
        <w:rPr>
          <w:sz w:val="32"/>
          <w:szCs w:val="32"/>
        </w:rPr>
      </w:pPr>
      <w:r>
        <w:rPr>
          <w:sz w:val="32"/>
          <w:szCs w:val="32"/>
        </w:rPr>
        <w:t xml:space="preserve">          </w:t>
      </w:r>
      <w:r w:rsidR="00254684">
        <w:rPr>
          <w:sz w:val="32"/>
          <w:szCs w:val="32"/>
        </w:rPr>
        <w:t xml:space="preserve">     </w:t>
      </w:r>
      <w:r>
        <w:rPr>
          <w:sz w:val="32"/>
          <w:szCs w:val="32"/>
        </w:rPr>
        <w:t xml:space="preserve">   Name of lecturer: Dr. Jaya Gopalkrishnan</w:t>
      </w:r>
    </w:p>
    <w:p w14:paraId="36775B79" w14:textId="323FF222" w:rsidR="00C75978" w:rsidRDefault="00C75978" w:rsidP="00C75978">
      <w:pPr>
        <w:rPr>
          <w:sz w:val="32"/>
          <w:szCs w:val="32"/>
        </w:rPr>
      </w:pPr>
      <w:r>
        <w:rPr>
          <w:sz w:val="32"/>
          <w:szCs w:val="32"/>
        </w:rPr>
        <w:t xml:space="preserve">                  </w:t>
      </w:r>
      <w:r w:rsidR="00254684">
        <w:rPr>
          <w:sz w:val="32"/>
          <w:szCs w:val="32"/>
        </w:rPr>
        <w:t xml:space="preserve">     </w:t>
      </w:r>
      <w:r>
        <w:rPr>
          <w:sz w:val="32"/>
          <w:szCs w:val="32"/>
        </w:rPr>
        <w:t xml:space="preserve">  Module Name: Entrepreneurship</w:t>
      </w:r>
    </w:p>
    <w:p w14:paraId="0D89D2E3" w14:textId="6F03B133" w:rsidR="00C75978" w:rsidRDefault="00C75978" w:rsidP="00C75978">
      <w:pPr>
        <w:rPr>
          <w:sz w:val="32"/>
          <w:szCs w:val="32"/>
        </w:rPr>
      </w:pPr>
      <w:r>
        <w:rPr>
          <w:sz w:val="32"/>
          <w:szCs w:val="32"/>
        </w:rPr>
        <w:t xml:space="preserve">                    </w:t>
      </w:r>
      <w:r w:rsidR="00254684">
        <w:rPr>
          <w:sz w:val="32"/>
          <w:szCs w:val="32"/>
        </w:rPr>
        <w:t xml:space="preserve">      </w:t>
      </w:r>
      <w:r>
        <w:rPr>
          <w:sz w:val="32"/>
          <w:szCs w:val="32"/>
        </w:rPr>
        <w:t xml:space="preserve">  Module Code: LCMB7004</w:t>
      </w:r>
    </w:p>
    <w:p w14:paraId="5C7E4BC1" w14:textId="4E38A08F" w:rsidR="00C75978" w:rsidRDefault="00254684" w:rsidP="00C75978">
      <w:pPr>
        <w:rPr>
          <w:sz w:val="32"/>
          <w:szCs w:val="32"/>
        </w:rPr>
      </w:pPr>
      <w:r>
        <w:rPr>
          <w:sz w:val="32"/>
          <w:szCs w:val="32"/>
        </w:rPr>
        <w:t xml:space="preserve">                            Submission Date: 25/08/2023</w:t>
      </w:r>
    </w:p>
    <w:p w14:paraId="15ECD125" w14:textId="44FC069A" w:rsidR="00254684" w:rsidRDefault="00254684" w:rsidP="00C75978">
      <w:pPr>
        <w:rPr>
          <w:sz w:val="32"/>
          <w:szCs w:val="32"/>
        </w:rPr>
      </w:pPr>
      <w:r>
        <w:rPr>
          <w:sz w:val="32"/>
          <w:szCs w:val="32"/>
        </w:rPr>
        <w:t xml:space="preserve">                                         Assessment 1</w:t>
      </w:r>
    </w:p>
    <w:p w14:paraId="0B9A08DC" w14:textId="77777777" w:rsidR="00C75978" w:rsidRPr="00C75978" w:rsidRDefault="00C75978" w:rsidP="00C75978">
      <w:pPr>
        <w:rPr>
          <w:sz w:val="32"/>
          <w:szCs w:val="32"/>
        </w:rPr>
      </w:pPr>
    </w:p>
    <w:p w14:paraId="5E2615D1" w14:textId="2CEA93DA" w:rsidR="00C75978" w:rsidRDefault="00C75978" w:rsidP="00C75978">
      <w:pPr>
        <w:spacing w:before="240" w:after="240"/>
        <w:rPr>
          <w:b/>
          <w:sz w:val="40"/>
          <w:szCs w:val="40"/>
        </w:rPr>
      </w:pPr>
    </w:p>
    <w:p w14:paraId="761FE68A" w14:textId="77777777" w:rsidR="00C75978" w:rsidRDefault="00C75978" w:rsidP="00C75978">
      <w:pPr>
        <w:spacing w:before="240" w:after="240"/>
        <w:jc w:val="both"/>
        <w:rPr>
          <w:szCs w:val="24"/>
        </w:rPr>
      </w:pPr>
      <w:r>
        <w:rPr>
          <w:szCs w:val="24"/>
        </w:rPr>
        <w:br w:type="page"/>
      </w:r>
    </w:p>
    <w:sdt>
      <w:sdtPr>
        <w:rPr>
          <w:rFonts w:ascii="Times New Roman" w:eastAsia="Times New Roman" w:hAnsi="Times New Roman" w:cs="Times New Roman"/>
          <w:color w:val="auto"/>
          <w:sz w:val="24"/>
          <w:szCs w:val="24"/>
          <w:lang w:val="en-GB" w:eastAsia="en-GB"/>
        </w:rPr>
        <w:id w:val="-2117582363"/>
        <w:docPartObj>
          <w:docPartGallery w:val="Table of Contents"/>
          <w:docPartUnique/>
        </w:docPartObj>
      </w:sdtPr>
      <w:sdtContent>
        <w:p w14:paraId="40DC2063" w14:textId="77777777" w:rsidR="00C75978" w:rsidRDefault="00C75978" w:rsidP="00C75978">
          <w:pPr>
            <w:pStyle w:val="TOCHeading"/>
            <w:spacing w:after="240" w:line="360" w:lineRule="auto"/>
            <w:jc w:val="both"/>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Table of Contents</w:t>
          </w:r>
        </w:p>
        <w:p w14:paraId="57D3514D" w14:textId="77777777" w:rsidR="00C75978" w:rsidRDefault="00C75978" w:rsidP="00C75978">
          <w:pPr>
            <w:pStyle w:val="TOC1"/>
            <w:tabs>
              <w:tab w:val="right" w:leader="dot" w:pos="9350"/>
            </w:tabs>
            <w:spacing w:before="240" w:after="240"/>
            <w:jc w:val="both"/>
            <w:rPr>
              <w:rFonts w:eastAsiaTheme="minorEastAsia"/>
              <w:noProof/>
              <w:szCs w:val="24"/>
              <w:lang w:eastAsia="en-US"/>
            </w:rPr>
          </w:pPr>
          <w:r>
            <w:rPr>
              <w:szCs w:val="24"/>
            </w:rPr>
            <w:fldChar w:fldCharType="begin"/>
          </w:r>
          <w:r>
            <w:rPr>
              <w:szCs w:val="24"/>
            </w:rPr>
            <w:instrText xml:space="preserve"> TOC \o "1-3" \h \z \u </w:instrText>
          </w:r>
          <w:r>
            <w:rPr>
              <w:szCs w:val="24"/>
            </w:rPr>
            <w:fldChar w:fldCharType="separate"/>
          </w:r>
          <w:hyperlink r:id="rId5" w:anchor="_Toc143720359" w:history="1">
            <w:r>
              <w:rPr>
                <w:rStyle w:val="Hyperlink"/>
                <w:rFonts w:eastAsiaTheme="majorEastAsia"/>
                <w:noProof/>
                <w:szCs w:val="24"/>
              </w:rPr>
              <w:t>Introduction</w:t>
            </w:r>
            <w:r>
              <w:rPr>
                <w:rStyle w:val="Hyperlink"/>
                <w:rFonts w:eastAsiaTheme="majorEastAsia"/>
                <w:noProof/>
                <w:webHidden/>
                <w:color w:val="auto"/>
                <w:szCs w:val="24"/>
              </w:rPr>
              <w:tab/>
            </w:r>
            <w:r>
              <w:rPr>
                <w:rStyle w:val="Hyperlink"/>
                <w:rFonts w:eastAsiaTheme="majorEastAsia"/>
                <w:noProof/>
                <w:webHidden/>
                <w:color w:val="auto"/>
                <w:szCs w:val="24"/>
              </w:rPr>
              <w:fldChar w:fldCharType="begin"/>
            </w:r>
            <w:r>
              <w:rPr>
                <w:rStyle w:val="Hyperlink"/>
                <w:rFonts w:eastAsiaTheme="majorEastAsia"/>
                <w:noProof/>
                <w:webHidden/>
                <w:color w:val="auto"/>
                <w:szCs w:val="24"/>
              </w:rPr>
              <w:instrText xml:space="preserve"> PAGEREF _Toc143720359 \h </w:instrText>
            </w:r>
            <w:r>
              <w:rPr>
                <w:rStyle w:val="Hyperlink"/>
                <w:rFonts w:eastAsiaTheme="majorEastAsia"/>
                <w:noProof/>
                <w:webHidden/>
                <w:color w:val="auto"/>
                <w:szCs w:val="24"/>
              </w:rPr>
            </w:r>
            <w:r>
              <w:rPr>
                <w:rStyle w:val="Hyperlink"/>
                <w:rFonts w:eastAsiaTheme="majorEastAsia"/>
                <w:noProof/>
                <w:webHidden/>
                <w:color w:val="auto"/>
                <w:szCs w:val="24"/>
              </w:rPr>
              <w:fldChar w:fldCharType="separate"/>
            </w:r>
            <w:r>
              <w:rPr>
                <w:rStyle w:val="Hyperlink"/>
                <w:rFonts w:eastAsiaTheme="majorEastAsia"/>
                <w:noProof/>
                <w:webHidden/>
                <w:color w:val="auto"/>
                <w:szCs w:val="24"/>
              </w:rPr>
              <w:t>3</w:t>
            </w:r>
            <w:r>
              <w:rPr>
                <w:rStyle w:val="Hyperlink"/>
                <w:rFonts w:eastAsiaTheme="majorEastAsia"/>
                <w:noProof/>
                <w:webHidden/>
                <w:color w:val="auto"/>
                <w:szCs w:val="24"/>
              </w:rPr>
              <w:fldChar w:fldCharType="end"/>
            </w:r>
          </w:hyperlink>
        </w:p>
        <w:p w14:paraId="60E2E0EB" w14:textId="77777777" w:rsidR="00C75978" w:rsidRDefault="00000000" w:rsidP="00C75978">
          <w:pPr>
            <w:pStyle w:val="TOC1"/>
            <w:tabs>
              <w:tab w:val="right" w:leader="dot" w:pos="9350"/>
            </w:tabs>
            <w:spacing w:before="240" w:after="240"/>
            <w:jc w:val="both"/>
            <w:rPr>
              <w:rFonts w:eastAsiaTheme="minorEastAsia"/>
              <w:noProof/>
              <w:szCs w:val="24"/>
              <w:lang w:eastAsia="en-US"/>
            </w:rPr>
          </w:pPr>
          <w:hyperlink r:id="rId6" w:anchor="_Toc143720360" w:history="1">
            <w:r w:rsidR="00C75978">
              <w:rPr>
                <w:rStyle w:val="Hyperlink"/>
                <w:rFonts w:eastAsiaTheme="majorEastAsia"/>
                <w:noProof/>
                <w:szCs w:val="24"/>
              </w:rPr>
              <w:t>Application and evaluation of concepts and knowledge</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_Toc143720360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3</w:t>
            </w:r>
            <w:r w:rsidR="00C75978">
              <w:rPr>
                <w:rStyle w:val="Hyperlink"/>
                <w:rFonts w:eastAsiaTheme="majorEastAsia"/>
                <w:noProof/>
                <w:webHidden/>
                <w:color w:val="auto"/>
                <w:szCs w:val="24"/>
              </w:rPr>
              <w:fldChar w:fldCharType="end"/>
            </w:r>
          </w:hyperlink>
        </w:p>
        <w:p w14:paraId="7ADB916D" w14:textId="77777777" w:rsidR="00C75978" w:rsidRDefault="00000000" w:rsidP="00C75978">
          <w:pPr>
            <w:pStyle w:val="TOC2"/>
            <w:tabs>
              <w:tab w:val="right" w:leader="dot" w:pos="9350"/>
            </w:tabs>
            <w:spacing w:before="240" w:after="240"/>
            <w:jc w:val="both"/>
            <w:rPr>
              <w:rFonts w:eastAsiaTheme="minorEastAsia"/>
              <w:noProof/>
              <w:szCs w:val="24"/>
              <w:lang w:eastAsia="en-US"/>
            </w:rPr>
          </w:pPr>
          <w:hyperlink r:id="rId7" w:anchor="_Toc143720361" w:history="1">
            <w:r w:rsidR="00C75978">
              <w:rPr>
                <w:rStyle w:val="Hyperlink"/>
                <w:rFonts w:eastAsiaTheme="majorEastAsia"/>
                <w:noProof/>
                <w:szCs w:val="24"/>
              </w:rPr>
              <w:t>Key traits, characteristics, attributes and motivations of entrepreneurs and small business owners</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_Toc143720361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3</w:t>
            </w:r>
            <w:r w:rsidR="00C75978">
              <w:rPr>
                <w:rStyle w:val="Hyperlink"/>
                <w:rFonts w:eastAsiaTheme="majorEastAsia"/>
                <w:noProof/>
                <w:webHidden/>
                <w:color w:val="auto"/>
                <w:szCs w:val="24"/>
              </w:rPr>
              <w:fldChar w:fldCharType="end"/>
            </w:r>
          </w:hyperlink>
        </w:p>
        <w:p w14:paraId="5466FEAE" w14:textId="77777777" w:rsidR="00C75978" w:rsidRDefault="00000000" w:rsidP="00C75978">
          <w:pPr>
            <w:pStyle w:val="TOC2"/>
            <w:tabs>
              <w:tab w:val="right" w:leader="dot" w:pos="9350"/>
            </w:tabs>
            <w:spacing w:before="240" w:after="240"/>
            <w:jc w:val="both"/>
            <w:rPr>
              <w:rFonts w:eastAsiaTheme="minorEastAsia"/>
              <w:noProof/>
              <w:szCs w:val="24"/>
              <w:lang w:eastAsia="en-US"/>
            </w:rPr>
          </w:pPr>
          <w:hyperlink r:id="rId8" w:anchor="_Toc143720362" w:history="1">
            <w:r w:rsidR="00C75978">
              <w:rPr>
                <w:rStyle w:val="Hyperlink"/>
                <w:rFonts w:eastAsiaTheme="majorEastAsia"/>
                <w:noProof/>
                <w:szCs w:val="24"/>
              </w:rPr>
              <w:t>Key traits, characteristics, attributes and motivations of intrapreneurs</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_Toc143720362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5</w:t>
            </w:r>
            <w:r w:rsidR="00C75978">
              <w:rPr>
                <w:rStyle w:val="Hyperlink"/>
                <w:rFonts w:eastAsiaTheme="majorEastAsia"/>
                <w:noProof/>
                <w:webHidden/>
                <w:color w:val="auto"/>
                <w:szCs w:val="24"/>
              </w:rPr>
              <w:fldChar w:fldCharType="end"/>
            </w:r>
          </w:hyperlink>
        </w:p>
        <w:p w14:paraId="0E452B43" w14:textId="77777777" w:rsidR="00C75978" w:rsidRDefault="00000000" w:rsidP="00C75978">
          <w:pPr>
            <w:pStyle w:val="TOC2"/>
            <w:tabs>
              <w:tab w:val="right" w:leader="dot" w:pos="9350"/>
            </w:tabs>
            <w:spacing w:before="240" w:after="240"/>
            <w:jc w:val="both"/>
            <w:rPr>
              <w:rFonts w:eastAsiaTheme="minorEastAsia"/>
              <w:noProof/>
              <w:szCs w:val="24"/>
              <w:lang w:eastAsia="en-US"/>
            </w:rPr>
          </w:pPr>
          <w:hyperlink r:id="rId9" w:anchor="_Toc143720363" w:history="1">
            <w:r w:rsidR="00C75978">
              <w:rPr>
                <w:rStyle w:val="Hyperlink"/>
                <w:rFonts w:eastAsiaTheme="majorEastAsia"/>
                <w:noProof/>
                <w:szCs w:val="24"/>
              </w:rPr>
              <w:t>Concepts and knowledge about entrepreneurship from the perspective of support provider or policy maker</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_Toc143720363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6</w:t>
            </w:r>
            <w:r w:rsidR="00C75978">
              <w:rPr>
                <w:rStyle w:val="Hyperlink"/>
                <w:rFonts w:eastAsiaTheme="majorEastAsia"/>
                <w:noProof/>
                <w:webHidden/>
                <w:color w:val="auto"/>
                <w:szCs w:val="24"/>
              </w:rPr>
              <w:fldChar w:fldCharType="end"/>
            </w:r>
          </w:hyperlink>
        </w:p>
        <w:p w14:paraId="0E9958D9" w14:textId="77777777" w:rsidR="00C75978" w:rsidRDefault="00000000" w:rsidP="00C75978">
          <w:pPr>
            <w:pStyle w:val="TOC2"/>
            <w:tabs>
              <w:tab w:val="right" w:leader="dot" w:pos="9350"/>
            </w:tabs>
            <w:spacing w:before="240" w:after="240"/>
            <w:jc w:val="both"/>
            <w:rPr>
              <w:rFonts w:eastAsiaTheme="minorEastAsia"/>
              <w:noProof/>
              <w:szCs w:val="24"/>
              <w:lang w:eastAsia="en-US"/>
            </w:rPr>
          </w:pPr>
          <w:hyperlink r:id="rId10" w:anchor="_Toc143720364" w:history="1">
            <w:r w:rsidR="00C75978">
              <w:rPr>
                <w:rStyle w:val="Hyperlink"/>
                <w:rFonts w:eastAsiaTheme="majorEastAsia"/>
                <w:noProof/>
                <w:szCs w:val="24"/>
              </w:rPr>
              <w:t>Comparisons and contrasts between ‘for profit’ and ‘not for profit’ small organisations</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_Toc143720364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8</w:t>
            </w:r>
            <w:r w:rsidR="00C75978">
              <w:rPr>
                <w:rStyle w:val="Hyperlink"/>
                <w:rFonts w:eastAsiaTheme="majorEastAsia"/>
                <w:noProof/>
                <w:webHidden/>
                <w:color w:val="auto"/>
                <w:szCs w:val="24"/>
              </w:rPr>
              <w:fldChar w:fldCharType="end"/>
            </w:r>
          </w:hyperlink>
        </w:p>
        <w:p w14:paraId="2BF23674" w14:textId="77777777" w:rsidR="00C75978" w:rsidRDefault="00000000" w:rsidP="00C75978">
          <w:pPr>
            <w:pStyle w:val="TOC2"/>
            <w:tabs>
              <w:tab w:val="right" w:leader="dot" w:pos="9350"/>
            </w:tabs>
            <w:spacing w:before="240" w:after="240"/>
            <w:jc w:val="both"/>
            <w:rPr>
              <w:rFonts w:eastAsiaTheme="minorEastAsia"/>
              <w:noProof/>
              <w:szCs w:val="24"/>
              <w:lang w:eastAsia="en-US"/>
            </w:rPr>
          </w:pPr>
          <w:hyperlink r:id="rId11" w:anchor="_Toc143720365" w:history="1">
            <w:r w:rsidR="00C75978">
              <w:rPr>
                <w:rStyle w:val="Hyperlink"/>
                <w:rFonts w:eastAsiaTheme="majorEastAsia"/>
                <w:noProof/>
                <w:szCs w:val="24"/>
              </w:rPr>
              <w:t>Techniques for generating ideas</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_Toc143720365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9</w:t>
            </w:r>
            <w:r w:rsidR="00C75978">
              <w:rPr>
                <w:rStyle w:val="Hyperlink"/>
                <w:rFonts w:eastAsiaTheme="majorEastAsia"/>
                <w:noProof/>
                <w:webHidden/>
                <w:color w:val="auto"/>
                <w:szCs w:val="24"/>
              </w:rPr>
              <w:fldChar w:fldCharType="end"/>
            </w:r>
          </w:hyperlink>
        </w:p>
        <w:p w14:paraId="061FCDC5" w14:textId="77777777" w:rsidR="00C75978" w:rsidRDefault="00000000" w:rsidP="00C75978">
          <w:pPr>
            <w:pStyle w:val="TOC1"/>
            <w:tabs>
              <w:tab w:val="right" w:leader="dot" w:pos="9350"/>
            </w:tabs>
            <w:spacing w:before="240" w:after="240"/>
            <w:jc w:val="both"/>
            <w:rPr>
              <w:rFonts w:eastAsiaTheme="minorEastAsia"/>
              <w:noProof/>
              <w:szCs w:val="24"/>
              <w:lang w:eastAsia="en-US"/>
            </w:rPr>
          </w:pPr>
          <w:hyperlink r:id="rId12" w:anchor="_Toc143720366" w:history="1">
            <w:r w:rsidR="00C75978">
              <w:rPr>
                <w:rStyle w:val="Hyperlink"/>
                <w:rFonts w:eastAsiaTheme="majorEastAsia"/>
                <w:noProof/>
                <w:szCs w:val="24"/>
              </w:rPr>
              <w:t>Conclusion</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_Toc143720366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10</w:t>
            </w:r>
            <w:r w:rsidR="00C75978">
              <w:rPr>
                <w:rStyle w:val="Hyperlink"/>
                <w:rFonts w:eastAsiaTheme="majorEastAsia"/>
                <w:noProof/>
                <w:webHidden/>
                <w:color w:val="auto"/>
                <w:szCs w:val="24"/>
              </w:rPr>
              <w:fldChar w:fldCharType="end"/>
            </w:r>
          </w:hyperlink>
        </w:p>
        <w:p w14:paraId="0D25B8F0" w14:textId="77777777" w:rsidR="00C75978" w:rsidRDefault="00000000" w:rsidP="00C75978">
          <w:pPr>
            <w:pStyle w:val="TOC1"/>
            <w:tabs>
              <w:tab w:val="right" w:leader="dot" w:pos="9350"/>
            </w:tabs>
            <w:spacing w:before="240" w:after="240"/>
            <w:jc w:val="both"/>
            <w:rPr>
              <w:rFonts w:eastAsiaTheme="minorEastAsia"/>
              <w:noProof/>
              <w:szCs w:val="24"/>
              <w:lang w:eastAsia="en-US"/>
            </w:rPr>
          </w:pPr>
          <w:hyperlink r:id="rId13" w:anchor="_Toc143720367" w:history="1">
            <w:r w:rsidR="00C75978">
              <w:rPr>
                <w:rStyle w:val="Hyperlink"/>
                <w:rFonts w:eastAsiaTheme="majorEastAsia"/>
                <w:noProof/>
                <w:szCs w:val="24"/>
              </w:rPr>
              <w:t>References</w:t>
            </w:r>
            <w:r w:rsidR="00C75978">
              <w:rPr>
                <w:rStyle w:val="Hyperlink"/>
                <w:rFonts w:eastAsiaTheme="majorEastAsia"/>
                <w:noProof/>
                <w:webHidden/>
                <w:color w:val="auto"/>
                <w:szCs w:val="24"/>
              </w:rPr>
              <w:tab/>
            </w:r>
            <w:r w:rsidR="00C75978">
              <w:rPr>
                <w:rStyle w:val="Hyperlink"/>
                <w:rFonts w:eastAsiaTheme="majorEastAsia"/>
                <w:noProof/>
                <w:webHidden/>
                <w:color w:val="auto"/>
                <w:szCs w:val="24"/>
              </w:rPr>
              <w:fldChar w:fldCharType="begin"/>
            </w:r>
            <w:r w:rsidR="00C75978">
              <w:rPr>
                <w:rStyle w:val="Hyperlink"/>
                <w:rFonts w:eastAsiaTheme="majorEastAsia"/>
                <w:noProof/>
                <w:webHidden/>
                <w:color w:val="auto"/>
                <w:szCs w:val="24"/>
              </w:rPr>
              <w:instrText xml:space="preserve"> PAGEREF _Toc143720367 \h </w:instrText>
            </w:r>
            <w:r w:rsidR="00C75978">
              <w:rPr>
                <w:rStyle w:val="Hyperlink"/>
                <w:rFonts w:eastAsiaTheme="majorEastAsia"/>
                <w:noProof/>
                <w:webHidden/>
                <w:color w:val="auto"/>
                <w:szCs w:val="24"/>
              </w:rPr>
            </w:r>
            <w:r w:rsidR="00C75978">
              <w:rPr>
                <w:rStyle w:val="Hyperlink"/>
                <w:rFonts w:eastAsiaTheme="majorEastAsia"/>
                <w:noProof/>
                <w:webHidden/>
                <w:color w:val="auto"/>
                <w:szCs w:val="24"/>
              </w:rPr>
              <w:fldChar w:fldCharType="separate"/>
            </w:r>
            <w:r w:rsidR="00C75978">
              <w:rPr>
                <w:rStyle w:val="Hyperlink"/>
                <w:rFonts w:eastAsiaTheme="majorEastAsia"/>
                <w:noProof/>
                <w:webHidden/>
                <w:color w:val="auto"/>
                <w:szCs w:val="24"/>
              </w:rPr>
              <w:t>11</w:t>
            </w:r>
            <w:r w:rsidR="00C75978">
              <w:rPr>
                <w:rStyle w:val="Hyperlink"/>
                <w:rFonts w:eastAsiaTheme="majorEastAsia"/>
                <w:noProof/>
                <w:webHidden/>
                <w:color w:val="auto"/>
                <w:szCs w:val="24"/>
              </w:rPr>
              <w:fldChar w:fldCharType="end"/>
            </w:r>
          </w:hyperlink>
        </w:p>
        <w:p w14:paraId="7B3495C4" w14:textId="77777777" w:rsidR="00C75978" w:rsidRDefault="00C75978" w:rsidP="00C75978">
          <w:pPr>
            <w:spacing w:before="240" w:after="240"/>
            <w:jc w:val="both"/>
            <w:rPr>
              <w:szCs w:val="24"/>
            </w:rPr>
          </w:pPr>
          <w:r>
            <w:rPr>
              <w:b/>
              <w:bCs/>
              <w:noProof/>
              <w:szCs w:val="24"/>
            </w:rPr>
            <w:fldChar w:fldCharType="end"/>
          </w:r>
        </w:p>
      </w:sdtContent>
    </w:sdt>
    <w:p w14:paraId="2B628474" w14:textId="77777777" w:rsidR="00C75978" w:rsidRDefault="00C75978" w:rsidP="00C75978">
      <w:pPr>
        <w:spacing w:before="240" w:after="240"/>
        <w:jc w:val="both"/>
        <w:rPr>
          <w:rFonts w:eastAsiaTheme="majorEastAsia"/>
          <w:b/>
          <w:szCs w:val="24"/>
        </w:rPr>
      </w:pPr>
      <w:r>
        <w:rPr>
          <w:szCs w:val="24"/>
        </w:rPr>
        <w:br w:type="page"/>
      </w:r>
    </w:p>
    <w:p w14:paraId="7D80208A" w14:textId="77777777" w:rsidR="00C75978" w:rsidRDefault="00C75978" w:rsidP="00C75978">
      <w:pPr>
        <w:pStyle w:val="Heading1"/>
        <w:spacing w:after="240"/>
        <w:jc w:val="both"/>
        <w:rPr>
          <w:rFonts w:cs="Times New Roman"/>
          <w:color w:val="auto"/>
          <w:sz w:val="24"/>
          <w:szCs w:val="24"/>
        </w:rPr>
      </w:pPr>
      <w:bookmarkStart w:id="0" w:name="_Toc143720359"/>
      <w:r>
        <w:rPr>
          <w:rFonts w:cs="Times New Roman"/>
          <w:color w:val="auto"/>
          <w:sz w:val="24"/>
          <w:szCs w:val="24"/>
        </w:rPr>
        <w:lastRenderedPageBreak/>
        <w:t>Introduction</w:t>
      </w:r>
      <w:bookmarkEnd w:id="0"/>
      <w:r>
        <w:rPr>
          <w:rFonts w:cs="Times New Roman"/>
          <w:color w:val="auto"/>
          <w:sz w:val="24"/>
          <w:szCs w:val="24"/>
        </w:rPr>
        <w:t xml:space="preserve"> </w:t>
      </w:r>
    </w:p>
    <w:p w14:paraId="376D5C7F" w14:textId="77777777" w:rsidR="00C75978" w:rsidRDefault="00C75978" w:rsidP="00C75978">
      <w:pPr>
        <w:spacing w:before="240" w:after="240"/>
        <w:jc w:val="both"/>
        <w:rPr>
          <w:szCs w:val="24"/>
        </w:rPr>
      </w:pPr>
      <w:r>
        <w:rPr>
          <w:szCs w:val="24"/>
        </w:rPr>
        <w:t xml:space="preserve">Entrepreneurship refers to the process of identifying and grabbing favourable business opportunities by developing innovative products, </w:t>
      </w:r>
      <w:proofErr w:type="gramStart"/>
      <w:r>
        <w:rPr>
          <w:szCs w:val="24"/>
        </w:rPr>
        <w:t>services</w:t>
      </w:r>
      <w:proofErr w:type="gramEnd"/>
      <w:r>
        <w:rPr>
          <w:szCs w:val="24"/>
        </w:rPr>
        <w:t xml:space="preserve"> and solutions. Entrepreneurs take calculated risks for starting and managing their businesses with the sustainable goals of earning long-term profits and growth (</w:t>
      </w:r>
      <w:r>
        <w:rPr>
          <w:szCs w:val="24"/>
          <w:shd w:val="clear" w:color="auto" w:fill="FFFFFF"/>
        </w:rPr>
        <w:t>Estay et al., 2013</w:t>
      </w:r>
      <w:r>
        <w:rPr>
          <w:szCs w:val="24"/>
        </w:rPr>
        <w:t xml:space="preserve">). Enterprise and entrepreneurship are associated with a wide range of concepts such development of business ideas, business plans, market research, business models, innovation, adaptability, leadership, </w:t>
      </w:r>
      <w:proofErr w:type="gramStart"/>
      <w:r>
        <w:rPr>
          <w:szCs w:val="24"/>
        </w:rPr>
        <w:t>management</w:t>
      </w:r>
      <w:proofErr w:type="gramEnd"/>
      <w:r>
        <w:rPr>
          <w:szCs w:val="24"/>
        </w:rPr>
        <w:t xml:space="preserve"> and marketing. </w:t>
      </w:r>
    </w:p>
    <w:p w14:paraId="79825278" w14:textId="77777777" w:rsidR="00C75978" w:rsidRDefault="00C75978" w:rsidP="00C75978">
      <w:pPr>
        <w:spacing w:before="240" w:after="240"/>
        <w:jc w:val="both"/>
        <w:rPr>
          <w:szCs w:val="24"/>
        </w:rPr>
      </w:pPr>
      <w:r>
        <w:rPr>
          <w:szCs w:val="24"/>
        </w:rPr>
        <w:t xml:space="preserve">The main objective of this report is to analyse and evaluate different concepts and knowledge in the context of enterprise and entrepreneurship from multiple range of perspectives such as an entrepreneur, intrapreneur, or policy maker. To achieve this purpose, this assignment will demonstrate the application and understanding of academic theories to discuss traits, characteristics, and attributes of entrepreneurs, intrapreneurs and policymakers. The report will further show the comparison and contrast between ‘for profit’ and ‘not for profit’ small organisations while drawing upon the entrepreneur's values and beliefs. The discussion will be supported and illustrated with suitable examples. </w:t>
      </w:r>
    </w:p>
    <w:p w14:paraId="17A2B9BC" w14:textId="77777777" w:rsidR="00C75978" w:rsidRDefault="00C75978" w:rsidP="00C75978">
      <w:pPr>
        <w:pStyle w:val="Heading1"/>
        <w:spacing w:after="240"/>
        <w:jc w:val="both"/>
        <w:rPr>
          <w:rFonts w:cs="Times New Roman"/>
          <w:color w:val="auto"/>
          <w:sz w:val="24"/>
          <w:szCs w:val="24"/>
        </w:rPr>
      </w:pPr>
      <w:bookmarkStart w:id="1" w:name="_Toc143720360"/>
      <w:r>
        <w:rPr>
          <w:rFonts w:cs="Times New Roman"/>
          <w:color w:val="auto"/>
          <w:sz w:val="24"/>
          <w:szCs w:val="24"/>
        </w:rPr>
        <w:t>Application and evaluation of concepts and knowledge</w:t>
      </w:r>
      <w:bookmarkEnd w:id="1"/>
    </w:p>
    <w:p w14:paraId="58BC29C0" w14:textId="77777777" w:rsidR="00C75978" w:rsidRDefault="00C75978" w:rsidP="00C75978">
      <w:pPr>
        <w:pStyle w:val="Heading2"/>
        <w:spacing w:before="240" w:after="240"/>
        <w:jc w:val="both"/>
        <w:rPr>
          <w:rFonts w:cs="Times New Roman"/>
          <w:color w:val="auto"/>
          <w:szCs w:val="24"/>
        </w:rPr>
      </w:pPr>
      <w:bookmarkStart w:id="2" w:name="_Toc143720361"/>
      <w:r>
        <w:rPr>
          <w:rFonts w:cs="Times New Roman"/>
          <w:color w:val="auto"/>
          <w:szCs w:val="24"/>
        </w:rPr>
        <w:t>Key traits, characteristics, attributes and motivations of entrepreneurs and small business owners</w:t>
      </w:r>
      <w:bookmarkEnd w:id="2"/>
    </w:p>
    <w:p w14:paraId="459A9D64" w14:textId="77777777" w:rsidR="00C75978" w:rsidRDefault="00C75978" w:rsidP="00C75978">
      <w:pPr>
        <w:spacing w:before="240" w:after="240"/>
        <w:jc w:val="both"/>
        <w:rPr>
          <w:szCs w:val="24"/>
        </w:rPr>
      </w:pPr>
      <w:r>
        <w:rPr>
          <w:szCs w:val="24"/>
        </w:rPr>
        <w:t>Entrepreneurs and small business owners possess the following key traits and characteristics:</w:t>
      </w:r>
    </w:p>
    <w:p w14:paraId="5794DBB8" w14:textId="77777777" w:rsidR="00C75978" w:rsidRDefault="00C75978" w:rsidP="00C75978">
      <w:pPr>
        <w:spacing w:before="240" w:after="240"/>
        <w:jc w:val="both"/>
        <w:rPr>
          <w:szCs w:val="24"/>
        </w:rPr>
      </w:pPr>
      <w:r>
        <w:rPr>
          <w:b/>
          <w:i/>
          <w:szCs w:val="24"/>
        </w:rPr>
        <w:t>Passion for business</w:t>
      </w:r>
      <w:r>
        <w:rPr>
          <w:szCs w:val="24"/>
        </w:rPr>
        <w:t>: Entrepreneurs possess a deep passion for their business ideas that fuels their determination to overcome challenges and drive the business venture toward sustainability. This passion can be seen in their commitment to their entrepreneurial vision (</w:t>
      </w:r>
      <w:r>
        <w:rPr>
          <w:szCs w:val="24"/>
          <w:shd w:val="clear" w:color="auto" w:fill="FFFFFF"/>
        </w:rPr>
        <w:t>Estay et al., 2013</w:t>
      </w:r>
      <w:r>
        <w:rPr>
          <w:szCs w:val="24"/>
        </w:rPr>
        <w:t>). For example, the CEO of Tesla and SpaceX, Elon Musk, is known for his intense passion for revolutionizing transportation and space exploration. His passion has led him toward drastic innovations in both industries (</w:t>
      </w:r>
      <w:r>
        <w:rPr>
          <w:szCs w:val="24"/>
          <w:shd w:val="clear" w:color="auto" w:fill="FFFFFF"/>
        </w:rPr>
        <w:t>Muegge and Reid, 2019</w:t>
      </w:r>
      <w:r>
        <w:rPr>
          <w:szCs w:val="24"/>
        </w:rPr>
        <w:t xml:space="preserve">). </w:t>
      </w:r>
    </w:p>
    <w:p w14:paraId="04BE0C3F" w14:textId="77777777" w:rsidR="00C75978" w:rsidRDefault="00C75978" w:rsidP="00C75978">
      <w:pPr>
        <w:spacing w:before="240" w:after="240"/>
        <w:jc w:val="both"/>
        <w:rPr>
          <w:szCs w:val="24"/>
        </w:rPr>
      </w:pPr>
      <w:r>
        <w:rPr>
          <w:b/>
          <w:i/>
          <w:szCs w:val="24"/>
        </w:rPr>
        <w:t>Product/ customer focus</w:t>
      </w:r>
      <w:r>
        <w:rPr>
          <w:szCs w:val="24"/>
        </w:rPr>
        <w:t xml:space="preserve">: Successful entrepreneurs are laser-focused and deliver key values to their customers. Such entrepreneurs identify unmet demands in the market and create unique products/ services that could effectively address their diverse needs and requirements. This </w:t>
      </w:r>
      <w:r>
        <w:rPr>
          <w:szCs w:val="24"/>
        </w:rPr>
        <w:lastRenderedPageBreak/>
        <w:t>customer-centric approach helps them to remain competitive and relevant (</w:t>
      </w:r>
      <w:r>
        <w:rPr>
          <w:szCs w:val="24"/>
          <w:shd w:val="clear" w:color="auto" w:fill="FFFFFF"/>
        </w:rPr>
        <w:t>Carsrud et al., 2017</w:t>
      </w:r>
      <w:r>
        <w:rPr>
          <w:szCs w:val="24"/>
        </w:rPr>
        <w:t>). For example, Jeff Bezos (the founder of Amazon) prioritized customer satisfaction by emphasizing customer experience, efficient delivery of services and convenient shopping and thereby became the most customer-centric Company in the world (</w:t>
      </w:r>
      <w:r>
        <w:rPr>
          <w:szCs w:val="24"/>
          <w:shd w:val="clear" w:color="auto" w:fill="FFFFFF"/>
        </w:rPr>
        <w:t>Dorio, 2022</w:t>
      </w:r>
      <w:r>
        <w:rPr>
          <w:szCs w:val="24"/>
        </w:rPr>
        <w:t xml:space="preserve">). </w:t>
      </w:r>
    </w:p>
    <w:p w14:paraId="09E87DAB" w14:textId="77777777" w:rsidR="00C75978" w:rsidRDefault="00C75978" w:rsidP="00C75978">
      <w:pPr>
        <w:spacing w:before="240" w:after="240"/>
        <w:jc w:val="both"/>
        <w:rPr>
          <w:szCs w:val="24"/>
        </w:rPr>
      </w:pPr>
      <w:r>
        <w:rPr>
          <w:b/>
          <w:i/>
          <w:szCs w:val="24"/>
        </w:rPr>
        <w:t>Execution Intelligence</w:t>
      </w:r>
      <w:r>
        <w:rPr>
          <w:szCs w:val="24"/>
        </w:rPr>
        <w:t>: Entrepreneurs possess another key characteristic of turning ideas into actionable plans and executing those ideas effectively and efficiently. Entrepreneurs are skilled at taking calculative risks, managing decisions and adapting their strategies according to the changing circumstances. For instance, Richard Branson (the founder of Virgin Group)’s execution intelligence ability has made him become a multifaceted empire by executing diverse business ventures including music, airlines, space travel and telecommunications (</w:t>
      </w:r>
      <w:r>
        <w:rPr>
          <w:szCs w:val="24"/>
          <w:shd w:val="clear" w:color="auto" w:fill="FFFFFF"/>
        </w:rPr>
        <w:t>Barringer, 2015</w:t>
      </w:r>
      <w:r>
        <w:rPr>
          <w:szCs w:val="24"/>
        </w:rPr>
        <w:t xml:space="preserve">). </w:t>
      </w:r>
    </w:p>
    <w:p w14:paraId="3729C61D" w14:textId="77777777" w:rsidR="00C75978" w:rsidRDefault="00C75978" w:rsidP="00C75978">
      <w:pPr>
        <w:spacing w:before="240" w:after="240"/>
        <w:jc w:val="both"/>
        <w:rPr>
          <w:szCs w:val="24"/>
        </w:rPr>
      </w:pPr>
      <w:r>
        <w:rPr>
          <w:b/>
          <w:i/>
          <w:szCs w:val="24"/>
        </w:rPr>
        <w:t>Tenacity despite failure</w:t>
      </w:r>
      <w:r>
        <w:rPr>
          <w:szCs w:val="24"/>
        </w:rPr>
        <w:t>: Resilient entrepreneurs view failure as a stepping stone to growth and learning rather than a roadblock. Entrepreneurs can bounce back from setbacks by using their failures and grabbing opportunities to adjust their business strategies (</w:t>
      </w:r>
      <w:r>
        <w:rPr>
          <w:szCs w:val="24"/>
          <w:shd w:val="clear" w:color="auto" w:fill="FFFFFF"/>
        </w:rPr>
        <w:t>Carsrud et al., 2017</w:t>
      </w:r>
      <w:r>
        <w:rPr>
          <w:szCs w:val="24"/>
        </w:rPr>
        <w:t xml:space="preserve">). </w:t>
      </w:r>
    </w:p>
    <w:p w14:paraId="58A21AD4" w14:textId="77777777" w:rsidR="00C75978" w:rsidRDefault="00C75978" w:rsidP="00C75978">
      <w:pPr>
        <w:spacing w:before="240" w:after="240"/>
        <w:jc w:val="both"/>
        <w:rPr>
          <w:szCs w:val="24"/>
        </w:rPr>
      </w:pPr>
      <w:r>
        <w:rPr>
          <w:szCs w:val="24"/>
        </w:rPr>
        <w:t>Some other key attributes and motivations of entrepreneurs are as follows;</w:t>
      </w:r>
    </w:p>
    <w:p w14:paraId="5DEC1E1E" w14:textId="77777777" w:rsidR="00C75978" w:rsidRDefault="00C75978" w:rsidP="00C75978">
      <w:pPr>
        <w:spacing w:before="240" w:after="240"/>
        <w:jc w:val="both"/>
        <w:rPr>
          <w:szCs w:val="24"/>
        </w:rPr>
      </w:pPr>
      <w:r>
        <w:rPr>
          <w:b/>
          <w:i/>
          <w:szCs w:val="24"/>
        </w:rPr>
        <w:t>Risk tolerance</w:t>
      </w:r>
      <w:r>
        <w:rPr>
          <w:szCs w:val="24"/>
        </w:rPr>
        <w:t>: Entrepreneurs possess a greater ability to take calculative risks to achieve their desired goals. They understand the importance of risks as higher risks result in higher rewards. For instance, Elon Musk made significant financial investments and faced various technical challenges and his willingness to take risks has led him to attain his ambitious objectives (</w:t>
      </w:r>
      <w:r>
        <w:rPr>
          <w:szCs w:val="24"/>
          <w:shd w:val="clear" w:color="auto" w:fill="FFFFFF"/>
        </w:rPr>
        <w:t>Muegge and Reid, 2019</w:t>
      </w:r>
      <w:r>
        <w:rPr>
          <w:szCs w:val="24"/>
        </w:rPr>
        <w:t xml:space="preserve">). </w:t>
      </w:r>
    </w:p>
    <w:p w14:paraId="464C3C57" w14:textId="77777777" w:rsidR="00C75978" w:rsidRDefault="00C75978" w:rsidP="00C75978">
      <w:pPr>
        <w:spacing w:before="240" w:after="240"/>
        <w:jc w:val="both"/>
        <w:rPr>
          <w:szCs w:val="24"/>
        </w:rPr>
      </w:pPr>
      <w:r>
        <w:rPr>
          <w:b/>
          <w:i/>
          <w:szCs w:val="24"/>
        </w:rPr>
        <w:t>Innovation and adaptability</w:t>
      </w:r>
      <w:r>
        <w:rPr>
          <w:szCs w:val="24"/>
        </w:rPr>
        <w:t>: Entrepreneurs tend to make quick decisions to embrace new changes and thrive in dynamic business environments. They tend to constantly seek innovative solutions to various business problems and are highly adaptable to diverse market trends and patterns (</w:t>
      </w:r>
      <w:r>
        <w:rPr>
          <w:szCs w:val="24"/>
          <w:shd w:val="clear" w:color="auto" w:fill="FFFFFF"/>
        </w:rPr>
        <w:t>Sajilan et al., 2015</w:t>
      </w:r>
      <w:r>
        <w:rPr>
          <w:szCs w:val="24"/>
        </w:rPr>
        <w:t>). For example, the co-founders of Netflix, Reed Hastings and Marc Randolph started the venture as rendering DVD rental services but soon recognized the shift towards digital streaming platforms. Hence, they adopted their business model and launched Netflix to become a global streaming powerhouse (</w:t>
      </w:r>
      <w:r>
        <w:rPr>
          <w:szCs w:val="24"/>
          <w:shd w:val="clear" w:color="auto" w:fill="FFFFFF"/>
        </w:rPr>
        <w:t>Voigt et al., 2017</w:t>
      </w:r>
      <w:r>
        <w:rPr>
          <w:szCs w:val="24"/>
        </w:rPr>
        <w:t xml:space="preserve">). </w:t>
      </w:r>
    </w:p>
    <w:p w14:paraId="75B3AE78" w14:textId="77777777" w:rsidR="00C75978" w:rsidRDefault="00C75978" w:rsidP="00C75978">
      <w:pPr>
        <w:spacing w:before="240" w:after="240"/>
        <w:jc w:val="both"/>
        <w:rPr>
          <w:szCs w:val="24"/>
        </w:rPr>
      </w:pPr>
      <w:r>
        <w:rPr>
          <w:b/>
          <w:i/>
          <w:szCs w:val="24"/>
        </w:rPr>
        <w:t>Independence and autonomy</w:t>
      </w:r>
      <w:r>
        <w:rPr>
          <w:szCs w:val="24"/>
        </w:rPr>
        <w:t xml:space="preserve">: Entrepreneurs possess another attribute of shaping their destinies as they are driven by a desire for autonomy. They are motivated to create something </w:t>
      </w:r>
      <w:r>
        <w:rPr>
          <w:szCs w:val="24"/>
        </w:rPr>
        <w:lastRenderedPageBreak/>
        <w:t>unique and innovative while having significant control over their business decisions (</w:t>
      </w:r>
      <w:r>
        <w:rPr>
          <w:szCs w:val="24"/>
          <w:shd w:val="clear" w:color="auto" w:fill="FFFFFF"/>
        </w:rPr>
        <w:t>Sajilan et al., 2015</w:t>
      </w:r>
      <w:r>
        <w:rPr>
          <w:szCs w:val="24"/>
        </w:rPr>
        <w:t xml:space="preserve">).  </w:t>
      </w:r>
    </w:p>
    <w:p w14:paraId="09391BC5" w14:textId="77777777" w:rsidR="00C75978" w:rsidRDefault="00C75978" w:rsidP="00C75978">
      <w:pPr>
        <w:pStyle w:val="Heading2"/>
        <w:spacing w:before="240" w:after="240"/>
        <w:jc w:val="both"/>
        <w:rPr>
          <w:rFonts w:cs="Times New Roman"/>
          <w:color w:val="auto"/>
          <w:szCs w:val="24"/>
        </w:rPr>
      </w:pPr>
      <w:bookmarkStart w:id="3" w:name="_Toc143720362"/>
      <w:r>
        <w:rPr>
          <w:rFonts w:cs="Times New Roman"/>
          <w:color w:val="auto"/>
          <w:szCs w:val="24"/>
        </w:rPr>
        <w:t>Key traits, characteristics, attributes and motivations of intrapreneurs</w:t>
      </w:r>
      <w:bookmarkEnd w:id="3"/>
      <w:r>
        <w:rPr>
          <w:rFonts w:cs="Times New Roman"/>
          <w:color w:val="auto"/>
          <w:szCs w:val="24"/>
        </w:rPr>
        <w:t xml:space="preserve"> </w:t>
      </w:r>
    </w:p>
    <w:p w14:paraId="6EEB16E0" w14:textId="77777777" w:rsidR="00C75978" w:rsidRDefault="00C75978" w:rsidP="00C75978">
      <w:pPr>
        <w:spacing w:before="240" w:after="240"/>
        <w:jc w:val="both"/>
        <w:rPr>
          <w:szCs w:val="24"/>
        </w:rPr>
      </w:pPr>
      <w:r>
        <w:rPr>
          <w:szCs w:val="24"/>
        </w:rPr>
        <w:t>Entrepreneurs are individuals within a large organization who possess entrepreneurial traits, attitudes and behaviours while driving positive changes from within and innovating. Intrapreneurs possess a unique set of motivations and characteristics that set them apart from traditional employees. To understand and discuss the key traits and motivations of intrapreneurs, an “intrapreneurial framework” can be applied that was proposed by Gifford Pinchot III, who believed that “innovation does not mean invention” (</w:t>
      </w:r>
      <w:r>
        <w:rPr>
          <w:szCs w:val="24"/>
          <w:shd w:val="clear" w:color="auto" w:fill="FFFFFF"/>
        </w:rPr>
        <w:t>Pinchot and Soltanifar, 2021</w:t>
      </w:r>
      <w:r>
        <w:rPr>
          <w:szCs w:val="24"/>
        </w:rPr>
        <w:t>). While using this framework, the following elements have been identified:</w:t>
      </w:r>
    </w:p>
    <w:p w14:paraId="4BD98610" w14:textId="77777777" w:rsidR="00C75978" w:rsidRDefault="00C75978" w:rsidP="00C75978">
      <w:pPr>
        <w:spacing w:before="240" w:after="240"/>
        <w:jc w:val="both"/>
        <w:rPr>
          <w:szCs w:val="24"/>
        </w:rPr>
      </w:pPr>
      <w:r>
        <w:rPr>
          <w:b/>
          <w:i/>
          <w:szCs w:val="24"/>
        </w:rPr>
        <w:t>Autonomy</w:t>
      </w:r>
      <w:r>
        <w:rPr>
          <w:szCs w:val="24"/>
        </w:rPr>
        <w:t>: Intrapreneurs tend to thrive when they are given enough freedom to make informed decisions and take ownership of their intrapreneurial projects within the business organization. Intrapreneurs appreciate this trait while they execute their innovative ideas (</w:t>
      </w:r>
      <w:r>
        <w:rPr>
          <w:szCs w:val="24"/>
          <w:shd w:val="clear" w:color="auto" w:fill="FFFFFF"/>
        </w:rPr>
        <w:t>Begeç and Arun, 2021</w:t>
      </w:r>
      <w:r>
        <w:rPr>
          <w:szCs w:val="24"/>
        </w:rPr>
        <w:t>). For example, the 15% Rule or 15% Culture of 3M (an American MNC operating in different sectors of healthcare, workers’ safety and consumer goods) allows its employees to spend up to 15% of their work time pursuing the projects from outside their regular/ defined responsibilities. This rule has led employees towards innovations such as Scotchgard and Post-it-Note (</w:t>
      </w:r>
      <w:r>
        <w:rPr>
          <w:szCs w:val="24"/>
          <w:shd w:val="clear" w:color="auto" w:fill="FFFFFF"/>
        </w:rPr>
        <w:t>3M, 2023</w:t>
      </w:r>
      <w:r>
        <w:rPr>
          <w:szCs w:val="24"/>
        </w:rPr>
        <w:t xml:space="preserve">). </w:t>
      </w:r>
    </w:p>
    <w:p w14:paraId="72F8E2DC" w14:textId="77777777" w:rsidR="00C75978" w:rsidRDefault="00C75978" w:rsidP="00C75978">
      <w:pPr>
        <w:spacing w:before="240" w:after="240"/>
        <w:jc w:val="both"/>
        <w:rPr>
          <w:szCs w:val="24"/>
        </w:rPr>
      </w:pPr>
      <w:r>
        <w:rPr>
          <w:b/>
          <w:i/>
          <w:szCs w:val="24"/>
        </w:rPr>
        <w:t>Risk-taking</w:t>
      </w:r>
      <w:r>
        <w:rPr>
          <w:szCs w:val="24"/>
        </w:rPr>
        <w:t>: Like entrepreneurs, intrapreneurs are also willing to take calculated risks for the successful execution of innovative ideas. They consider risk as an essential part of their innovation process. For instance, the intrapreneur, Akio Morita, introduced a risky concept i.e. Sony’s Walkman which has revolutionized the way people listen to music; thereby showcasing the importance of taking risks (</w:t>
      </w:r>
      <w:r>
        <w:rPr>
          <w:szCs w:val="24"/>
          <w:shd w:val="clear" w:color="auto" w:fill="FFFFFF"/>
        </w:rPr>
        <w:t>McFadden, 2018</w:t>
      </w:r>
      <w:r>
        <w:rPr>
          <w:szCs w:val="24"/>
        </w:rPr>
        <w:t>).</w:t>
      </w:r>
    </w:p>
    <w:p w14:paraId="512403F6" w14:textId="77777777" w:rsidR="00C75978" w:rsidRDefault="00C75978" w:rsidP="00C75978">
      <w:pPr>
        <w:spacing w:before="240" w:after="240"/>
        <w:jc w:val="both"/>
        <w:rPr>
          <w:szCs w:val="24"/>
        </w:rPr>
      </w:pPr>
      <w:r>
        <w:rPr>
          <w:b/>
          <w:i/>
          <w:szCs w:val="24"/>
        </w:rPr>
        <w:t>Networking and collaboration</w:t>
      </w:r>
      <w:r>
        <w:rPr>
          <w:szCs w:val="24"/>
        </w:rPr>
        <w:t>: Intrapreneurs are highly skilled in building networks and collaborating with business colleagues possessing diverse backgrounds. They realize the value of teamwork to bring ideas into final execution (</w:t>
      </w:r>
      <w:r>
        <w:rPr>
          <w:szCs w:val="24"/>
          <w:shd w:val="clear" w:color="auto" w:fill="FFFFFF"/>
        </w:rPr>
        <w:t>Begeç and Arun, 2021</w:t>
      </w:r>
      <w:r>
        <w:rPr>
          <w:szCs w:val="24"/>
        </w:rPr>
        <w:t xml:space="preserve">). For example, intrapreneurs at Google developed Google News by collaborating across different departments of product management, engineering and user experience teams to create a comprehensive news aggregator (Hanna, 2023). </w:t>
      </w:r>
    </w:p>
    <w:p w14:paraId="6DB8DFE3" w14:textId="77777777" w:rsidR="00C75978" w:rsidRDefault="00C75978" w:rsidP="00C75978">
      <w:pPr>
        <w:spacing w:before="240" w:after="240"/>
        <w:jc w:val="both"/>
        <w:rPr>
          <w:szCs w:val="24"/>
        </w:rPr>
      </w:pPr>
      <w:r>
        <w:rPr>
          <w:b/>
          <w:i/>
          <w:szCs w:val="24"/>
        </w:rPr>
        <w:lastRenderedPageBreak/>
        <w:t>Resourcefulness</w:t>
      </w:r>
      <w:r>
        <w:rPr>
          <w:szCs w:val="24"/>
        </w:rPr>
        <w:t>: Intrapreneurs are resourceful and they feel motivated while seeking out the necessary support, resources and expertise for their projects. They leverage available assets to turn their innovative ideas into reality (</w:t>
      </w:r>
      <w:r>
        <w:rPr>
          <w:szCs w:val="24"/>
          <w:shd w:val="clear" w:color="auto" w:fill="FFFFFF"/>
        </w:rPr>
        <w:t>Anifowose and Ohu, 2020</w:t>
      </w:r>
      <w:r>
        <w:rPr>
          <w:szCs w:val="24"/>
        </w:rPr>
        <w:t xml:space="preserve">). For instance, Apple collaborated with hardware, software and design teams for its “iPod” project that showcased the ability of its intrapreneurs to navigate resources across different departments (Apple, 2023). </w:t>
      </w:r>
    </w:p>
    <w:p w14:paraId="6871FA67" w14:textId="77777777" w:rsidR="00C75978" w:rsidRDefault="00C75978" w:rsidP="00C75978">
      <w:pPr>
        <w:spacing w:before="240" w:after="240"/>
        <w:jc w:val="both"/>
        <w:rPr>
          <w:szCs w:val="24"/>
        </w:rPr>
      </w:pPr>
      <w:r>
        <w:rPr>
          <w:b/>
          <w:i/>
          <w:szCs w:val="24"/>
        </w:rPr>
        <w:t>Persistence and resilience</w:t>
      </w:r>
      <w:r>
        <w:rPr>
          <w:szCs w:val="24"/>
        </w:rPr>
        <w:t>: Intrapreneurs tend to exhibit persistence in the face of setbacks and challenges and are willing to adapt, iterate and learn from failures to achieve defined goals. During the development phase of Nintendo Wii, multiple challenges were faced but intrapreneurs like Shigeru Miyamoto worked on refining the concept which resulted in a successful and innovative gaming console (</w:t>
      </w:r>
      <w:r>
        <w:rPr>
          <w:szCs w:val="24"/>
          <w:shd w:val="clear" w:color="auto" w:fill="FFFFFF"/>
        </w:rPr>
        <w:t>NPR, 2015</w:t>
      </w:r>
      <w:r>
        <w:rPr>
          <w:szCs w:val="24"/>
        </w:rPr>
        <w:t xml:space="preserve">). </w:t>
      </w:r>
    </w:p>
    <w:p w14:paraId="77A033D5" w14:textId="77777777" w:rsidR="00C75978" w:rsidRDefault="00C75978" w:rsidP="00C75978">
      <w:pPr>
        <w:spacing w:before="240" w:after="240"/>
        <w:jc w:val="both"/>
        <w:rPr>
          <w:szCs w:val="24"/>
        </w:rPr>
      </w:pPr>
      <w:r>
        <w:rPr>
          <w:szCs w:val="24"/>
        </w:rPr>
        <w:t>Intrapreneurs possess some other traits, characteristics and attributes similar to entrepreneurs including creativity, innovation, passion and vision. Like entrepreneurs, intrapreneurs are also driven by strong passion and vision for their innovative ideas. They come up with innovative ideas that lead them towards improved business processes and the development of new products (</w:t>
      </w:r>
      <w:r>
        <w:rPr>
          <w:szCs w:val="24"/>
          <w:shd w:val="clear" w:color="auto" w:fill="FFFFFF"/>
        </w:rPr>
        <w:t>Anifowose and Ohu, 2020</w:t>
      </w:r>
      <w:r>
        <w:rPr>
          <w:szCs w:val="24"/>
        </w:rPr>
        <w:t xml:space="preserve">). </w:t>
      </w:r>
    </w:p>
    <w:p w14:paraId="57F15A3A" w14:textId="77777777" w:rsidR="00C75978" w:rsidRDefault="00C75978" w:rsidP="00C75978">
      <w:pPr>
        <w:pStyle w:val="Heading2"/>
        <w:spacing w:before="240" w:after="240"/>
        <w:jc w:val="both"/>
        <w:rPr>
          <w:rFonts w:cs="Times New Roman"/>
          <w:color w:val="auto"/>
          <w:szCs w:val="24"/>
        </w:rPr>
      </w:pPr>
      <w:bookmarkStart w:id="4" w:name="_Toc143720363"/>
      <w:r>
        <w:rPr>
          <w:rFonts w:cs="Times New Roman"/>
          <w:color w:val="auto"/>
          <w:szCs w:val="24"/>
        </w:rPr>
        <w:t>Concepts and knowledge about entrepreneurship from the perspective of support provider or policy maker</w:t>
      </w:r>
      <w:bookmarkEnd w:id="4"/>
    </w:p>
    <w:p w14:paraId="611F59FB" w14:textId="77777777" w:rsidR="00C75978" w:rsidRDefault="00C75978" w:rsidP="00C75978">
      <w:pPr>
        <w:spacing w:before="240" w:after="240"/>
        <w:jc w:val="both"/>
        <w:rPr>
          <w:szCs w:val="24"/>
        </w:rPr>
      </w:pPr>
      <w:r>
        <w:rPr>
          <w:szCs w:val="24"/>
        </w:rPr>
        <w:t>To discuss entrepreneurship, a conceptual model of GEM (Global Entrepreneurship Monitor Model) has been applied to determine the main elements of the relationship between entrepreneurship and economic growth and the aspects within which the elements interact (</w:t>
      </w:r>
      <w:r>
        <w:rPr>
          <w:szCs w:val="24"/>
          <w:shd w:val="clear" w:color="auto" w:fill="FFFFFF"/>
        </w:rPr>
        <w:t>Bosma, 2013</w:t>
      </w:r>
      <w:r>
        <w:rPr>
          <w:szCs w:val="24"/>
        </w:rPr>
        <w:t>). This model describes the following phases of economic development under which innovation and entrepreneurship can thrive:</w:t>
      </w:r>
    </w:p>
    <w:p w14:paraId="0ACBD624" w14:textId="77777777" w:rsidR="00C75978" w:rsidRDefault="00C75978" w:rsidP="00C75978">
      <w:pPr>
        <w:spacing w:before="240" w:after="240"/>
        <w:jc w:val="both"/>
        <w:rPr>
          <w:b/>
          <w:i/>
          <w:szCs w:val="24"/>
          <w:u w:val="single"/>
        </w:rPr>
      </w:pPr>
      <w:r>
        <w:rPr>
          <w:b/>
          <w:i/>
          <w:szCs w:val="24"/>
          <w:u w:val="single"/>
        </w:rPr>
        <w:t>Factor-driven economies</w:t>
      </w:r>
    </w:p>
    <w:p w14:paraId="48E2E264" w14:textId="77777777" w:rsidR="00C75978" w:rsidRDefault="00C75978" w:rsidP="00C75978">
      <w:pPr>
        <w:spacing w:before="240" w:after="240"/>
        <w:jc w:val="both"/>
        <w:rPr>
          <w:szCs w:val="24"/>
        </w:rPr>
      </w:pPr>
      <w:r>
        <w:rPr>
          <w:szCs w:val="24"/>
        </w:rPr>
        <w:t xml:space="preserve">Economic development is majorly driven by some effective requirements such as the development of institutions, macro-economic stability, infrastructure, health and primary education. These are further characterized by heavy reliance on low-skilled labour, natural resources and traditional industries. In these economies, entrepreneurship is centred around necessities and primary industries. The policymakers focus on enhancing basic infrastructure, improving access to essential services and creating job opportunities. They also emphasize </w:t>
      </w:r>
      <w:r>
        <w:rPr>
          <w:szCs w:val="24"/>
        </w:rPr>
        <w:lastRenderedPageBreak/>
        <w:t>regulatory simplification for promoting entrepreneurial activities on a small scale (</w:t>
      </w:r>
      <w:r>
        <w:rPr>
          <w:szCs w:val="24"/>
          <w:shd w:val="clear" w:color="auto" w:fill="FFFFFF"/>
        </w:rPr>
        <w:t>Lepoutre et al., 2013</w:t>
      </w:r>
      <w:r>
        <w:rPr>
          <w:szCs w:val="24"/>
        </w:rPr>
        <w:t xml:space="preserve">). </w:t>
      </w:r>
    </w:p>
    <w:p w14:paraId="431402D3" w14:textId="77777777" w:rsidR="00C75978" w:rsidRDefault="00C75978" w:rsidP="00C75978">
      <w:pPr>
        <w:spacing w:before="240" w:after="240"/>
        <w:jc w:val="both"/>
        <w:rPr>
          <w:szCs w:val="24"/>
        </w:rPr>
      </w:pPr>
      <w:r>
        <w:rPr>
          <w:szCs w:val="24"/>
        </w:rPr>
        <w:t>For example, Nigeria is a factor-driven economy that is rich in oil resources and where policymakers could work on ensuring the diversification of the economy by supporting small-scale businesses and agricultural initiatives. The policymakers in Nigeria can focus on improving basic infrastructure in rural areas and provide professional training programs to local entrepreneurs (</w:t>
      </w:r>
      <w:r>
        <w:rPr>
          <w:szCs w:val="24"/>
          <w:shd w:val="clear" w:color="auto" w:fill="FFFFFF"/>
        </w:rPr>
        <w:t>Oluwatobi, 2015</w:t>
      </w:r>
      <w:r>
        <w:rPr>
          <w:szCs w:val="24"/>
        </w:rPr>
        <w:t xml:space="preserve">). </w:t>
      </w:r>
    </w:p>
    <w:p w14:paraId="71BD3317" w14:textId="77777777" w:rsidR="00C75978" w:rsidRDefault="00C75978" w:rsidP="00C75978">
      <w:pPr>
        <w:spacing w:before="240" w:after="240"/>
        <w:jc w:val="both"/>
        <w:rPr>
          <w:b/>
          <w:i/>
          <w:szCs w:val="24"/>
          <w:u w:val="single"/>
        </w:rPr>
      </w:pPr>
      <w:r>
        <w:rPr>
          <w:b/>
          <w:i/>
          <w:szCs w:val="24"/>
          <w:u w:val="single"/>
        </w:rPr>
        <w:t>Efficiency-driven economies</w:t>
      </w:r>
    </w:p>
    <w:p w14:paraId="025DDC6A" w14:textId="77777777" w:rsidR="00C75978" w:rsidRDefault="00C75978" w:rsidP="00C75978">
      <w:pPr>
        <w:spacing w:before="240" w:after="240"/>
        <w:jc w:val="both"/>
        <w:rPr>
          <w:szCs w:val="24"/>
        </w:rPr>
      </w:pPr>
      <w:r>
        <w:rPr>
          <w:szCs w:val="24"/>
        </w:rPr>
        <w:t>These economies focus on ensuring smooth mechanisms such as ensuring the proper functioning of the market via higher education systems, technological readiness and goods and labour market. The efficiency-driven economies are characterized by the growth in the service and manufacturing sectors (</w:t>
      </w:r>
      <w:r>
        <w:rPr>
          <w:szCs w:val="24"/>
          <w:shd w:val="clear" w:color="auto" w:fill="FFFFFF"/>
        </w:rPr>
        <w:t>Lepoutre et al., 2013</w:t>
      </w:r>
      <w:r>
        <w:rPr>
          <w:szCs w:val="24"/>
        </w:rPr>
        <w:t>). In these economies, entrepreneurship gets to revolve around increasing competitiveness and improving overall production efficiency. Policymakers and support providers must concentrate on developing and fostering a positive business environment, promoting innovation within traditional industries and enhancing greater access to finance (</w:t>
      </w:r>
      <w:r>
        <w:rPr>
          <w:szCs w:val="24"/>
          <w:shd w:val="clear" w:color="auto" w:fill="FFFFFF"/>
        </w:rPr>
        <w:t>Autio et al., 2013</w:t>
      </w:r>
      <w:r>
        <w:rPr>
          <w:szCs w:val="24"/>
        </w:rPr>
        <w:t xml:space="preserve">). </w:t>
      </w:r>
    </w:p>
    <w:p w14:paraId="65DD8714" w14:textId="77777777" w:rsidR="00C75978" w:rsidRDefault="00C75978" w:rsidP="00C75978">
      <w:pPr>
        <w:spacing w:before="240" w:after="240"/>
        <w:jc w:val="both"/>
        <w:rPr>
          <w:szCs w:val="24"/>
        </w:rPr>
      </w:pPr>
      <w:r>
        <w:rPr>
          <w:szCs w:val="24"/>
        </w:rPr>
        <w:t>For instance, Mexico is an efficiency-driven economy where policymakers might focus on expanding access to credit/ loans to encourage the growth of small-scale businesses. The policymakers can further work on streamlining the business regulation processes and facilitating the adoption of advanced technologies in the manufacturing sectors to improve overall business efficiency and competitiveness (</w:t>
      </w:r>
      <w:r>
        <w:rPr>
          <w:szCs w:val="24"/>
          <w:shd w:val="clear" w:color="auto" w:fill="FFFFFF"/>
        </w:rPr>
        <w:t>Rowbotham et al., 2014</w:t>
      </w:r>
      <w:r>
        <w:rPr>
          <w:szCs w:val="24"/>
        </w:rPr>
        <w:t xml:space="preserve">). </w:t>
      </w:r>
    </w:p>
    <w:p w14:paraId="7E93E96C" w14:textId="77777777" w:rsidR="00C75978" w:rsidRDefault="00C75978" w:rsidP="00C75978">
      <w:pPr>
        <w:spacing w:before="240" w:after="240"/>
        <w:jc w:val="both"/>
        <w:rPr>
          <w:b/>
          <w:i/>
          <w:szCs w:val="24"/>
          <w:u w:val="single"/>
        </w:rPr>
      </w:pPr>
      <w:r>
        <w:rPr>
          <w:b/>
          <w:i/>
          <w:szCs w:val="24"/>
          <w:u w:val="single"/>
        </w:rPr>
        <w:t xml:space="preserve">Innovation-driven economies </w:t>
      </w:r>
    </w:p>
    <w:p w14:paraId="0B6EDF4E" w14:textId="77777777" w:rsidR="00C75978" w:rsidRDefault="00C75978" w:rsidP="00C75978">
      <w:pPr>
        <w:spacing w:before="240" w:after="240"/>
        <w:jc w:val="both"/>
        <w:rPr>
          <w:szCs w:val="24"/>
        </w:rPr>
      </w:pPr>
      <w:r>
        <w:rPr>
          <w:szCs w:val="24"/>
        </w:rPr>
        <w:t>Innovation-driven economies are characterized by highly skilled labour and advanced technologies that strongly emphasize extensive research and development. In these economies, entrepreneurship often centres around technology start-ups, innovation and knowledge-based industries. Policymakers and support providers would prioritize innovation, attracting global talent and creating a conducive environment for research (</w:t>
      </w:r>
      <w:r>
        <w:rPr>
          <w:szCs w:val="24"/>
          <w:shd w:val="clear" w:color="auto" w:fill="FFFFFF"/>
        </w:rPr>
        <w:t>Urbano and Alvarez, 2014</w:t>
      </w:r>
      <w:r>
        <w:rPr>
          <w:szCs w:val="24"/>
        </w:rPr>
        <w:t xml:space="preserve">). For example, South Korea is considered as an innovative-driven economy that places a significant emphasis on research and development resulting in the growth of technology giants like LG and Samsung. Policymakers in South Korea focus on supporting start-up incubators, creating </w:t>
      </w:r>
      <w:r>
        <w:rPr>
          <w:szCs w:val="24"/>
        </w:rPr>
        <w:lastRenderedPageBreak/>
        <w:t>tech-friendly ecosystems and facilitating positive collaboration between businesses and universities (</w:t>
      </w:r>
      <w:r>
        <w:rPr>
          <w:szCs w:val="24"/>
          <w:shd w:val="clear" w:color="auto" w:fill="FFFFFF"/>
        </w:rPr>
        <w:t>Kim and Choi, 2019</w:t>
      </w:r>
      <w:r>
        <w:rPr>
          <w:szCs w:val="24"/>
        </w:rPr>
        <w:t xml:space="preserve">). </w:t>
      </w:r>
    </w:p>
    <w:p w14:paraId="37796B9C" w14:textId="77777777" w:rsidR="00C75978" w:rsidRDefault="00C75978" w:rsidP="00C75978">
      <w:pPr>
        <w:pStyle w:val="Heading2"/>
        <w:spacing w:before="240" w:after="240"/>
        <w:jc w:val="both"/>
        <w:rPr>
          <w:rFonts w:cs="Times New Roman"/>
          <w:color w:val="auto"/>
          <w:szCs w:val="24"/>
        </w:rPr>
      </w:pPr>
      <w:bookmarkStart w:id="5" w:name="_Toc143720364"/>
      <w:r>
        <w:rPr>
          <w:rFonts w:cs="Times New Roman"/>
          <w:color w:val="auto"/>
          <w:szCs w:val="24"/>
        </w:rPr>
        <w:t>Comparisons and contrasts between ‘for profit’ and ‘not for profit small organisations</w:t>
      </w:r>
      <w:bookmarkEnd w:id="5"/>
    </w:p>
    <w:p w14:paraId="482202F5" w14:textId="77777777" w:rsidR="00C75978" w:rsidRDefault="00C75978" w:rsidP="00C75978">
      <w:pPr>
        <w:spacing w:before="240" w:after="240"/>
        <w:jc w:val="both"/>
        <w:rPr>
          <w:szCs w:val="24"/>
        </w:rPr>
      </w:pPr>
      <w:r>
        <w:rPr>
          <w:szCs w:val="24"/>
        </w:rPr>
        <w:t>To differentiate between “for-profit” and “not-for-profit” small organizations in consideration of the entrepreneurial beliefs and values, the “Triple Bottom Line” model can be applied for differentiating based on three dimensions including profit, people and planet. The profit dimension is the financial bottom line that focuses on generating revenue and maximizing profitability. The people dimension highlights the social and human impact of the business organization that considers the relationships among customers, employees and communities. The planet dimension emphasizes environmental sustainability and its impact on the natural world (</w:t>
      </w:r>
      <w:r>
        <w:rPr>
          <w:szCs w:val="24"/>
          <w:shd w:val="clear" w:color="auto" w:fill="FFFFFF"/>
        </w:rPr>
        <w:t>Alhaddi, 2015</w:t>
      </w:r>
      <w:r>
        <w:rPr>
          <w:szCs w:val="24"/>
        </w:rPr>
        <w:t xml:space="preserve">). </w:t>
      </w:r>
    </w:p>
    <w:p w14:paraId="5BD84F30" w14:textId="77777777" w:rsidR="00C75978" w:rsidRDefault="00C75978" w:rsidP="00C75978">
      <w:pPr>
        <w:spacing w:before="240" w:after="240"/>
        <w:jc w:val="both"/>
        <w:rPr>
          <w:b/>
          <w:i/>
          <w:szCs w:val="24"/>
          <w:u w:val="single"/>
        </w:rPr>
      </w:pPr>
      <w:r>
        <w:rPr>
          <w:b/>
          <w:i/>
          <w:szCs w:val="24"/>
          <w:u w:val="single"/>
        </w:rPr>
        <w:t xml:space="preserve">For-profit small organization </w:t>
      </w:r>
    </w:p>
    <w:p w14:paraId="1462CAA5" w14:textId="77777777" w:rsidR="00C75978" w:rsidRDefault="00C75978" w:rsidP="00C75978">
      <w:pPr>
        <w:spacing w:before="240" w:after="240"/>
        <w:jc w:val="both"/>
        <w:rPr>
          <w:szCs w:val="24"/>
        </w:rPr>
      </w:pPr>
      <w:r>
        <w:rPr>
          <w:b/>
          <w:i/>
          <w:szCs w:val="24"/>
        </w:rPr>
        <w:t>Profit</w:t>
      </w:r>
      <w:r>
        <w:rPr>
          <w:szCs w:val="24"/>
        </w:rPr>
        <w:t>: The primary goal of a for-profit small business organization is to generate the maximum amount of revenue and maximum profitability level. In this context, small entrepreneurs typically prioritize financial growth and shareholders’ values. They tend to believe that a strong financial foundation is very important for attaining long-term growth and sustainability of the business organization (</w:t>
      </w:r>
      <w:r>
        <w:rPr>
          <w:szCs w:val="24"/>
          <w:shd w:val="clear" w:color="auto" w:fill="FFFFFF"/>
        </w:rPr>
        <w:t>Cater et al., 2017</w:t>
      </w:r>
      <w:r>
        <w:rPr>
          <w:szCs w:val="24"/>
        </w:rPr>
        <w:t>). Their entrepreneurial values tend to revolve around competitiveness, efficient allocation of resources and innovation to stay profitable in the competitive market (</w:t>
      </w:r>
      <w:r>
        <w:rPr>
          <w:szCs w:val="24"/>
          <w:shd w:val="clear" w:color="auto" w:fill="FFFFFF"/>
        </w:rPr>
        <w:t>Wilson and Post, 2013</w:t>
      </w:r>
      <w:r>
        <w:rPr>
          <w:szCs w:val="24"/>
        </w:rPr>
        <w:t xml:space="preserve">). </w:t>
      </w:r>
    </w:p>
    <w:p w14:paraId="2D04C621" w14:textId="77777777" w:rsidR="00C75978" w:rsidRDefault="00C75978" w:rsidP="00C75978">
      <w:pPr>
        <w:spacing w:before="240" w:after="240"/>
        <w:jc w:val="both"/>
        <w:rPr>
          <w:szCs w:val="24"/>
        </w:rPr>
      </w:pPr>
      <w:r>
        <w:rPr>
          <w:b/>
          <w:i/>
          <w:szCs w:val="24"/>
        </w:rPr>
        <w:t>People</w:t>
      </w:r>
      <w:r>
        <w:rPr>
          <w:szCs w:val="24"/>
        </w:rPr>
        <w:t>: For-profit organizations also care about people and their complete focus can be ensured on employee productivity, customer satisfaction and generating shareholders’ value. In this context, entrepreneurial values might include employee motivation through performance incentives, customer-centric approaches and creating innovative products and services to cater to dynamic market needs or demands (</w:t>
      </w:r>
      <w:r>
        <w:rPr>
          <w:szCs w:val="24"/>
          <w:shd w:val="clear" w:color="auto" w:fill="FFFFFF"/>
        </w:rPr>
        <w:t>Cater et al., 2017</w:t>
      </w:r>
      <w:r>
        <w:rPr>
          <w:szCs w:val="24"/>
        </w:rPr>
        <w:t xml:space="preserve">). </w:t>
      </w:r>
    </w:p>
    <w:p w14:paraId="2B319D95" w14:textId="77777777" w:rsidR="00C75978" w:rsidRDefault="00C75978" w:rsidP="00C75978">
      <w:pPr>
        <w:spacing w:before="240" w:after="240"/>
        <w:jc w:val="both"/>
        <w:rPr>
          <w:szCs w:val="24"/>
        </w:rPr>
      </w:pPr>
      <w:r>
        <w:rPr>
          <w:b/>
          <w:i/>
          <w:szCs w:val="24"/>
        </w:rPr>
        <w:t>Planet</w:t>
      </w:r>
      <w:r>
        <w:rPr>
          <w:szCs w:val="24"/>
        </w:rPr>
        <w:t>: Environmental concerns may be a secondary aspect for for-profit small organizations; depending upon the personal values of entrepreneurs and the industry. Some entrepreneurs tend to integrate sustainable and ethical practices that could be aligned with regulatory requirements and customer preferences. However, these practices may not be deeply ingrained in not-for-profit small organizations (</w:t>
      </w:r>
      <w:r>
        <w:rPr>
          <w:szCs w:val="24"/>
          <w:shd w:val="clear" w:color="auto" w:fill="FFFFFF"/>
        </w:rPr>
        <w:t>Wilson and Post, 2013</w:t>
      </w:r>
      <w:r>
        <w:rPr>
          <w:szCs w:val="24"/>
        </w:rPr>
        <w:t xml:space="preserve">). </w:t>
      </w:r>
    </w:p>
    <w:p w14:paraId="29771C72" w14:textId="77777777" w:rsidR="00C75978" w:rsidRDefault="00C75978" w:rsidP="00C75978">
      <w:pPr>
        <w:spacing w:before="240" w:after="240"/>
        <w:jc w:val="both"/>
        <w:rPr>
          <w:b/>
          <w:i/>
          <w:szCs w:val="24"/>
          <w:u w:val="single"/>
        </w:rPr>
      </w:pPr>
      <w:r>
        <w:rPr>
          <w:b/>
          <w:i/>
          <w:szCs w:val="24"/>
          <w:u w:val="single"/>
        </w:rPr>
        <w:lastRenderedPageBreak/>
        <w:t xml:space="preserve">Not-for-profit small organization </w:t>
      </w:r>
    </w:p>
    <w:p w14:paraId="598B078C" w14:textId="77777777" w:rsidR="00C75978" w:rsidRDefault="00C75978" w:rsidP="00C75978">
      <w:pPr>
        <w:spacing w:before="240" w:after="240"/>
        <w:jc w:val="both"/>
        <w:rPr>
          <w:szCs w:val="24"/>
        </w:rPr>
      </w:pPr>
      <w:r>
        <w:rPr>
          <w:b/>
          <w:i/>
          <w:szCs w:val="24"/>
        </w:rPr>
        <w:t>Profit</w:t>
      </w:r>
      <w:r>
        <w:rPr>
          <w:szCs w:val="24"/>
        </w:rPr>
        <w:t>: Not-for-profit small organizations do not prioritize profit maximization as their main objective is to fulfil a social as well as environmental mission. Behind these organizations, entrepreneurs have a strong sense of purpose and are driven by ensuring a positive impact. Their entrepreneurial values include equity, social responsibility and community well-being (</w:t>
      </w:r>
      <w:r>
        <w:rPr>
          <w:szCs w:val="24"/>
          <w:shd w:val="clear" w:color="auto" w:fill="FFFFFF"/>
        </w:rPr>
        <w:t>Cordery et al., 2019</w:t>
      </w:r>
      <w:r>
        <w:rPr>
          <w:szCs w:val="24"/>
        </w:rPr>
        <w:t xml:space="preserve">). </w:t>
      </w:r>
    </w:p>
    <w:p w14:paraId="45AD604C" w14:textId="77777777" w:rsidR="00C75978" w:rsidRDefault="00C75978" w:rsidP="00C75978">
      <w:pPr>
        <w:spacing w:before="240" w:after="240"/>
        <w:jc w:val="both"/>
        <w:rPr>
          <w:szCs w:val="24"/>
        </w:rPr>
      </w:pPr>
      <w:r>
        <w:rPr>
          <w:b/>
          <w:i/>
          <w:szCs w:val="24"/>
        </w:rPr>
        <w:t>People</w:t>
      </w:r>
      <w:r>
        <w:rPr>
          <w:szCs w:val="24"/>
        </w:rPr>
        <w:t>: People are considered at the core of not-for-profit organizations where entrepreneurs focus on fostering a sense of community, building strong relationships and addressing diverse social needs. In this context, the entrepreneurial values include inclusivity, empathy and greater commitment to uplift underserved populations (</w:t>
      </w:r>
      <w:r>
        <w:rPr>
          <w:szCs w:val="24"/>
          <w:shd w:val="clear" w:color="auto" w:fill="FFFFFF"/>
        </w:rPr>
        <w:t>Weber et al., 2017</w:t>
      </w:r>
      <w:r>
        <w:rPr>
          <w:szCs w:val="24"/>
        </w:rPr>
        <w:t xml:space="preserve">). </w:t>
      </w:r>
    </w:p>
    <w:p w14:paraId="275426AB" w14:textId="77777777" w:rsidR="00C75978" w:rsidRDefault="00C75978" w:rsidP="00C75978">
      <w:pPr>
        <w:spacing w:before="240" w:after="240"/>
        <w:jc w:val="both"/>
        <w:rPr>
          <w:szCs w:val="24"/>
        </w:rPr>
      </w:pPr>
      <w:r>
        <w:rPr>
          <w:b/>
          <w:i/>
          <w:szCs w:val="24"/>
        </w:rPr>
        <w:t>Planet</w:t>
      </w:r>
      <w:r>
        <w:rPr>
          <w:szCs w:val="24"/>
        </w:rPr>
        <w:t>: For not-for-profit small organizations, environmental sustainability is considered the central concern. Entrepreneurs, in this context, view the ecological well-being as interconnected with the social welfare. Entrepreneur’s values might include sustainable practices, eco-consciousness and advocacy for environmental causes (</w:t>
      </w:r>
      <w:r>
        <w:rPr>
          <w:szCs w:val="24"/>
          <w:shd w:val="clear" w:color="auto" w:fill="FFFFFF"/>
        </w:rPr>
        <w:t>Weber et al., 2017</w:t>
      </w:r>
      <w:r>
        <w:rPr>
          <w:szCs w:val="24"/>
        </w:rPr>
        <w:t xml:space="preserve">). </w:t>
      </w:r>
    </w:p>
    <w:p w14:paraId="625C268A" w14:textId="77777777" w:rsidR="00C75978" w:rsidRDefault="00C75978" w:rsidP="00C75978">
      <w:pPr>
        <w:pStyle w:val="Heading2"/>
        <w:spacing w:before="240" w:after="240"/>
        <w:jc w:val="both"/>
        <w:rPr>
          <w:rFonts w:cs="Times New Roman"/>
          <w:color w:val="auto"/>
          <w:szCs w:val="24"/>
        </w:rPr>
      </w:pPr>
      <w:bookmarkStart w:id="6" w:name="_Toc143720365"/>
      <w:r>
        <w:rPr>
          <w:rFonts w:cs="Times New Roman"/>
          <w:color w:val="auto"/>
          <w:szCs w:val="24"/>
        </w:rPr>
        <w:t>Techniques for generating ideas</w:t>
      </w:r>
      <w:bookmarkEnd w:id="6"/>
      <w:r>
        <w:rPr>
          <w:rFonts w:cs="Times New Roman"/>
          <w:color w:val="auto"/>
          <w:szCs w:val="24"/>
        </w:rPr>
        <w:t xml:space="preserve"> </w:t>
      </w:r>
    </w:p>
    <w:p w14:paraId="043F73B9" w14:textId="77777777" w:rsidR="00C75978" w:rsidRDefault="00C75978" w:rsidP="00C75978">
      <w:pPr>
        <w:spacing w:before="240" w:after="240"/>
        <w:jc w:val="both"/>
        <w:rPr>
          <w:szCs w:val="24"/>
        </w:rPr>
      </w:pPr>
      <w:r>
        <w:rPr>
          <w:szCs w:val="24"/>
        </w:rPr>
        <w:t>The entrepreneurs can adopt the following techniques for generating innovative ideas:</w:t>
      </w:r>
    </w:p>
    <w:p w14:paraId="11472FCA" w14:textId="77777777" w:rsidR="00C75978" w:rsidRDefault="00C75978" w:rsidP="00C75978">
      <w:pPr>
        <w:spacing w:before="240" w:after="240"/>
        <w:jc w:val="both"/>
        <w:rPr>
          <w:szCs w:val="24"/>
        </w:rPr>
      </w:pPr>
      <w:r>
        <w:rPr>
          <w:b/>
          <w:i/>
          <w:szCs w:val="24"/>
        </w:rPr>
        <w:t>Brainstorming</w:t>
      </w:r>
      <w:r>
        <w:rPr>
          <w:szCs w:val="24"/>
        </w:rPr>
        <w:t>: It is a widely used technique by entrepreneurs that involves the development of a large number of innovative ideas in a free manner. The entrepreneurs can adopt a brainstorming technique of mind mapping by which they can create a visual representation of ideas developed from a central concept. This technique could help entrepreneurs explore connections and strengthen relationships among different ideas (</w:t>
      </w:r>
      <w:r>
        <w:rPr>
          <w:szCs w:val="24"/>
          <w:shd w:val="clear" w:color="auto" w:fill="FFFFFF"/>
        </w:rPr>
        <w:t>Weinberger et al., 2018</w:t>
      </w:r>
      <w:r>
        <w:rPr>
          <w:szCs w:val="24"/>
        </w:rPr>
        <w:t xml:space="preserve">). </w:t>
      </w:r>
    </w:p>
    <w:p w14:paraId="730118F8" w14:textId="77777777" w:rsidR="00C75978" w:rsidRDefault="00C75978" w:rsidP="00C75978">
      <w:pPr>
        <w:spacing w:before="240" w:after="240"/>
        <w:jc w:val="both"/>
        <w:rPr>
          <w:szCs w:val="24"/>
        </w:rPr>
      </w:pPr>
      <w:r>
        <w:rPr>
          <w:b/>
          <w:i/>
          <w:szCs w:val="24"/>
        </w:rPr>
        <w:t>Focus groups</w:t>
      </w:r>
      <w:r>
        <w:rPr>
          <w:szCs w:val="24"/>
        </w:rPr>
        <w:t>: This technique involves bringing a small and diverse group of people together to discuss a specific topic or idea. This technique is particularly used for understanding dynamic customer preferences, their needs and pain points (</w:t>
      </w:r>
      <w:r>
        <w:rPr>
          <w:szCs w:val="24"/>
          <w:shd w:val="clear" w:color="auto" w:fill="FFFFFF"/>
        </w:rPr>
        <w:t>Garbuio et al., 2018</w:t>
      </w:r>
      <w:r>
        <w:rPr>
          <w:szCs w:val="24"/>
        </w:rPr>
        <w:t xml:space="preserve">). </w:t>
      </w:r>
    </w:p>
    <w:p w14:paraId="0C27D1F7" w14:textId="77777777" w:rsidR="00C75978" w:rsidRDefault="00C75978" w:rsidP="00C75978">
      <w:pPr>
        <w:spacing w:before="240" w:after="240"/>
        <w:jc w:val="both"/>
        <w:rPr>
          <w:szCs w:val="24"/>
        </w:rPr>
      </w:pPr>
      <w:r>
        <w:rPr>
          <w:b/>
          <w:i/>
          <w:szCs w:val="24"/>
        </w:rPr>
        <w:t>Library and research</w:t>
      </w:r>
      <w:r>
        <w:rPr>
          <w:szCs w:val="24"/>
        </w:rPr>
        <w:t xml:space="preserve">: This technique is important for every entrepreneur so that in-depth understanding can be achieved about market trends, dynamics, </w:t>
      </w:r>
      <w:proofErr w:type="gramStart"/>
      <w:r>
        <w:rPr>
          <w:szCs w:val="24"/>
        </w:rPr>
        <w:t>gaps</w:t>
      </w:r>
      <w:proofErr w:type="gramEnd"/>
      <w:r>
        <w:rPr>
          <w:szCs w:val="24"/>
        </w:rPr>
        <w:t xml:space="preserve"> and discovery of potential innovative ideas (</w:t>
      </w:r>
      <w:r>
        <w:rPr>
          <w:szCs w:val="24"/>
          <w:shd w:val="clear" w:color="auto" w:fill="FFFFFF"/>
        </w:rPr>
        <w:t>Weinberger et al., 2018</w:t>
      </w:r>
      <w:r>
        <w:rPr>
          <w:szCs w:val="24"/>
        </w:rPr>
        <w:t xml:space="preserve">). Through this technique, the entrepreneur could conduct an in-depth market analysis by studying existing products and services and focusing on areas to be improved. The entrepreneurs can further explore emerging trends, conduct </w:t>
      </w:r>
      <w:r>
        <w:rPr>
          <w:szCs w:val="24"/>
        </w:rPr>
        <w:lastRenderedPageBreak/>
        <w:t>competitors’ analysis and make improvements based on consumers’ feedback (</w:t>
      </w:r>
      <w:r>
        <w:rPr>
          <w:szCs w:val="24"/>
          <w:shd w:val="clear" w:color="auto" w:fill="FFFFFF"/>
        </w:rPr>
        <w:t>Garbuio et al., 2018</w:t>
      </w:r>
      <w:r>
        <w:rPr>
          <w:szCs w:val="24"/>
        </w:rPr>
        <w:t>).</w:t>
      </w:r>
    </w:p>
    <w:p w14:paraId="6EAEAB8C" w14:textId="77777777" w:rsidR="00C75978" w:rsidRDefault="00C75978" w:rsidP="00C75978">
      <w:pPr>
        <w:pStyle w:val="Heading1"/>
        <w:spacing w:after="240"/>
        <w:jc w:val="both"/>
        <w:rPr>
          <w:rFonts w:cs="Times New Roman"/>
          <w:color w:val="auto"/>
          <w:sz w:val="24"/>
          <w:szCs w:val="24"/>
        </w:rPr>
      </w:pPr>
      <w:bookmarkStart w:id="7" w:name="_Toc143720366"/>
      <w:r>
        <w:rPr>
          <w:rFonts w:cs="Times New Roman"/>
          <w:color w:val="auto"/>
          <w:sz w:val="24"/>
          <w:szCs w:val="24"/>
        </w:rPr>
        <w:t>Conclusion</w:t>
      </w:r>
      <w:bookmarkEnd w:id="7"/>
      <w:r>
        <w:rPr>
          <w:rFonts w:cs="Times New Roman"/>
          <w:color w:val="auto"/>
          <w:sz w:val="24"/>
          <w:szCs w:val="24"/>
        </w:rPr>
        <w:t xml:space="preserve"> </w:t>
      </w:r>
    </w:p>
    <w:p w14:paraId="3DF80A41" w14:textId="77777777" w:rsidR="00C75978" w:rsidRDefault="00C75978" w:rsidP="00C75978">
      <w:pPr>
        <w:spacing w:before="240" w:after="240"/>
        <w:jc w:val="both"/>
        <w:rPr>
          <w:szCs w:val="24"/>
        </w:rPr>
      </w:pPr>
      <w:r>
        <w:rPr>
          <w:szCs w:val="24"/>
        </w:rPr>
        <w:t xml:space="preserve">It can be concluded that an entrepreneur and intrapreneur possess different traits, characteristics, attributes and motivations that have been discussed in this report. Various concepts, knowledge and theoretical sources have been applied from the module such as The Global Entrepreneurship Monitor model and Triple Bottom Line for evaluating entrepreneurial traits, values and beliefs. The concept of entrepreneurship was further discussed from the perspective of support providers or policymakers and the analysis was supported with reliable examples of business organizations. The report also provided a differentiation between for-profit and not-for-profit small organizations to draw upon the values and beliefs of business entrepreneurs. Despite these findings, the report further provided a detailed discussion of suitable techniques that could be applied by the entrepreneurs to become successful and achieve long-term growth that involved brainstorming, focus groups and market research. </w:t>
      </w:r>
    </w:p>
    <w:p w14:paraId="6FAE24C5" w14:textId="77777777" w:rsidR="00C75978" w:rsidRDefault="00C75978" w:rsidP="00C75978">
      <w:pPr>
        <w:spacing w:before="240" w:after="240"/>
        <w:jc w:val="both"/>
        <w:rPr>
          <w:szCs w:val="24"/>
        </w:rPr>
      </w:pPr>
      <w:r>
        <w:rPr>
          <w:szCs w:val="24"/>
        </w:rPr>
        <w:br w:type="page"/>
      </w:r>
    </w:p>
    <w:p w14:paraId="06C58C83" w14:textId="77777777" w:rsidR="00C75978" w:rsidRDefault="00C75978" w:rsidP="00C75978">
      <w:pPr>
        <w:pStyle w:val="Heading1"/>
        <w:spacing w:after="240"/>
        <w:jc w:val="both"/>
        <w:rPr>
          <w:rFonts w:cs="Times New Roman"/>
          <w:color w:val="auto"/>
          <w:sz w:val="24"/>
          <w:szCs w:val="24"/>
        </w:rPr>
      </w:pPr>
      <w:bookmarkStart w:id="8" w:name="_Toc143720367"/>
      <w:r>
        <w:rPr>
          <w:rFonts w:cs="Times New Roman"/>
          <w:color w:val="auto"/>
          <w:sz w:val="24"/>
          <w:szCs w:val="24"/>
        </w:rPr>
        <w:lastRenderedPageBreak/>
        <w:t>References</w:t>
      </w:r>
      <w:bookmarkEnd w:id="8"/>
    </w:p>
    <w:p w14:paraId="63AC2347" w14:textId="77777777" w:rsidR="00C75978" w:rsidRDefault="00C75978" w:rsidP="00C75978">
      <w:pPr>
        <w:spacing w:before="240" w:after="240"/>
        <w:jc w:val="both"/>
        <w:rPr>
          <w:szCs w:val="24"/>
          <w:shd w:val="clear" w:color="auto" w:fill="FFFFFF"/>
        </w:rPr>
      </w:pPr>
      <w:r>
        <w:rPr>
          <w:szCs w:val="24"/>
          <w:shd w:val="clear" w:color="auto" w:fill="FFFFFF"/>
        </w:rPr>
        <w:t xml:space="preserve">3M. (2023) </w:t>
      </w:r>
      <w:r>
        <w:rPr>
          <w:i/>
          <w:szCs w:val="24"/>
          <w:shd w:val="clear" w:color="auto" w:fill="FFFFFF"/>
        </w:rPr>
        <w:t>3M’s 15% Culture</w:t>
      </w:r>
      <w:r>
        <w:rPr>
          <w:szCs w:val="24"/>
          <w:shd w:val="clear" w:color="auto" w:fill="FFFFFF"/>
        </w:rPr>
        <w:t xml:space="preserve">. Available at: https://www.3m.co.uk/3M/en_GB/careers/culture/15-percent-culture/. </w:t>
      </w:r>
      <w:r>
        <w:t>(Accessed: 19 August 2023).</w:t>
      </w:r>
    </w:p>
    <w:p w14:paraId="5DD242A4" w14:textId="77777777" w:rsidR="00C75978" w:rsidRDefault="00C75978" w:rsidP="00C75978">
      <w:pPr>
        <w:spacing w:before="240" w:after="240"/>
        <w:jc w:val="both"/>
        <w:rPr>
          <w:szCs w:val="24"/>
          <w:shd w:val="clear" w:color="auto" w:fill="FFFFFF"/>
        </w:rPr>
      </w:pPr>
      <w:r>
        <w:rPr>
          <w:szCs w:val="24"/>
          <w:shd w:val="clear" w:color="auto" w:fill="FFFFFF"/>
        </w:rPr>
        <w:t xml:space="preserve">Alhaddi, H. (2015) ‘Triple bottom line and sustainability: A literature review’, </w:t>
      </w:r>
      <w:r>
        <w:rPr>
          <w:i/>
          <w:iCs/>
          <w:szCs w:val="24"/>
          <w:shd w:val="clear" w:color="auto" w:fill="FFFFFF"/>
        </w:rPr>
        <w:t>Business and Management Studies</w:t>
      </w:r>
      <w:r>
        <w:rPr>
          <w:szCs w:val="24"/>
          <w:shd w:val="clear" w:color="auto" w:fill="FFFFFF"/>
        </w:rPr>
        <w:t>, </w:t>
      </w:r>
      <w:r>
        <w:rPr>
          <w:iCs/>
          <w:szCs w:val="24"/>
          <w:shd w:val="clear" w:color="auto" w:fill="FFFFFF"/>
        </w:rPr>
        <w:t>1</w:t>
      </w:r>
      <w:r>
        <w:rPr>
          <w:szCs w:val="24"/>
          <w:shd w:val="clear" w:color="auto" w:fill="FFFFFF"/>
        </w:rPr>
        <w:t>(2), pp. 6-10.</w:t>
      </w:r>
    </w:p>
    <w:p w14:paraId="66538456" w14:textId="77777777" w:rsidR="00C75978" w:rsidRDefault="00C75978" w:rsidP="00C75978">
      <w:pPr>
        <w:spacing w:before="240" w:after="240"/>
        <w:jc w:val="both"/>
        <w:rPr>
          <w:szCs w:val="24"/>
          <w:shd w:val="clear" w:color="auto" w:fill="FFFFFF"/>
        </w:rPr>
      </w:pPr>
      <w:r>
        <w:rPr>
          <w:szCs w:val="24"/>
          <w:shd w:val="clear" w:color="auto" w:fill="FFFFFF"/>
        </w:rPr>
        <w:t>Anifowose, P.O. and Ohu, E.A. (2020) ‘Social Intrapreneurs: Rebels for Good’, </w:t>
      </w:r>
      <w:r>
        <w:rPr>
          <w:i/>
          <w:iCs/>
          <w:szCs w:val="24"/>
          <w:shd w:val="clear" w:color="auto" w:fill="FFFFFF"/>
        </w:rPr>
        <w:t>Social Entrepreneurship and Corporate Social Responsibility</w:t>
      </w:r>
      <w:r>
        <w:rPr>
          <w:szCs w:val="24"/>
          <w:shd w:val="clear" w:color="auto" w:fill="FFFFFF"/>
        </w:rPr>
        <w:t>, 23(8), pp. 99-115.</w:t>
      </w:r>
    </w:p>
    <w:p w14:paraId="2D08D3A0" w14:textId="77777777" w:rsidR="00C75978" w:rsidRDefault="00C75978" w:rsidP="00C75978">
      <w:pPr>
        <w:spacing w:before="240" w:after="240"/>
        <w:jc w:val="both"/>
        <w:rPr>
          <w:szCs w:val="24"/>
          <w:shd w:val="clear" w:color="auto" w:fill="FFFFFF"/>
        </w:rPr>
      </w:pPr>
      <w:r>
        <w:rPr>
          <w:szCs w:val="24"/>
        </w:rPr>
        <w:t xml:space="preserve">Apple. (2023) </w:t>
      </w:r>
      <w:r>
        <w:rPr>
          <w:i/>
          <w:szCs w:val="24"/>
        </w:rPr>
        <w:t>Design</w:t>
      </w:r>
      <w:r>
        <w:rPr>
          <w:szCs w:val="24"/>
        </w:rPr>
        <w:t>.</w:t>
      </w:r>
      <w:r>
        <w:rPr>
          <w:szCs w:val="24"/>
          <w:shd w:val="clear" w:color="auto" w:fill="FFFFFF"/>
        </w:rPr>
        <w:t xml:space="preserve"> Available at: https://www.apple.com/careers/ng/teams/design.html. </w:t>
      </w:r>
      <w:r>
        <w:t>(Accessed: 9 August 2023).</w:t>
      </w:r>
    </w:p>
    <w:p w14:paraId="46AB68AE" w14:textId="77777777" w:rsidR="00C75978" w:rsidRDefault="00C75978" w:rsidP="00C75978">
      <w:pPr>
        <w:spacing w:before="240" w:after="240"/>
        <w:jc w:val="both"/>
        <w:rPr>
          <w:szCs w:val="24"/>
          <w:shd w:val="clear" w:color="auto" w:fill="FFFFFF"/>
        </w:rPr>
      </w:pPr>
      <w:r>
        <w:rPr>
          <w:szCs w:val="24"/>
          <w:shd w:val="clear" w:color="auto" w:fill="FFFFFF"/>
        </w:rPr>
        <w:t>Autio, E., Pathak, S. and Wennberg, K. (2013) ‘Consequences of cultural practices for entrepreneurial behaviors’, </w:t>
      </w:r>
      <w:r>
        <w:rPr>
          <w:i/>
          <w:iCs/>
          <w:szCs w:val="24"/>
          <w:shd w:val="clear" w:color="auto" w:fill="FFFFFF"/>
        </w:rPr>
        <w:t>Journal of International Business Studies</w:t>
      </w:r>
      <w:r>
        <w:rPr>
          <w:szCs w:val="24"/>
          <w:shd w:val="clear" w:color="auto" w:fill="FFFFFF"/>
        </w:rPr>
        <w:t>, </w:t>
      </w:r>
      <w:r>
        <w:rPr>
          <w:iCs/>
          <w:szCs w:val="24"/>
          <w:shd w:val="clear" w:color="auto" w:fill="FFFFFF"/>
        </w:rPr>
        <w:t>44</w:t>
      </w:r>
      <w:r>
        <w:rPr>
          <w:szCs w:val="24"/>
          <w:shd w:val="clear" w:color="auto" w:fill="FFFFFF"/>
        </w:rPr>
        <w:t>(6), pp. 334-362.</w:t>
      </w:r>
    </w:p>
    <w:p w14:paraId="38DBC6F5" w14:textId="77777777" w:rsidR="00C75978" w:rsidRDefault="00C75978" w:rsidP="00C75978">
      <w:pPr>
        <w:spacing w:before="240" w:after="240"/>
        <w:jc w:val="both"/>
        <w:rPr>
          <w:szCs w:val="24"/>
          <w:shd w:val="clear" w:color="auto" w:fill="FFFFFF"/>
        </w:rPr>
      </w:pPr>
      <w:r>
        <w:rPr>
          <w:szCs w:val="24"/>
          <w:shd w:val="clear" w:color="auto" w:fill="FFFFFF"/>
        </w:rPr>
        <w:t>Barringer, B.R., (2015) </w:t>
      </w:r>
      <w:r>
        <w:rPr>
          <w:i/>
          <w:iCs/>
          <w:szCs w:val="24"/>
          <w:shd w:val="clear" w:color="auto" w:fill="FFFFFF"/>
        </w:rPr>
        <w:t>Entrepreneurship: Successfully launching new ventures</w:t>
      </w:r>
      <w:r>
        <w:rPr>
          <w:szCs w:val="24"/>
          <w:shd w:val="clear" w:color="auto" w:fill="FFFFFF"/>
        </w:rPr>
        <w:t>. Pearson Education India.</w:t>
      </w:r>
    </w:p>
    <w:p w14:paraId="626C867C" w14:textId="77777777" w:rsidR="00C75978" w:rsidRDefault="00C75978" w:rsidP="00C75978">
      <w:pPr>
        <w:spacing w:before="240" w:after="240"/>
        <w:jc w:val="both"/>
        <w:rPr>
          <w:szCs w:val="24"/>
          <w:shd w:val="clear" w:color="auto" w:fill="FFFFFF"/>
        </w:rPr>
      </w:pPr>
      <w:r>
        <w:rPr>
          <w:szCs w:val="24"/>
          <w:shd w:val="clear" w:color="auto" w:fill="FFFFFF"/>
        </w:rPr>
        <w:t>Begeç, S. and Arun, K. (2021) ‘The bottleneck of intrapreneurship: Are social positions and held expectations constraints in organizations’ entrepreneur process? A conceptual view’,  </w:t>
      </w:r>
      <w:r>
        <w:rPr>
          <w:i/>
          <w:iCs/>
          <w:szCs w:val="24"/>
          <w:shd w:val="clear" w:color="auto" w:fill="FFFFFF"/>
        </w:rPr>
        <w:t>Journal of Entrepreneurship in Emerging Economies</w:t>
      </w:r>
      <w:r>
        <w:rPr>
          <w:szCs w:val="24"/>
          <w:shd w:val="clear" w:color="auto" w:fill="FFFFFF"/>
        </w:rPr>
        <w:t>, </w:t>
      </w:r>
      <w:r>
        <w:rPr>
          <w:iCs/>
          <w:szCs w:val="24"/>
          <w:shd w:val="clear" w:color="auto" w:fill="FFFFFF"/>
        </w:rPr>
        <w:t>13</w:t>
      </w:r>
      <w:r>
        <w:rPr>
          <w:szCs w:val="24"/>
          <w:shd w:val="clear" w:color="auto" w:fill="FFFFFF"/>
        </w:rPr>
        <w:t>(1), pp. 131-151.</w:t>
      </w:r>
    </w:p>
    <w:p w14:paraId="787028F2" w14:textId="77777777" w:rsidR="00C75978" w:rsidRDefault="00C75978" w:rsidP="00C75978">
      <w:pPr>
        <w:spacing w:before="240" w:after="240"/>
        <w:jc w:val="both"/>
        <w:rPr>
          <w:szCs w:val="24"/>
          <w:shd w:val="clear" w:color="auto" w:fill="FFFFFF"/>
        </w:rPr>
      </w:pPr>
      <w:r>
        <w:rPr>
          <w:szCs w:val="24"/>
          <w:shd w:val="clear" w:color="auto" w:fill="FFFFFF"/>
        </w:rPr>
        <w:t>Bosma, N. (2013) ‘The Global Entrepreneurship Monitor (GEM) and its impact on entrepreneurship research’, </w:t>
      </w:r>
      <w:r>
        <w:rPr>
          <w:i/>
          <w:iCs/>
          <w:szCs w:val="24"/>
          <w:shd w:val="clear" w:color="auto" w:fill="FFFFFF"/>
        </w:rPr>
        <w:t>Foundations and Trends® in Entrepreneurship</w:t>
      </w:r>
      <w:r>
        <w:rPr>
          <w:szCs w:val="24"/>
          <w:shd w:val="clear" w:color="auto" w:fill="FFFFFF"/>
        </w:rPr>
        <w:t>, </w:t>
      </w:r>
      <w:r>
        <w:rPr>
          <w:iCs/>
          <w:szCs w:val="24"/>
          <w:shd w:val="clear" w:color="auto" w:fill="FFFFFF"/>
        </w:rPr>
        <w:t>9</w:t>
      </w:r>
      <w:r>
        <w:rPr>
          <w:szCs w:val="24"/>
          <w:shd w:val="clear" w:color="auto" w:fill="FFFFFF"/>
        </w:rPr>
        <w:t>(2), pp. 143-248.</w:t>
      </w:r>
    </w:p>
    <w:p w14:paraId="01DFCD52" w14:textId="77777777" w:rsidR="00C75978" w:rsidRDefault="00C75978" w:rsidP="00C75978">
      <w:pPr>
        <w:spacing w:before="240" w:after="240"/>
        <w:jc w:val="both"/>
        <w:rPr>
          <w:szCs w:val="24"/>
          <w:shd w:val="clear" w:color="auto" w:fill="FFFFFF"/>
        </w:rPr>
      </w:pPr>
      <w:r>
        <w:rPr>
          <w:szCs w:val="24"/>
          <w:shd w:val="clear" w:color="auto" w:fill="FFFFFF"/>
        </w:rPr>
        <w:t>Carsrud, A., Brännback, M., Elfving, J. and Brandt, K. (2017) ‘Motivations: The entrepreneurial mind and behaviour’, </w:t>
      </w:r>
      <w:r>
        <w:rPr>
          <w:i/>
          <w:iCs/>
          <w:szCs w:val="24"/>
          <w:shd w:val="clear" w:color="auto" w:fill="FFFFFF"/>
        </w:rPr>
        <w:t>Revisiting the Entrepreneurial Mind: Inside the Black Box: An Expanded Edition</w:t>
      </w:r>
      <w:r>
        <w:rPr>
          <w:szCs w:val="24"/>
          <w:shd w:val="clear" w:color="auto" w:fill="FFFFFF"/>
        </w:rPr>
        <w:t>, 56(7), pp. 185-209.</w:t>
      </w:r>
    </w:p>
    <w:p w14:paraId="01D46A95" w14:textId="77777777" w:rsidR="00C75978" w:rsidRDefault="00C75978" w:rsidP="00C75978">
      <w:pPr>
        <w:spacing w:before="240" w:after="240"/>
        <w:jc w:val="both"/>
        <w:rPr>
          <w:szCs w:val="24"/>
          <w:shd w:val="clear" w:color="auto" w:fill="FFFFFF"/>
        </w:rPr>
      </w:pPr>
      <w:r>
        <w:rPr>
          <w:szCs w:val="24"/>
          <w:shd w:val="clear" w:color="auto" w:fill="FFFFFF"/>
        </w:rPr>
        <w:t xml:space="preserve">Cater, J.J., Collins, </w:t>
      </w:r>
      <w:proofErr w:type="gramStart"/>
      <w:r>
        <w:rPr>
          <w:szCs w:val="24"/>
          <w:shd w:val="clear" w:color="auto" w:fill="FFFFFF"/>
        </w:rPr>
        <w:t>L.A.</w:t>
      </w:r>
      <w:proofErr w:type="gramEnd"/>
      <w:r>
        <w:rPr>
          <w:szCs w:val="24"/>
          <w:shd w:val="clear" w:color="auto" w:fill="FFFFFF"/>
        </w:rPr>
        <w:t xml:space="preserve"> and Beal, B.D. (2017) ‘Ethics, faith, and profit: Exploring the motives of the US fair trade social entrepreneurs’, </w:t>
      </w:r>
      <w:r>
        <w:rPr>
          <w:i/>
          <w:iCs/>
          <w:szCs w:val="24"/>
          <w:shd w:val="clear" w:color="auto" w:fill="FFFFFF"/>
        </w:rPr>
        <w:t>Journal of Business Ethics</w:t>
      </w:r>
      <w:r>
        <w:rPr>
          <w:szCs w:val="24"/>
          <w:shd w:val="clear" w:color="auto" w:fill="FFFFFF"/>
        </w:rPr>
        <w:t>, </w:t>
      </w:r>
      <w:r>
        <w:rPr>
          <w:iCs/>
          <w:szCs w:val="24"/>
          <w:shd w:val="clear" w:color="auto" w:fill="FFFFFF"/>
        </w:rPr>
        <w:t>146</w:t>
      </w:r>
      <w:r>
        <w:rPr>
          <w:szCs w:val="24"/>
          <w:shd w:val="clear" w:color="auto" w:fill="FFFFFF"/>
        </w:rPr>
        <w:t>(7), pp. 185-201.</w:t>
      </w:r>
    </w:p>
    <w:p w14:paraId="4D09748D" w14:textId="77777777" w:rsidR="00C75978" w:rsidRDefault="00C75978" w:rsidP="00C75978">
      <w:pPr>
        <w:spacing w:before="240" w:after="240"/>
        <w:jc w:val="both"/>
        <w:rPr>
          <w:szCs w:val="24"/>
          <w:shd w:val="clear" w:color="auto" w:fill="FFFFFF"/>
        </w:rPr>
      </w:pPr>
      <w:r>
        <w:rPr>
          <w:szCs w:val="24"/>
          <w:shd w:val="clear" w:color="auto" w:fill="FFFFFF"/>
        </w:rPr>
        <w:t>Cordery, C.J., Crawford, L., Breen, O.B. and Morgan, G.G. (2019) ‘International practices, beliefs and values in not-for-profit financial reporting’, In </w:t>
      </w:r>
      <w:r>
        <w:rPr>
          <w:i/>
          <w:iCs/>
          <w:szCs w:val="24"/>
          <w:shd w:val="clear" w:color="auto" w:fill="FFFFFF"/>
        </w:rPr>
        <w:t>Accounting Forum</w:t>
      </w:r>
      <w:r>
        <w:rPr>
          <w:szCs w:val="24"/>
          <w:shd w:val="clear" w:color="auto" w:fill="FFFFFF"/>
        </w:rPr>
        <w:t xml:space="preserve">, 43(1), pp. 16-41. </w:t>
      </w:r>
    </w:p>
    <w:p w14:paraId="7EC92C51" w14:textId="77777777" w:rsidR="00C75978" w:rsidRDefault="00C75978" w:rsidP="00C75978">
      <w:pPr>
        <w:spacing w:before="240" w:after="240"/>
        <w:jc w:val="both"/>
        <w:rPr>
          <w:szCs w:val="24"/>
          <w:shd w:val="clear" w:color="auto" w:fill="FFFFFF"/>
        </w:rPr>
      </w:pPr>
      <w:r>
        <w:rPr>
          <w:szCs w:val="24"/>
          <w:shd w:val="clear" w:color="auto" w:fill="FFFFFF"/>
        </w:rPr>
        <w:lastRenderedPageBreak/>
        <w:t>Dorio, M. (2022) ‘How Amazon went from an uncertain online bookstore to the leader in e-commerce’, </w:t>
      </w:r>
      <w:r>
        <w:rPr>
          <w:i/>
          <w:iCs/>
          <w:szCs w:val="24"/>
          <w:shd w:val="clear" w:color="auto" w:fill="FFFFFF"/>
        </w:rPr>
        <w:t>International Review</w:t>
      </w:r>
      <w:r>
        <w:rPr>
          <w:szCs w:val="24"/>
          <w:shd w:val="clear" w:color="auto" w:fill="FFFFFF"/>
        </w:rPr>
        <w:t>, 67(3-4), pp. 157-159.</w:t>
      </w:r>
    </w:p>
    <w:p w14:paraId="06B61597" w14:textId="77777777" w:rsidR="00C75978" w:rsidRDefault="00C75978" w:rsidP="00C75978">
      <w:pPr>
        <w:spacing w:before="240" w:after="240"/>
        <w:rPr>
          <w:szCs w:val="24"/>
          <w:shd w:val="clear" w:color="auto" w:fill="FFFFFF"/>
        </w:rPr>
      </w:pPr>
      <w:r>
        <w:rPr>
          <w:szCs w:val="24"/>
          <w:shd w:val="clear" w:color="auto" w:fill="FFFFFF"/>
        </w:rPr>
        <w:t xml:space="preserve">Estay, C., Durrieu, F. and Akhter, M. (2013) ‘Entrepreneurship: From motivation to start-up’, </w:t>
      </w:r>
      <w:r>
        <w:rPr>
          <w:i/>
          <w:szCs w:val="24"/>
          <w:shd w:val="clear" w:color="auto" w:fill="FFFFFF"/>
        </w:rPr>
        <w:t>J</w:t>
      </w:r>
      <w:r>
        <w:rPr>
          <w:i/>
          <w:iCs/>
          <w:szCs w:val="24"/>
          <w:shd w:val="clear" w:color="auto" w:fill="FFFFFF"/>
        </w:rPr>
        <w:t>ournal of International Entrepreneurship</w:t>
      </w:r>
      <w:r>
        <w:rPr>
          <w:szCs w:val="24"/>
          <w:shd w:val="clear" w:color="auto" w:fill="FFFFFF"/>
        </w:rPr>
        <w:t>, </w:t>
      </w:r>
      <w:r>
        <w:rPr>
          <w:iCs/>
          <w:szCs w:val="24"/>
          <w:shd w:val="clear" w:color="auto" w:fill="FFFFFF"/>
        </w:rPr>
        <w:t>11</w:t>
      </w:r>
      <w:r>
        <w:rPr>
          <w:szCs w:val="24"/>
          <w:shd w:val="clear" w:color="auto" w:fill="FFFFFF"/>
        </w:rPr>
        <w:t>(7), pp. 243-267.</w:t>
      </w:r>
    </w:p>
    <w:p w14:paraId="12670691" w14:textId="77777777" w:rsidR="00C75978" w:rsidRDefault="00C75978" w:rsidP="00C75978">
      <w:pPr>
        <w:spacing w:before="240" w:after="240"/>
        <w:jc w:val="both"/>
        <w:rPr>
          <w:szCs w:val="24"/>
          <w:lang w:eastAsia="en-US"/>
        </w:rPr>
      </w:pPr>
      <w:r>
        <w:rPr>
          <w:szCs w:val="24"/>
          <w:shd w:val="clear" w:color="auto" w:fill="FFFFFF"/>
        </w:rPr>
        <w:t>Garbuio, M., Dong, A., Lin, N., Tschang, T. and Lovallo, D. (2018) ‘Demystifying the genius of entrepreneurship: How design cognition can help create the next generation of entrepreneurs’, </w:t>
      </w:r>
      <w:r>
        <w:rPr>
          <w:i/>
          <w:iCs/>
          <w:szCs w:val="24"/>
          <w:shd w:val="clear" w:color="auto" w:fill="FFFFFF"/>
        </w:rPr>
        <w:t>Academy of Management Learning &amp; Education</w:t>
      </w:r>
      <w:r>
        <w:rPr>
          <w:szCs w:val="24"/>
          <w:shd w:val="clear" w:color="auto" w:fill="FFFFFF"/>
        </w:rPr>
        <w:t>, </w:t>
      </w:r>
      <w:r>
        <w:rPr>
          <w:iCs/>
          <w:szCs w:val="24"/>
          <w:shd w:val="clear" w:color="auto" w:fill="FFFFFF"/>
        </w:rPr>
        <w:t>17</w:t>
      </w:r>
      <w:r>
        <w:rPr>
          <w:szCs w:val="24"/>
          <w:shd w:val="clear" w:color="auto" w:fill="FFFFFF"/>
        </w:rPr>
        <w:t>(1), pp. 41-61.</w:t>
      </w:r>
    </w:p>
    <w:p w14:paraId="1573B1CF" w14:textId="77777777" w:rsidR="00C75978" w:rsidRDefault="00C75978" w:rsidP="00C75978">
      <w:pPr>
        <w:spacing w:before="240" w:after="240"/>
        <w:jc w:val="both"/>
        <w:rPr>
          <w:szCs w:val="24"/>
        </w:rPr>
      </w:pPr>
      <w:r>
        <w:rPr>
          <w:szCs w:val="24"/>
        </w:rPr>
        <w:t xml:space="preserve">Hanna, K. (2023) Intrapreneurship. </w:t>
      </w:r>
      <w:r>
        <w:rPr>
          <w:i/>
          <w:szCs w:val="24"/>
        </w:rPr>
        <w:t>TechTarget</w:t>
      </w:r>
      <w:r>
        <w:rPr>
          <w:szCs w:val="24"/>
        </w:rPr>
        <w:t xml:space="preserve">. </w:t>
      </w:r>
      <w:r>
        <w:rPr>
          <w:szCs w:val="24"/>
          <w:shd w:val="clear" w:color="auto" w:fill="FFFFFF"/>
        </w:rPr>
        <w:t>Available at: https://www.techtarget.com/searchcio/definition/intrapreneurs-intrapreneurship#:~:text=Good%20examples%20of%20intrapreneurship,like%20Google%20News%20and%20AdSense.</w:t>
      </w:r>
      <w:r>
        <w:t xml:space="preserve"> (Accessed: 4 August 2023).</w:t>
      </w:r>
    </w:p>
    <w:p w14:paraId="12791078" w14:textId="77777777" w:rsidR="00C75978" w:rsidRDefault="00C75978" w:rsidP="00C75978">
      <w:pPr>
        <w:spacing w:before="240" w:after="240"/>
        <w:jc w:val="both"/>
        <w:rPr>
          <w:szCs w:val="24"/>
          <w:shd w:val="clear" w:color="auto" w:fill="FFFFFF"/>
        </w:rPr>
      </w:pPr>
      <w:r>
        <w:rPr>
          <w:szCs w:val="24"/>
          <w:shd w:val="clear" w:color="auto" w:fill="FFFFFF"/>
        </w:rPr>
        <w:t>Kim, S.S. and Choi, Y.S. (2019) ‘The innovative platform programme in South Korea: Economic policies in innovation-driven growth’, </w:t>
      </w:r>
      <w:r>
        <w:rPr>
          <w:i/>
          <w:iCs/>
          <w:szCs w:val="24"/>
          <w:shd w:val="clear" w:color="auto" w:fill="FFFFFF"/>
        </w:rPr>
        <w:t>Foresight and STI governance</w:t>
      </w:r>
      <w:r>
        <w:rPr>
          <w:szCs w:val="24"/>
          <w:shd w:val="clear" w:color="auto" w:fill="FFFFFF"/>
        </w:rPr>
        <w:t>, </w:t>
      </w:r>
      <w:r>
        <w:rPr>
          <w:iCs/>
          <w:szCs w:val="24"/>
          <w:shd w:val="clear" w:color="auto" w:fill="FFFFFF"/>
        </w:rPr>
        <w:t>13</w:t>
      </w:r>
      <w:r>
        <w:rPr>
          <w:szCs w:val="24"/>
          <w:shd w:val="clear" w:color="auto" w:fill="FFFFFF"/>
        </w:rPr>
        <w:t>(3), pp. 13-22.</w:t>
      </w:r>
    </w:p>
    <w:p w14:paraId="49797CE5" w14:textId="77777777" w:rsidR="00C75978" w:rsidRDefault="00C75978" w:rsidP="00C75978">
      <w:pPr>
        <w:spacing w:before="240" w:after="240"/>
        <w:jc w:val="both"/>
        <w:rPr>
          <w:szCs w:val="24"/>
          <w:shd w:val="clear" w:color="auto" w:fill="FFFFFF"/>
        </w:rPr>
      </w:pPr>
      <w:r>
        <w:rPr>
          <w:szCs w:val="24"/>
          <w:shd w:val="clear" w:color="auto" w:fill="FFFFFF"/>
        </w:rPr>
        <w:t>Lepoutre, J., Justo, R., Terjesen, S. and Bosma, N. (2013) ‘Designing a global standardized methodology for measuring social entrepreneurship activity: the Global Entrepreneurship Monitor social entrepreneurship study’, </w:t>
      </w:r>
      <w:r>
        <w:rPr>
          <w:i/>
          <w:iCs/>
          <w:szCs w:val="24"/>
          <w:shd w:val="clear" w:color="auto" w:fill="FFFFFF"/>
        </w:rPr>
        <w:t>Small business economics</w:t>
      </w:r>
      <w:r>
        <w:rPr>
          <w:szCs w:val="24"/>
          <w:shd w:val="clear" w:color="auto" w:fill="FFFFFF"/>
        </w:rPr>
        <w:t>, </w:t>
      </w:r>
      <w:r>
        <w:rPr>
          <w:iCs/>
          <w:szCs w:val="24"/>
          <w:shd w:val="clear" w:color="auto" w:fill="FFFFFF"/>
        </w:rPr>
        <w:t>40</w:t>
      </w:r>
      <w:r>
        <w:rPr>
          <w:szCs w:val="24"/>
          <w:shd w:val="clear" w:color="auto" w:fill="FFFFFF"/>
        </w:rPr>
        <w:t>(7), pp. 693-714.</w:t>
      </w:r>
    </w:p>
    <w:p w14:paraId="54B94AF6" w14:textId="77777777" w:rsidR="00C75978" w:rsidRDefault="00C75978" w:rsidP="00C75978">
      <w:pPr>
        <w:spacing w:before="240" w:after="240"/>
        <w:jc w:val="both"/>
        <w:rPr>
          <w:szCs w:val="24"/>
          <w:lang w:eastAsia="en-US"/>
        </w:rPr>
      </w:pPr>
      <w:r>
        <w:rPr>
          <w:szCs w:val="24"/>
          <w:shd w:val="clear" w:color="auto" w:fill="FFFFFF"/>
        </w:rPr>
        <w:t xml:space="preserve">McFadden, C. (2018) </w:t>
      </w:r>
      <w:r>
        <w:rPr>
          <w:i/>
          <w:szCs w:val="24"/>
        </w:rPr>
        <w:t>Akio Morita, Co-Founder of Sony and Electronics Revolutionary</w:t>
      </w:r>
      <w:r>
        <w:rPr>
          <w:szCs w:val="24"/>
        </w:rPr>
        <w:t xml:space="preserve">. </w:t>
      </w:r>
      <w:r>
        <w:rPr>
          <w:szCs w:val="24"/>
          <w:shd w:val="clear" w:color="auto" w:fill="FFFFFF"/>
        </w:rPr>
        <w:t xml:space="preserve">Available at: https://interestingengineering.com/culture/akio-morita-co-founder-of-sony-and-electronics-revolutionary. </w:t>
      </w:r>
      <w:r>
        <w:t>(Accessed: 18 August 2023).</w:t>
      </w:r>
    </w:p>
    <w:p w14:paraId="637D9D2D" w14:textId="77777777" w:rsidR="00C75978" w:rsidRDefault="00C75978" w:rsidP="00C75978">
      <w:pPr>
        <w:spacing w:before="240" w:after="240"/>
        <w:jc w:val="both"/>
        <w:rPr>
          <w:szCs w:val="24"/>
          <w:shd w:val="clear" w:color="auto" w:fill="FFFFFF"/>
        </w:rPr>
      </w:pPr>
      <w:r>
        <w:rPr>
          <w:szCs w:val="24"/>
          <w:shd w:val="clear" w:color="auto" w:fill="FFFFFF"/>
        </w:rPr>
        <w:t>Muegge, S. and Reid, E. (2019) Elon Musk and SpaceX: A case study of entrepreneuring as emancipation. </w:t>
      </w:r>
      <w:r>
        <w:rPr>
          <w:i/>
          <w:iCs/>
          <w:szCs w:val="24"/>
          <w:shd w:val="clear" w:color="auto" w:fill="FFFFFF"/>
        </w:rPr>
        <w:t>Technology Innovation Management Review</w:t>
      </w:r>
      <w:r>
        <w:rPr>
          <w:szCs w:val="24"/>
          <w:shd w:val="clear" w:color="auto" w:fill="FFFFFF"/>
        </w:rPr>
        <w:t>, </w:t>
      </w:r>
      <w:r>
        <w:rPr>
          <w:iCs/>
          <w:szCs w:val="24"/>
          <w:shd w:val="clear" w:color="auto" w:fill="FFFFFF"/>
        </w:rPr>
        <w:t>9</w:t>
      </w:r>
      <w:r>
        <w:rPr>
          <w:szCs w:val="24"/>
          <w:shd w:val="clear" w:color="auto" w:fill="FFFFFF"/>
        </w:rPr>
        <w:t>(8), pp. 89-99.</w:t>
      </w:r>
    </w:p>
    <w:p w14:paraId="6503B112" w14:textId="77777777" w:rsidR="00C75978" w:rsidRDefault="00C75978" w:rsidP="00C75978">
      <w:pPr>
        <w:spacing w:before="240" w:after="240"/>
        <w:jc w:val="both"/>
        <w:rPr>
          <w:szCs w:val="24"/>
          <w:shd w:val="clear" w:color="auto" w:fill="FFFFFF"/>
        </w:rPr>
      </w:pPr>
      <w:r>
        <w:rPr>
          <w:szCs w:val="24"/>
          <w:shd w:val="clear" w:color="auto" w:fill="FFFFFF"/>
        </w:rPr>
        <w:t xml:space="preserve">NPR (2015) </w:t>
      </w:r>
      <w:r>
        <w:rPr>
          <w:i/>
          <w:szCs w:val="24"/>
        </w:rPr>
        <w:t>Shigeru Miyamoto On The Origins Of Nintendo's Famous Characters</w:t>
      </w:r>
      <w:r>
        <w:rPr>
          <w:szCs w:val="24"/>
          <w:shd w:val="clear" w:color="auto" w:fill="FFFFFF"/>
        </w:rPr>
        <w:t xml:space="preserve">. Available at: https://www.npr.org/sections/alltechconsidered/2015/06/19/415568892/q-a-shigeru-miyamoto-on-the-origins-of-nintendos-famous-characters. </w:t>
      </w:r>
      <w:r>
        <w:t>(Accessed: 5 August 2023).</w:t>
      </w:r>
    </w:p>
    <w:p w14:paraId="59ACE4B1" w14:textId="77777777" w:rsidR="00C75978" w:rsidRDefault="00C75978" w:rsidP="00C75978">
      <w:pPr>
        <w:spacing w:before="240" w:after="240"/>
        <w:jc w:val="both"/>
        <w:rPr>
          <w:szCs w:val="24"/>
          <w:shd w:val="clear" w:color="auto" w:fill="FFFFFF"/>
        </w:rPr>
      </w:pPr>
      <w:r>
        <w:rPr>
          <w:szCs w:val="24"/>
          <w:shd w:val="clear" w:color="auto" w:fill="FFFFFF"/>
        </w:rPr>
        <w:t>Oluwatobi, S.O. (2015) Innovation-driven economic development model: A way to enable competitiveness in Nigeria. In </w:t>
      </w:r>
      <w:r>
        <w:rPr>
          <w:i/>
          <w:iCs/>
          <w:szCs w:val="24"/>
          <w:shd w:val="clear" w:color="auto" w:fill="FFFFFF"/>
        </w:rPr>
        <w:t>Beyond the UN global compact: Institutions and regulations</w:t>
      </w:r>
      <w:r>
        <w:rPr>
          <w:szCs w:val="24"/>
          <w:shd w:val="clear" w:color="auto" w:fill="FFFFFF"/>
        </w:rPr>
        <w:t xml:space="preserve">, 5(2), pp. 197-218. </w:t>
      </w:r>
    </w:p>
    <w:p w14:paraId="58CE3C61" w14:textId="77777777" w:rsidR="00C75978" w:rsidRDefault="00C75978" w:rsidP="00C75978">
      <w:pPr>
        <w:spacing w:before="240" w:after="240"/>
        <w:jc w:val="both"/>
        <w:rPr>
          <w:szCs w:val="24"/>
          <w:shd w:val="clear" w:color="auto" w:fill="FFFFFF"/>
        </w:rPr>
      </w:pPr>
      <w:r>
        <w:rPr>
          <w:szCs w:val="24"/>
          <w:shd w:val="clear" w:color="auto" w:fill="FFFFFF"/>
        </w:rPr>
        <w:lastRenderedPageBreak/>
        <w:t>Pinchot, G. and Soltanifar, M. (2021) ‘Digital intrapreneurship: The corporate solution to a rapid digitalisation’, </w:t>
      </w:r>
      <w:r>
        <w:rPr>
          <w:i/>
          <w:iCs/>
          <w:szCs w:val="24"/>
          <w:shd w:val="clear" w:color="auto" w:fill="FFFFFF"/>
        </w:rPr>
        <w:t>Digital Entrepreneurship: Impact on Business and Society</w:t>
      </w:r>
      <w:r>
        <w:rPr>
          <w:szCs w:val="24"/>
          <w:shd w:val="clear" w:color="auto" w:fill="FFFFFF"/>
        </w:rPr>
        <w:t xml:space="preserve">, 8(3), pp. 233-262. </w:t>
      </w:r>
    </w:p>
    <w:p w14:paraId="7AEF4C85" w14:textId="77777777" w:rsidR="00C75978" w:rsidRDefault="00C75978" w:rsidP="00C75978">
      <w:pPr>
        <w:spacing w:before="240" w:after="240"/>
        <w:jc w:val="both"/>
        <w:rPr>
          <w:color w:val="222222"/>
          <w:szCs w:val="24"/>
          <w:shd w:val="clear" w:color="auto" w:fill="FFFFFF"/>
        </w:rPr>
      </w:pPr>
      <w:r>
        <w:rPr>
          <w:color w:val="222222"/>
          <w:szCs w:val="24"/>
          <w:shd w:val="clear" w:color="auto" w:fill="FFFFFF"/>
        </w:rPr>
        <w:t>Rowbotham, N. K. (2011) ‘</w:t>
      </w:r>
      <w:r>
        <w:rPr>
          <w:i/>
          <w:iCs/>
          <w:color w:val="222222"/>
          <w:szCs w:val="24"/>
          <w:shd w:val="clear" w:color="auto" w:fill="FFFFFF"/>
        </w:rPr>
        <w:t>Exchange rate policy and export performance in efficiency-driven economies’,</w:t>
      </w:r>
      <w:r>
        <w:rPr>
          <w:color w:val="222222"/>
          <w:szCs w:val="24"/>
          <w:shd w:val="clear" w:color="auto" w:fill="FFFFFF"/>
        </w:rPr>
        <w:t> (Doctoral dissertation, University of Pretoria).</w:t>
      </w:r>
    </w:p>
    <w:p w14:paraId="4957911D" w14:textId="77777777" w:rsidR="00C75978" w:rsidRDefault="00C75978" w:rsidP="00C75978">
      <w:pPr>
        <w:spacing w:before="240" w:after="240"/>
        <w:jc w:val="both"/>
        <w:rPr>
          <w:szCs w:val="24"/>
          <w:shd w:val="clear" w:color="auto" w:fill="FFFFFF"/>
        </w:rPr>
      </w:pPr>
      <w:r>
        <w:rPr>
          <w:szCs w:val="24"/>
          <w:shd w:val="clear" w:color="auto" w:fill="FFFFFF"/>
        </w:rPr>
        <w:t>Sajilan, S., Hadi, N.U. and Tehseen, S. (2015) ‘Impact of entrepreneur's demographic characteristics and personal characteristics on firm's performance under the mediating role of entrepreneur orientation’, </w:t>
      </w:r>
      <w:r>
        <w:rPr>
          <w:i/>
          <w:iCs/>
          <w:szCs w:val="24"/>
          <w:shd w:val="clear" w:color="auto" w:fill="FFFFFF"/>
        </w:rPr>
        <w:t>Review of integrative business and economics research</w:t>
      </w:r>
      <w:r>
        <w:rPr>
          <w:szCs w:val="24"/>
          <w:shd w:val="clear" w:color="auto" w:fill="FFFFFF"/>
        </w:rPr>
        <w:t>, </w:t>
      </w:r>
      <w:r>
        <w:rPr>
          <w:iCs/>
          <w:szCs w:val="24"/>
          <w:shd w:val="clear" w:color="auto" w:fill="FFFFFF"/>
        </w:rPr>
        <w:t>4</w:t>
      </w:r>
      <w:r>
        <w:rPr>
          <w:szCs w:val="24"/>
          <w:shd w:val="clear" w:color="auto" w:fill="FFFFFF"/>
        </w:rPr>
        <w:t>(2), pp. 36-40.</w:t>
      </w:r>
    </w:p>
    <w:p w14:paraId="3F66D6AF" w14:textId="77777777" w:rsidR="00C75978" w:rsidRDefault="00C75978" w:rsidP="00C75978">
      <w:pPr>
        <w:spacing w:before="240" w:after="240"/>
        <w:jc w:val="both"/>
        <w:rPr>
          <w:szCs w:val="24"/>
          <w:shd w:val="clear" w:color="auto" w:fill="FFFFFF"/>
        </w:rPr>
      </w:pPr>
      <w:r>
        <w:rPr>
          <w:szCs w:val="24"/>
          <w:shd w:val="clear" w:color="auto" w:fill="FFFFFF"/>
        </w:rPr>
        <w:t>Urbano, D. and Alvarez, C. (2014) ‘Institutional dimensions and entrepreneurial activity: an international study’, </w:t>
      </w:r>
      <w:r>
        <w:rPr>
          <w:i/>
          <w:iCs/>
          <w:szCs w:val="24"/>
          <w:shd w:val="clear" w:color="auto" w:fill="FFFFFF"/>
        </w:rPr>
        <w:t>Small business economics</w:t>
      </w:r>
      <w:r>
        <w:rPr>
          <w:szCs w:val="24"/>
          <w:shd w:val="clear" w:color="auto" w:fill="FFFFFF"/>
        </w:rPr>
        <w:t>, </w:t>
      </w:r>
      <w:r>
        <w:rPr>
          <w:iCs/>
          <w:szCs w:val="24"/>
          <w:shd w:val="clear" w:color="auto" w:fill="FFFFFF"/>
        </w:rPr>
        <w:t>42</w:t>
      </w:r>
      <w:r>
        <w:rPr>
          <w:szCs w:val="24"/>
          <w:shd w:val="clear" w:color="auto" w:fill="FFFFFF"/>
        </w:rPr>
        <w:t>(7), pp. 703-716.</w:t>
      </w:r>
    </w:p>
    <w:p w14:paraId="6746C68C" w14:textId="77777777" w:rsidR="00C75978" w:rsidRDefault="00C75978" w:rsidP="00C75978">
      <w:pPr>
        <w:spacing w:before="240" w:after="240"/>
        <w:jc w:val="both"/>
        <w:rPr>
          <w:szCs w:val="24"/>
          <w:shd w:val="clear" w:color="auto" w:fill="FFFFFF"/>
        </w:rPr>
      </w:pPr>
      <w:r>
        <w:rPr>
          <w:szCs w:val="24"/>
          <w:shd w:val="clear" w:color="auto" w:fill="FFFFFF"/>
        </w:rPr>
        <w:t>Voigt, K.I., Buliga, O., Michl, K., Voigt, K.I., Buliga, O. and Michl, K. (2017) ‘Entertainment on demand: The case of Netflix’, </w:t>
      </w:r>
      <w:r>
        <w:rPr>
          <w:i/>
          <w:iCs/>
          <w:szCs w:val="24"/>
          <w:shd w:val="clear" w:color="auto" w:fill="FFFFFF"/>
        </w:rPr>
        <w:t>Business model pioneers: How innovators successfully implement new business models</w:t>
      </w:r>
      <w:r>
        <w:rPr>
          <w:szCs w:val="24"/>
          <w:shd w:val="clear" w:color="auto" w:fill="FFFFFF"/>
        </w:rPr>
        <w:t>, 67(4), pp. 127-141.</w:t>
      </w:r>
    </w:p>
    <w:p w14:paraId="213BD3EF" w14:textId="77777777" w:rsidR="00C75978" w:rsidRDefault="00C75978" w:rsidP="00C75978">
      <w:pPr>
        <w:spacing w:before="240" w:after="240"/>
        <w:jc w:val="both"/>
        <w:rPr>
          <w:szCs w:val="24"/>
          <w:shd w:val="clear" w:color="auto" w:fill="FFFFFF"/>
        </w:rPr>
      </w:pPr>
      <w:r>
        <w:rPr>
          <w:szCs w:val="24"/>
          <w:shd w:val="clear" w:color="auto" w:fill="FFFFFF"/>
        </w:rPr>
        <w:t>Weber, C., Weidner, K., Kroeger, A. and Wallace, J. (2017) ‘Social value creation in inter‐organizational collaborations in the not‐for‐profit sector–give and take from a dyadic perspective’, </w:t>
      </w:r>
      <w:r>
        <w:rPr>
          <w:i/>
          <w:iCs/>
          <w:szCs w:val="24"/>
          <w:shd w:val="clear" w:color="auto" w:fill="FFFFFF"/>
        </w:rPr>
        <w:t>Journal of Management Studies</w:t>
      </w:r>
      <w:r>
        <w:rPr>
          <w:szCs w:val="24"/>
          <w:shd w:val="clear" w:color="auto" w:fill="FFFFFF"/>
        </w:rPr>
        <w:t>, </w:t>
      </w:r>
      <w:r>
        <w:rPr>
          <w:iCs/>
          <w:szCs w:val="24"/>
          <w:shd w:val="clear" w:color="auto" w:fill="FFFFFF"/>
        </w:rPr>
        <w:t>54</w:t>
      </w:r>
      <w:r>
        <w:rPr>
          <w:szCs w:val="24"/>
          <w:shd w:val="clear" w:color="auto" w:fill="FFFFFF"/>
        </w:rPr>
        <w:t>(6), pp. 929-956.</w:t>
      </w:r>
    </w:p>
    <w:p w14:paraId="0F3E40F5" w14:textId="77777777" w:rsidR="00C75978" w:rsidRDefault="00C75978" w:rsidP="00C75978">
      <w:pPr>
        <w:spacing w:before="240" w:after="240"/>
        <w:jc w:val="both"/>
        <w:rPr>
          <w:szCs w:val="24"/>
          <w:shd w:val="clear" w:color="auto" w:fill="FFFFFF"/>
        </w:rPr>
      </w:pPr>
      <w:r>
        <w:rPr>
          <w:szCs w:val="24"/>
          <w:shd w:val="clear" w:color="auto" w:fill="FFFFFF"/>
        </w:rPr>
        <w:t>Weinberger, E., Wach, D., Stephan, U. and Wegge, J. (2018) ‘Having a creative day: Understanding entrepreneurs' daily idea generation through a recovery lens’, </w:t>
      </w:r>
      <w:r>
        <w:rPr>
          <w:i/>
          <w:iCs/>
          <w:szCs w:val="24"/>
          <w:shd w:val="clear" w:color="auto" w:fill="FFFFFF"/>
        </w:rPr>
        <w:t>Journal of Business Venturing</w:t>
      </w:r>
      <w:r>
        <w:rPr>
          <w:szCs w:val="24"/>
          <w:shd w:val="clear" w:color="auto" w:fill="FFFFFF"/>
        </w:rPr>
        <w:t>, </w:t>
      </w:r>
      <w:r>
        <w:rPr>
          <w:iCs/>
          <w:szCs w:val="24"/>
          <w:shd w:val="clear" w:color="auto" w:fill="FFFFFF"/>
        </w:rPr>
        <w:t>33</w:t>
      </w:r>
      <w:r>
        <w:rPr>
          <w:szCs w:val="24"/>
          <w:shd w:val="clear" w:color="auto" w:fill="FFFFFF"/>
        </w:rPr>
        <w:t>(1), pp. 1-19.</w:t>
      </w:r>
    </w:p>
    <w:p w14:paraId="624EB544" w14:textId="77777777" w:rsidR="00C75978" w:rsidRDefault="00C75978" w:rsidP="00C75978">
      <w:pPr>
        <w:spacing w:before="240" w:after="240"/>
        <w:jc w:val="both"/>
        <w:rPr>
          <w:szCs w:val="24"/>
          <w:shd w:val="clear" w:color="auto" w:fill="FFFFFF"/>
        </w:rPr>
      </w:pPr>
      <w:r>
        <w:rPr>
          <w:szCs w:val="24"/>
          <w:shd w:val="clear" w:color="auto" w:fill="FFFFFF"/>
        </w:rPr>
        <w:t xml:space="preserve">Wilson, </w:t>
      </w:r>
      <w:proofErr w:type="gramStart"/>
      <w:r>
        <w:rPr>
          <w:szCs w:val="24"/>
          <w:shd w:val="clear" w:color="auto" w:fill="FFFFFF"/>
        </w:rPr>
        <w:t>F.</w:t>
      </w:r>
      <w:proofErr w:type="gramEnd"/>
      <w:r>
        <w:rPr>
          <w:szCs w:val="24"/>
          <w:shd w:val="clear" w:color="auto" w:fill="FFFFFF"/>
        </w:rPr>
        <w:t xml:space="preserve"> and Post, J.E. (2013) ‘Business models for people, planet (&amp; profits): exploring the phenomena of social business, a market-based approach to social value creation’, </w:t>
      </w:r>
      <w:r>
        <w:rPr>
          <w:i/>
          <w:iCs/>
          <w:szCs w:val="24"/>
          <w:shd w:val="clear" w:color="auto" w:fill="FFFFFF"/>
        </w:rPr>
        <w:t>Small Business Economics</w:t>
      </w:r>
      <w:r>
        <w:rPr>
          <w:szCs w:val="24"/>
          <w:shd w:val="clear" w:color="auto" w:fill="FFFFFF"/>
        </w:rPr>
        <w:t>, </w:t>
      </w:r>
      <w:r>
        <w:rPr>
          <w:iCs/>
          <w:szCs w:val="24"/>
          <w:shd w:val="clear" w:color="auto" w:fill="FFFFFF"/>
        </w:rPr>
        <w:t>40</w:t>
      </w:r>
      <w:r>
        <w:rPr>
          <w:szCs w:val="24"/>
          <w:shd w:val="clear" w:color="auto" w:fill="FFFFFF"/>
        </w:rPr>
        <w:t>(3), pp. 715-737.</w:t>
      </w:r>
    </w:p>
    <w:p w14:paraId="008CEFBD" w14:textId="77777777" w:rsidR="00C75978" w:rsidRDefault="00C75978" w:rsidP="00C75978">
      <w:pPr>
        <w:spacing w:before="240" w:after="240"/>
        <w:jc w:val="both"/>
        <w:rPr>
          <w:szCs w:val="24"/>
        </w:rPr>
      </w:pPr>
    </w:p>
    <w:p w14:paraId="221BC9F0" w14:textId="77777777" w:rsidR="00C75978" w:rsidRDefault="00C75978"/>
    <w:sectPr w:rsidR="00C75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78"/>
    <w:rsid w:val="00086A77"/>
    <w:rsid w:val="00254684"/>
    <w:rsid w:val="00426467"/>
    <w:rsid w:val="0049396D"/>
    <w:rsid w:val="0056561D"/>
    <w:rsid w:val="006C6838"/>
    <w:rsid w:val="00C759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C5076"/>
  <w15:chartTrackingRefBased/>
  <w15:docId w15:val="{386626C8-CCD4-418D-A514-E6AC0EF37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978"/>
    <w:pPr>
      <w:spacing w:after="0" w:line="360" w:lineRule="auto"/>
    </w:pPr>
    <w:rPr>
      <w:rFonts w:ascii="Times New Roman" w:eastAsia="Times New Roman" w:hAnsi="Times New Roman" w:cs="Times New Roman"/>
      <w:kern w:val="0"/>
      <w:sz w:val="24"/>
      <w:szCs w:val="20"/>
      <w:lang w:val="en-GB" w:eastAsia="en-GB"/>
      <w14:ligatures w14:val="none"/>
    </w:rPr>
  </w:style>
  <w:style w:type="paragraph" w:styleId="Heading1">
    <w:name w:val="heading 1"/>
    <w:basedOn w:val="Normal"/>
    <w:next w:val="Normal"/>
    <w:link w:val="Heading1Char"/>
    <w:uiPriority w:val="9"/>
    <w:qFormat/>
    <w:rsid w:val="00C75978"/>
    <w:pPr>
      <w:keepNext/>
      <w:keepLines/>
      <w:spacing w:before="240"/>
      <w:outlineLvl w:val="0"/>
    </w:pPr>
    <w:rPr>
      <w:rFonts w:eastAsiaTheme="majorEastAsia" w:cstheme="majorBidi"/>
      <w:b/>
      <w:color w:val="0070C0"/>
      <w:sz w:val="28"/>
      <w:szCs w:val="32"/>
    </w:rPr>
  </w:style>
  <w:style w:type="paragraph" w:styleId="Heading2">
    <w:name w:val="heading 2"/>
    <w:basedOn w:val="Normal"/>
    <w:next w:val="Normal"/>
    <w:link w:val="Heading2Char"/>
    <w:uiPriority w:val="9"/>
    <w:semiHidden/>
    <w:unhideWhenUsed/>
    <w:qFormat/>
    <w:rsid w:val="00C75978"/>
    <w:pPr>
      <w:keepNext/>
      <w:keepLines/>
      <w:spacing w:before="4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978"/>
    <w:rPr>
      <w:rFonts w:ascii="Times New Roman" w:eastAsiaTheme="majorEastAsia" w:hAnsi="Times New Roman" w:cstheme="majorBidi"/>
      <w:b/>
      <w:color w:val="0070C0"/>
      <w:kern w:val="0"/>
      <w:sz w:val="28"/>
      <w:szCs w:val="32"/>
      <w:lang w:val="en-GB" w:eastAsia="en-GB"/>
      <w14:ligatures w14:val="none"/>
    </w:rPr>
  </w:style>
  <w:style w:type="character" w:customStyle="1" w:styleId="Heading2Char">
    <w:name w:val="Heading 2 Char"/>
    <w:basedOn w:val="DefaultParagraphFont"/>
    <w:link w:val="Heading2"/>
    <w:uiPriority w:val="9"/>
    <w:semiHidden/>
    <w:rsid w:val="00C75978"/>
    <w:rPr>
      <w:rFonts w:ascii="Times New Roman" w:eastAsiaTheme="majorEastAsia" w:hAnsi="Times New Roman" w:cstheme="majorBidi"/>
      <w:b/>
      <w:color w:val="2F5496" w:themeColor="accent1" w:themeShade="BF"/>
      <w:kern w:val="0"/>
      <w:sz w:val="24"/>
      <w:szCs w:val="26"/>
      <w:lang w:val="en-GB" w:eastAsia="en-GB"/>
      <w14:ligatures w14:val="none"/>
    </w:rPr>
  </w:style>
  <w:style w:type="character" w:styleId="Hyperlink">
    <w:name w:val="Hyperlink"/>
    <w:basedOn w:val="DefaultParagraphFont"/>
    <w:uiPriority w:val="99"/>
    <w:semiHidden/>
    <w:unhideWhenUsed/>
    <w:rsid w:val="00C75978"/>
    <w:rPr>
      <w:color w:val="0563C1" w:themeColor="hyperlink"/>
      <w:u w:val="single"/>
    </w:rPr>
  </w:style>
  <w:style w:type="paragraph" w:styleId="TOC1">
    <w:name w:val="toc 1"/>
    <w:basedOn w:val="Normal"/>
    <w:next w:val="Normal"/>
    <w:autoRedefine/>
    <w:uiPriority w:val="39"/>
    <w:semiHidden/>
    <w:unhideWhenUsed/>
    <w:rsid w:val="00C75978"/>
    <w:pPr>
      <w:spacing w:after="100"/>
    </w:pPr>
  </w:style>
  <w:style w:type="paragraph" w:styleId="TOC2">
    <w:name w:val="toc 2"/>
    <w:basedOn w:val="Normal"/>
    <w:next w:val="Normal"/>
    <w:autoRedefine/>
    <w:uiPriority w:val="39"/>
    <w:semiHidden/>
    <w:unhideWhenUsed/>
    <w:rsid w:val="00C75978"/>
    <w:pPr>
      <w:spacing w:after="100"/>
      <w:ind w:left="240"/>
    </w:pPr>
  </w:style>
  <w:style w:type="paragraph" w:styleId="Title">
    <w:name w:val="Title"/>
    <w:basedOn w:val="Normal"/>
    <w:next w:val="Normal"/>
    <w:link w:val="TitleChar"/>
    <w:uiPriority w:val="10"/>
    <w:qFormat/>
    <w:rsid w:val="00C7597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978"/>
    <w:rPr>
      <w:rFonts w:asciiTheme="majorHAnsi" w:eastAsiaTheme="majorEastAsia" w:hAnsiTheme="majorHAnsi" w:cstheme="majorBidi"/>
      <w:spacing w:val="-10"/>
      <w:kern w:val="28"/>
      <w:sz w:val="56"/>
      <w:szCs w:val="56"/>
      <w:lang w:val="en-GB" w:eastAsia="en-GB"/>
      <w14:ligatures w14:val="none"/>
    </w:rPr>
  </w:style>
  <w:style w:type="paragraph" w:styleId="TOCHeading">
    <w:name w:val="TOC Heading"/>
    <w:basedOn w:val="Heading1"/>
    <w:next w:val="Normal"/>
    <w:uiPriority w:val="39"/>
    <w:semiHidden/>
    <w:unhideWhenUsed/>
    <w:qFormat/>
    <w:rsid w:val="00C75978"/>
    <w:pPr>
      <w:spacing w:line="256" w:lineRule="auto"/>
      <w:outlineLvl w:val="9"/>
    </w:pPr>
    <w:rPr>
      <w:rFonts w:asciiTheme="majorHAnsi" w:hAnsiTheme="majorHAnsi"/>
      <w:b w:val="0"/>
      <w:color w:val="2F5496" w:themeColor="accent1" w:themeShade="BF"/>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13"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3" Type="http://schemas.openxmlformats.org/officeDocument/2006/relationships/webSettings" Target="webSettings.xml"/><Relationship Id="rId7"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12"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11"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5"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15" Type="http://schemas.openxmlformats.org/officeDocument/2006/relationships/theme" Target="theme/theme1.xml"/><Relationship Id="rId10"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4" Type="http://schemas.openxmlformats.org/officeDocument/2006/relationships/image" Target="media/image1.jpg"/><Relationship Id="rId9" Type="http://schemas.openxmlformats.org/officeDocument/2006/relationships/hyperlink" Target="file:///C:\Users\Admin\AppData\Local\Packages\microsoft.windowscommunicationsapps_8wekyb3d8bbwe\LocalState\Files\S0\4\Attachments\Rinku%20Goswami%20LCMB7004%20Entrepreneurship%20Assessment%201%5b1757%5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4029</Words>
  <Characters>22970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Rinku Aparanathi</dc:creator>
  <cp:keywords/>
  <dc:description/>
  <cp:lastModifiedBy>Rinku Aparanathi</cp:lastModifiedBy>
  <cp:revision>6</cp:revision>
  <dcterms:created xsi:type="dcterms:W3CDTF">2023-08-25T09:56:00Z</dcterms:created>
  <dcterms:modified xsi:type="dcterms:W3CDTF">2023-08-25T10:18:00Z</dcterms:modified>
</cp:coreProperties>
</file>