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C5DE9" w14:textId="77777777" w:rsidR="006D62AD" w:rsidRDefault="006D62AD">
      <w:pPr>
        <w:ind w:left="426"/>
      </w:pPr>
    </w:p>
    <w:p w14:paraId="45BB609A" w14:textId="77777777" w:rsidR="006D62AD" w:rsidRDefault="00000000">
      <w:pPr>
        <w:spacing w:line="360" w:lineRule="auto"/>
        <w:ind w:left="426"/>
      </w:pPr>
      <w:r>
        <w:rPr>
          <w:noProof/>
        </w:rPr>
        <w:drawing>
          <wp:anchor distT="0" distB="0" distL="114300" distR="114300" simplePos="0" relativeHeight="251658240" behindDoc="0" locked="0" layoutInCell="1" hidden="0" allowOverlap="1" wp14:anchorId="62CFE999" wp14:editId="5D418DEA">
            <wp:simplePos x="0" y="0"/>
            <wp:positionH relativeFrom="column">
              <wp:posOffset>-632</wp:posOffset>
            </wp:positionH>
            <wp:positionV relativeFrom="paragraph">
              <wp:posOffset>289560</wp:posOffset>
            </wp:positionV>
            <wp:extent cx="2600325" cy="914400"/>
            <wp:effectExtent l="0" t="0" r="0" b="0"/>
            <wp:wrapSquare wrapText="bothSides" distT="0" distB="0" distL="114300" distR="114300"/>
            <wp:docPr id="1"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7"/>
                    <a:srcRect/>
                    <a:stretch>
                      <a:fillRect/>
                    </a:stretch>
                  </pic:blipFill>
                  <pic:spPr>
                    <a:xfrm>
                      <a:off x="0" y="0"/>
                      <a:ext cx="2600325" cy="914400"/>
                    </a:xfrm>
                    <a:prstGeom prst="rect">
                      <a:avLst/>
                    </a:prstGeom>
                    <a:ln/>
                  </pic:spPr>
                </pic:pic>
              </a:graphicData>
            </a:graphic>
          </wp:anchor>
        </w:drawing>
      </w:r>
    </w:p>
    <w:p w14:paraId="4075CD2F" w14:textId="77777777" w:rsidR="006D62AD" w:rsidRDefault="006D62AD">
      <w:pPr>
        <w:spacing w:line="360" w:lineRule="auto"/>
        <w:ind w:left="426"/>
      </w:pPr>
    </w:p>
    <w:p w14:paraId="024D6ABB" w14:textId="77777777" w:rsidR="006D62AD" w:rsidRDefault="006D62AD">
      <w:pPr>
        <w:spacing w:line="360" w:lineRule="auto"/>
        <w:ind w:left="426"/>
      </w:pPr>
    </w:p>
    <w:p w14:paraId="6F043590" w14:textId="77777777" w:rsidR="006D62AD" w:rsidRDefault="006D62AD">
      <w:pPr>
        <w:spacing w:line="360" w:lineRule="auto"/>
        <w:ind w:left="426"/>
      </w:pPr>
    </w:p>
    <w:p w14:paraId="0F87C6E9" w14:textId="77777777" w:rsidR="006D62AD" w:rsidRDefault="006D62AD">
      <w:pPr>
        <w:tabs>
          <w:tab w:val="left" w:pos="6540"/>
        </w:tabs>
        <w:spacing w:line="360" w:lineRule="auto"/>
        <w:ind w:left="426"/>
        <w:rPr>
          <w:sz w:val="28"/>
          <w:szCs w:val="28"/>
        </w:rPr>
      </w:pPr>
    </w:p>
    <w:p w14:paraId="66E68AEB" w14:textId="62EBE09B" w:rsidR="006D62AD" w:rsidRDefault="00000000">
      <w:pPr>
        <w:tabs>
          <w:tab w:val="left" w:pos="6540"/>
        </w:tabs>
        <w:spacing w:line="360" w:lineRule="auto"/>
        <w:ind w:left="426"/>
        <w:rPr>
          <w:sz w:val="28"/>
          <w:szCs w:val="28"/>
        </w:rPr>
      </w:pPr>
      <w:r>
        <w:rPr>
          <w:b/>
          <w:bCs/>
          <w:sz w:val="28"/>
          <w:szCs w:val="28"/>
        </w:rPr>
        <w:t>Student name</w:t>
      </w:r>
      <w:r>
        <w:rPr>
          <w:sz w:val="28"/>
          <w:szCs w:val="28"/>
        </w:rPr>
        <w:t xml:space="preserve">: </w:t>
      </w:r>
      <w:r w:rsidR="00D67E1B">
        <w:rPr>
          <w:sz w:val="28"/>
          <w:szCs w:val="28"/>
        </w:rPr>
        <w:t>Aamir</w:t>
      </w:r>
      <w:r>
        <w:rPr>
          <w:sz w:val="28"/>
          <w:szCs w:val="28"/>
        </w:rPr>
        <w:t xml:space="preserve"> hanif </w:t>
      </w:r>
    </w:p>
    <w:p w14:paraId="356C5501" w14:textId="77777777" w:rsidR="006D62AD" w:rsidRDefault="00000000">
      <w:pPr>
        <w:tabs>
          <w:tab w:val="left" w:pos="6540"/>
        </w:tabs>
        <w:spacing w:line="360" w:lineRule="auto"/>
        <w:ind w:left="426"/>
        <w:rPr>
          <w:sz w:val="28"/>
          <w:szCs w:val="28"/>
        </w:rPr>
      </w:pPr>
      <w:r>
        <w:rPr>
          <w:b/>
          <w:bCs/>
          <w:sz w:val="28"/>
          <w:szCs w:val="28"/>
        </w:rPr>
        <w:t>Student ID</w:t>
      </w:r>
      <w:r>
        <w:rPr>
          <w:sz w:val="28"/>
          <w:szCs w:val="28"/>
        </w:rPr>
        <w:t>: 2234671</w:t>
      </w:r>
    </w:p>
    <w:p w14:paraId="1805D5F7" w14:textId="77777777" w:rsidR="006D62AD" w:rsidRDefault="006D62AD">
      <w:pPr>
        <w:tabs>
          <w:tab w:val="left" w:pos="6540"/>
        </w:tabs>
        <w:spacing w:line="360" w:lineRule="auto"/>
        <w:ind w:left="426"/>
        <w:rPr>
          <w:sz w:val="28"/>
          <w:szCs w:val="28"/>
        </w:rPr>
      </w:pPr>
    </w:p>
    <w:p w14:paraId="32EE2CF6" w14:textId="77777777" w:rsidR="006D62AD" w:rsidRDefault="00000000">
      <w:pPr>
        <w:tabs>
          <w:tab w:val="left" w:pos="6540"/>
        </w:tabs>
        <w:spacing w:line="360" w:lineRule="auto"/>
        <w:ind w:left="426"/>
        <w:rPr>
          <w:sz w:val="28"/>
          <w:szCs w:val="28"/>
        </w:rPr>
      </w:pPr>
      <w:r>
        <w:rPr>
          <w:b/>
          <w:bCs/>
          <w:sz w:val="28"/>
          <w:szCs w:val="28"/>
        </w:rPr>
        <w:t>Module name</w:t>
      </w:r>
      <w:r>
        <w:rPr>
          <w:sz w:val="28"/>
          <w:szCs w:val="28"/>
        </w:rPr>
        <w:t>: Independent project</w:t>
      </w:r>
    </w:p>
    <w:p w14:paraId="763FB719" w14:textId="77777777" w:rsidR="006D62AD" w:rsidRDefault="00000000">
      <w:pPr>
        <w:tabs>
          <w:tab w:val="left" w:pos="6540"/>
        </w:tabs>
        <w:spacing w:line="360" w:lineRule="auto"/>
        <w:ind w:left="426"/>
        <w:rPr>
          <w:sz w:val="28"/>
          <w:szCs w:val="28"/>
        </w:rPr>
      </w:pPr>
      <w:r>
        <w:rPr>
          <w:b/>
          <w:bCs/>
          <w:sz w:val="28"/>
          <w:szCs w:val="28"/>
        </w:rPr>
        <w:t>Module code</w:t>
      </w:r>
      <w:r>
        <w:rPr>
          <w:sz w:val="28"/>
          <w:szCs w:val="28"/>
        </w:rPr>
        <w:t>: BMHP6020</w:t>
      </w:r>
    </w:p>
    <w:p w14:paraId="05604334" w14:textId="77777777" w:rsidR="006D62AD" w:rsidRDefault="00000000">
      <w:pPr>
        <w:tabs>
          <w:tab w:val="left" w:pos="6540"/>
        </w:tabs>
        <w:spacing w:line="360" w:lineRule="auto"/>
        <w:ind w:left="426"/>
        <w:rPr>
          <w:sz w:val="28"/>
          <w:szCs w:val="28"/>
        </w:rPr>
      </w:pPr>
      <w:r>
        <w:rPr>
          <w:b/>
          <w:bCs/>
          <w:sz w:val="28"/>
          <w:szCs w:val="28"/>
        </w:rPr>
        <w:t>Lecturer’s name</w:t>
      </w:r>
      <w:r>
        <w:rPr>
          <w:sz w:val="28"/>
          <w:szCs w:val="28"/>
        </w:rPr>
        <w:t>: Jolly Nwankwo</w:t>
      </w:r>
    </w:p>
    <w:tbl>
      <w:tblPr>
        <w:tblStyle w:val="a"/>
        <w:tblW w:w="1462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673"/>
        <w:gridCol w:w="337"/>
        <w:gridCol w:w="4590"/>
        <w:gridCol w:w="360"/>
        <w:gridCol w:w="4665"/>
      </w:tblGrid>
      <w:tr w:rsidR="006D62AD" w14:paraId="55DDAF13" w14:textId="77777777">
        <w:trPr>
          <w:trHeight w:val="9603"/>
          <w:jc w:val="center"/>
        </w:trPr>
        <w:tc>
          <w:tcPr>
            <w:tcW w:w="4673" w:type="dxa"/>
          </w:tcPr>
          <w:p w14:paraId="58FEE4F3" w14:textId="77777777" w:rsidR="006D62AD" w:rsidRDefault="00000000">
            <w:pPr>
              <w:rPr>
                <w:b/>
                <w:bCs/>
                <w:i/>
                <w:iCs/>
                <w:u w:val="single"/>
              </w:rPr>
            </w:pPr>
            <w:bookmarkStart w:id="0" w:name="_yaexefhlaetf" w:colFirst="0" w:colLast="0"/>
            <w:bookmarkEnd w:id="0"/>
            <w:r>
              <w:rPr>
                <w:b/>
                <w:bCs/>
                <w:i/>
                <w:iCs/>
                <w:u w:val="single"/>
              </w:rPr>
              <w:lastRenderedPageBreak/>
              <w:t>Research Design</w:t>
            </w:r>
          </w:p>
          <w:p w14:paraId="45A22DEC" w14:textId="77777777" w:rsidR="006D62AD" w:rsidRDefault="00000000">
            <w:pPr>
              <w:ind w:left="-90"/>
            </w:pPr>
            <w:r>
              <w:t>The interpretivist paradigm served as the foundation for this study's secondary qualitative research design. The researcher was able to critically examine the body of research and evidence based on policy about social isolation and mental health among senior citizens living in residential care facilities in the United Kingdom thanks to the design. Because studying vulnerable populations, such as older persons with cognitive impairment, diminished competence, or complex health needs, raises ethical concerns, secondary research was chosen.</w:t>
            </w:r>
          </w:p>
          <w:p w14:paraId="79C882EF" w14:textId="77777777" w:rsidR="006D62AD" w:rsidRDefault="00000000">
            <w:pPr>
              <w:ind w:left="-90"/>
            </w:pPr>
            <w:r>
              <w:rPr>
                <w:noProof/>
              </w:rPr>
              <w:drawing>
                <wp:inline distT="0" distB="0" distL="0" distR="0" wp14:anchorId="36EE2319" wp14:editId="68C54ECC">
                  <wp:extent cx="2886075" cy="2263689"/>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2886075" cy="2263689"/>
                          </a:xfrm>
                          <a:prstGeom prst="rect">
                            <a:avLst/>
                          </a:prstGeom>
                          <a:ln/>
                        </pic:spPr>
                      </pic:pic>
                    </a:graphicData>
                  </a:graphic>
                </wp:inline>
              </w:drawing>
            </w:r>
          </w:p>
          <w:p w14:paraId="1C54009D" w14:textId="77777777" w:rsidR="006D62AD" w:rsidRDefault="00000000">
            <w:pPr>
              <w:shd w:val="clear" w:color="auto" w:fill="FFFFFF"/>
              <w:spacing w:after="0" w:line="288" w:lineRule="auto"/>
              <w:rPr>
                <w:b/>
                <w:bCs/>
                <w:i/>
                <w:iCs/>
                <w:u w:val="single"/>
              </w:rPr>
            </w:pPr>
            <w:r>
              <w:rPr>
                <w:b/>
                <w:bCs/>
                <w:i/>
                <w:iCs/>
                <w:u w:val="single"/>
              </w:rPr>
              <w:t>Search Strategy</w:t>
            </w:r>
          </w:p>
          <w:p w14:paraId="5DA84F31" w14:textId="77777777" w:rsidR="006D62AD" w:rsidRDefault="00000000">
            <w:pPr>
              <w:shd w:val="clear" w:color="auto" w:fill="FFFFFF"/>
              <w:spacing w:after="0" w:line="288" w:lineRule="auto"/>
            </w:pPr>
            <w:r>
              <w:t xml:space="preserve">Electronic databases such as PubMed, CINAHL, PsycINFO, Web of Science, and Google Scholar were searched for structured literature. </w:t>
            </w:r>
            <w:r>
              <w:br/>
              <w:t xml:space="preserve">Boolean operators (AND/OR) were used to combine the search phrases social isolation, loneliness, older persons, residential care </w:t>
            </w:r>
            <w:r>
              <w:lastRenderedPageBreak/>
              <w:t xml:space="preserve">facilities, and mental health. </w:t>
            </w:r>
            <w:r>
              <w:br/>
              <w:t>Key articles' reference lists were manually examined to find other pertinent references.</w:t>
            </w:r>
          </w:p>
          <w:p w14:paraId="1CF2E192" w14:textId="77777777" w:rsidR="006D62AD" w:rsidRDefault="006D62AD">
            <w:pPr>
              <w:shd w:val="clear" w:color="auto" w:fill="FFFFFF"/>
              <w:spacing w:after="0" w:line="288" w:lineRule="auto"/>
              <w:rPr>
                <w:sz w:val="18"/>
                <w:szCs w:val="18"/>
              </w:rPr>
            </w:pPr>
          </w:p>
          <w:p w14:paraId="6BE79EC7" w14:textId="77777777" w:rsidR="00D67E1B" w:rsidRPr="00D67E1B" w:rsidRDefault="00D67E1B" w:rsidP="00D67E1B">
            <w:pPr>
              <w:ind w:left="270"/>
              <w:rPr>
                <w:b/>
                <w:lang w:val="en-US"/>
              </w:rPr>
            </w:pPr>
            <w:r w:rsidRPr="00D67E1B">
              <w:rPr>
                <w:b/>
                <w:lang w:val="en-US"/>
              </w:rPr>
              <w:t>Inclusion Criteria:</w:t>
            </w:r>
          </w:p>
          <w:p w14:paraId="2FC31A13" w14:textId="77777777" w:rsidR="00D67E1B" w:rsidRPr="00D67E1B" w:rsidRDefault="00D67E1B" w:rsidP="00D67E1B">
            <w:pPr>
              <w:ind w:left="270"/>
              <w:rPr>
                <w:lang w:val="en-US"/>
              </w:rPr>
            </w:pPr>
            <w:r w:rsidRPr="00D67E1B">
              <w:rPr>
                <w:lang w:val="en-US"/>
              </w:rPr>
              <w:t>Write about your Data Collection method.</w:t>
            </w:r>
          </w:p>
          <w:p w14:paraId="6ACC2663" w14:textId="77777777" w:rsidR="00D67E1B" w:rsidRPr="00D67E1B" w:rsidRDefault="00D67E1B" w:rsidP="00D67E1B">
            <w:pPr>
              <w:ind w:left="270"/>
            </w:pPr>
            <w:r w:rsidRPr="00D67E1B">
              <w:t>Studies published in English</w:t>
            </w:r>
          </w:p>
          <w:p w14:paraId="34E99BDA" w14:textId="77777777" w:rsidR="00D67E1B" w:rsidRPr="00D67E1B" w:rsidRDefault="00D67E1B" w:rsidP="00D67E1B">
            <w:pPr>
              <w:ind w:left="270"/>
            </w:pPr>
            <w:r w:rsidRPr="00D67E1B">
              <w:t>Studies focused on older adults (65+)</w:t>
            </w:r>
          </w:p>
          <w:p w14:paraId="010CC5A7" w14:textId="77777777" w:rsidR="00D67E1B" w:rsidRPr="00D67E1B" w:rsidRDefault="00D67E1B" w:rsidP="00D67E1B">
            <w:pPr>
              <w:ind w:left="270"/>
            </w:pPr>
            <w:r w:rsidRPr="00D67E1B">
              <w:t>Research conducted in the UK</w:t>
            </w:r>
          </w:p>
          <w:p w14:paraId="620747C5" w14:textId="77777777" w:rsidR="00D67E1B" w:rsidRPr="00D67E1B" w:rsidRDefault="00D67E1B" w:rsidP="00D67E1B">
            <w:pPr>
              <w:ind w:left="270"/>
            </w:pPr>
            <w:r w:rsidRPr="00D67E1B">
              <w:t>Studies discussing social isolation and mental health</w:t>
            </w:r>
          </w:p>
          <w:p w14:paraId="4C5941EF" w14:textId="77777777" w:rsidR="00D67E1B" w:rsidRPr="00D67E1B" w:rsidRDefault="00D67E1B" w:rsidP="00D67E1B">
            <w:pPr>
              <w:ind w:left="270"/>
            </w:pPr>
            <w:r w:rsidRPr="00D67E1B">
              <w:t>Peer-reviewed articles</w:t>
            </w:r>
          </w:p>
          <w:p w14:paraId="3B9E5EC9" w14:textId="77777777" w:rsidR="006D62AD" w:rsidRDefault="006D62AD" w:rsidP="00D67E1B">
            <w:pPr>
              <w:ind w:left="270"/>
            </w:pPr>
          </w:p>
          <w:p w14:paraId="6F79E1D6" w14:textId="77777777" w:rsidR="00D67E1B" w:rsidRPr="00D67E1B" w:rsidRDefault="00D67E1B" w:rsidP="00D67E1B">
            <w:pPr>
              <w:ind w:left="270"/>
              <w:rPr>
                <w:b/>
                <w:lang w:val="en-US"/>
              </w:rPr>
            </w:pPr>
            <w:r w:rsidRPr="00D67E1B">
              <w:rPr>
                <w:b/>
                <w:lang w:val="en-US"/>
              </w:rPr>
              <w:t>Inclusion Criteria:</w:t>
            </w:r>
          </w:p>
          <w:p w14:paraId="31D9B698" w14:textId="77777777" w:rsidR="00D67E1B" w:rsidRPr="00D67E1B" w:rsidRDefault="00D67E1B" w:rsidP="00D67E1B">
            <w:pPr>
              <w:ind w:left="270"/>
              <w:rPr>
                <w:lang w:val="en-US"/>
              </w:rPr>
            </w:pPr>
            <w:r w:rsidRPr="00D67E1B">
              <w:rPr>
                <w:lang w:val="en-US"/>
              </w:rPr>
              <w:t>Write about your Data Collection method.</w:t>
            </w:r>
          </w:p>
          <w:p w14:paraId="083EB5C5" w14:textId="77777777" w:rsidR="00D67E1B" w:rsidRPr="00D67E1B" w:rsidRDefault="00D67E1B" w:rsidP="00D67E1B">
            <w:pPr>
              <w:ind w:left="270"/>
            </w:pPr>
            <w:r w:rsidRPr="00D67E1B">
              <w:t>Studies published in English</w:t>
            </w:r>
          </w:p>
          <w:p w14:paraId="68D00428" w14:textId="77777777" w:rsidR="00D67E1B" w:rsidRPr="00D67E1B" w:rsidRDefault="00D67E1B" w:rsidP="00D67E1B">
            <w:pPr>
              <w:ind w:left="270"/>
            </w:pPr>
            <w:r w:rsidRPr="00D67E1B">
              <w:t>Studies focused on older adults (65+)</w:t>
            </w:r>
          </w:p>
          <w:p w14:paraId="0F3C5836" w14:textId="77777777" w:rsidR="00D67E1B" w:rsidRPr="00D67E1B" w:rsidRDefault="00D67E1B" w:rsidP="00D67E1B">
            <w:pPr>
              <w:ind w:left="270"/>
            </w:pPr>
            <w:r w:rsidRPr="00D67E1B">
              <w:t>Research conducted in the UK</w:t>
            </w:r>
          </w:p>
          <w:p w14:paraId="1910D5C1" w14:textId="77777777" w:rsidR="00D67E1B" w:rsidRPr="00D67E1B" w:rsidRDefault="00D67E1B" w:rsidP="00D67E1B">
            <w:pPr>
              <w:ind w:left="270"/>
            </w:pPr>
            <w:r w:rsidRPr="00D67E1B">
              <w:t>Studies discussing social isolation and mental health</w:t>
            </w:r>
          </w:p>
          <w:p w14:paraId="35E50130" w14:textId="77777777" w:rsidR="00D67E1B" w:rsidRPr="00D67E1B" w:rsidRDefault="00D67E1B" w:rsidP="00D67E1B">
            <w:pPr>
              <w:ind w:left="270"/>
            </w:pPr>
            <w:r w:rsidRPr="00D67E1B">
              <w:t>Peer-reviewed articles</w:t>
            </w:r>
          </w:p>
          <w:p w14:paraId="292FECA3" w14:textId="40982AA9" w:rsidR="00D67E1B" w:rsidRDefault="00D67E1B" w:rsidP="00D67E1B">
            <w:pPr>
              <w:ind w:left="270"/>
            </w:pPr>
          </w:p>
        </w:tc>
        <w:tc>
          <w:tcPr>
            <w:tcW w:w="337" w:type="dxa"/>
          </w:tcPr>
          <w:p w14:paraId="2E95EEF9" w14:textId="77777777" w:rsidR="006D62AD" w:rsidRDefault="006D62AD"/>
        </w:tc>
        <w:tc>
          <w:tcPr>
            <w:tcW w:w="4590" w:type="dxa"/>
          </w:tcPr>
          <w:p w14:paraId="48FDA46B" w14:textId="77777777" w:rsidR="006D62AD" w:rsidRDefault="00000000">
            <w:pPr>
              <w:spacing w:after="0"/>
              <w:ind w:left="270"/>
              <w:rPr>
                <w:b/>
                <w:bCs/>
                <w:i/>
                <w:iCs/>
                <w:u w:val="single"/>
              </w:rPr>
            </w:pPr>
            <w:r>
              <w:rPr>
                <w:b/>
                <w:bCs/>
                <w:i/>
                <w:iCs/>
                <w:u w:val="single"/>
              </w:rPr>
              <w:t>Research Approach</w:t>
            </w:r>
          </w:p>
          <w:p w14:paraId="45996E2B" w14:textId="77777777" w:rsidR="006D62AD" w:rsidRDefault="006D62AD">
            <w:pPr>
              <w:spacing w:after="0"/>
              <w:ind w:left="270"/>
            </w:pPr>
          </w:p>
          <w:p w14:paraId="2A244489" w14:textId="77777777" w:rsidR="006D62AD" w:rsidRDefault="00000000">
            <w:pPr>
              <w:spacing w:after="0"/>
              <w:ind w:left="270"/>
            </w:pPr>
            <w:r>
              <w:t>Understanding, meaning, and context were given precedence above numerical measurement through the employment of a qualitative interpretive approach. This method works especially well for examining subjective sensations like social alienation, emotional anguish, and loneliness. The method acknowledges older adults as unique individuals influenced by social, psychological, and environmental aspects, which is consistent with person-centred care philosophies and gerontological research traditions.</w:t>
            </w:r>
          </w:p>
          <w:p w14:paraId="4C65F83C" w14:textId="77777777" w:rsidR="006D62AD" w:rsidRDefault="006D62AD">
            <w:pPr>
              <w:spacing w:after="0"/>
              <w:ind w:left="270"/>
            </w:pPr>
          </w:p>
          <w:p w14:paraId="7EF10609" w14:textId="77777777" w:rsidR="006D62AD" w:rsidRDefault="00000000">
            <w:pPr>
              <w:spacing w:after="0"/>
              <w:ind w:left="270"/>
              <w:rPr>
                <w:b/>
                <w:bCs/>
                <w:i/>
                <w:iCs/>
                <w:u w:val="single"/>
              </w:rPr>
            </w:pPr>
            <w:r>
              <w:rPr>
                <w:b/>
                <w:bCs/>
                <w:i/>
                <w:iCs/>
                <w:u w:val="single"/>
              </w:rPr>
              <w:t>Data Source</w:t>
            </w:r>
          </w:p>
          <w:p w14:paraId="7F818B37" w14:textId="77777777" w:rsidR="006D62AD" w:rsidRDefault="006D62AD">
            <w:pPr>
              <w:spacing w:after="0"/>
              <w:ind w:left="270"/>
            </w:pPr>
          </w:p>
          <w:p w14:paraId="27C6B83D" w14:textId="77777777" w:rsidR="006D62AD" w:rsidRDefault="00000000">
            <w:pPr>
              <w:spacing w:after="0"/>
              <w:ind w:left="270"/>
            </w:pPr>
            <w:r>
              <w:t>To ensure credibility and breadth, data were taken from a variety of sources. Peer-reviewed qualitative and quantitative journal articles, publications from the NHS and UK government, and grey literature from groups like Age UK and the World Health Organisation (WHO) were among them. The findings' practical and contextual relevance was increased by the inclusion of professional reports and policies.</w:t>
            </w:r>
          </w:p>
          <w:p w14:paraId="0D96CE5C" w14:textId="77777777" w:rsidR="006D62AD" w:rsidRDefault="006D62AD">
            <w:pPr>
              <w:spacing w:after="0"/>
              <w:ind w:left="270"/>
            </w:pPr>
          </w:p>
          <w:p w14:paraId="6D775CDC" w14:textId="77777777" w:rsidR="006D62AD" w:rsidRDefault="006D62AD">
            <w:pPr>
              <w:spacing w:after="0"/>
              <w:ind w:left="270"/>
            </w:pPr>
          </w:p>
          <w:p w14:paraId="17326207" w14:textId="77777777" w:rsidR="006D62AD" w:rsidRDefault="006D62AD">
            <w:pPr>
              <w:spacing w:after="0"/>
              <w:ind w:left="270"/>
            </w:pPr>
          </w:p>
          <w:p w14:paraId="02E774FF" w14:textId="77777777" w:rsidR="006D62AD" w:rsidRDefault="006D62AD">
            <w:pPr>
              <w:spacing w:after="0"/>
              <w:ind w:left="270"/>
            </w:pPr>
          </w:p>
          <w:p w14:paraId="048014EF" w14:textId="77777777" w:rsidR="006D62AD" w:rsidRDefault="006D62AD">
            <w:pPr>
              <w:spacing w:after="0"/>
              <w:ind w:left="270"/>
            </w:pPr>
          </w:p>
          <w:p w14:paraId="40AFD471" w14:textId="77777777" w:rsidR="006D62AD" w:rsidRDefault="006D62AD">
            <w:pPr>
              <w:spacing w:after="0"/>
              <w:ind w:left="270"/>
            </w:pPr>
          </w:p>
          <w:p w14:paraId="3475C5B0" w14:textId="77777777" w:rsidR="006D62AD" w:rsidRDefault="006D62AD">
            <w:pPr>
              <w:spacing w:after="0"/>
              <w:ind w:left="270"/>
            </w:pPr>
          </w:p>
          <w:p w14:paraId="252DC8E8" w14:textId="77777777" w:rsidR="006D62AD" w:rsidRDefault="006D62AD">
            <w:pPr>
              <w:spacing w:after="0"/>
              <w:ind w:left="270"/>
            </w:pPr>
          </w:p>
          <w:p w14:paraId="68812932" w14:textId="77777777" w:rsidR="006D62AD" w:rsidRDefault="006D62AD">
            <w:pPr>
              <w:spacing w:after="0"/>
              <w:ind w:left="270"/>
            </w:pPr>
          </w:p>
          <w:p w14:paraId="3E1656DB" w14:textId="77777777" w:rsidR="006D62AD" w:rsidRDefault="006D62AD">
            <w:pPr>
              <w:spacing w:after="0"/>
              <w:ind w:left="270"/>
            </w:pPr>
          </w:p>
          <w:p w14:paraId="7A0ED46A" w14:textId="77777777" w:rsidR="006D62AD" w:rsidRDefault="006D62AD">
            <w:pPr>
              <w:spacing w:after="0"/>
              <w:ind w:left="270"/>
            </w:pPr>
          </w:p>
          <w:p w14:paraId="25F7E3F1" w14:textId="77777777" w:rsidR="006D62AD" w:rsidRDefault="00000000">
            <w:pPr>
              <w:spacing w:after="0"/>
              <w:ind w:left="270"/>
              <w:rPr>
                <w:b/>
                <w:bCs/>
                <w:i/>
                <w:iCs/>
                <w:u w:val="single"/>
              </w:rPr>
            </w:pPr>
            <w:r>
              <w:rPr>
                <w:b/>
                <w:bCs/>
                <w:i/>
                <w:iCs/>
                <w:u w:val="single"/>
              </w:rPr>
              <w:lastRenderedPageBreak/>
              <w:t>Data Extraction and Analysis</w:t>
            </w:r>
          </w:p>
          <w:p w14:paraId="31F04ABA" w14:textId="77777777" w:rsidR="006D62AD" w:rsidRDefault="006D62AD">
            <w:pPr>
              <w:spacing w:after="0"/>
              <w:ind w:left="270"/>
            </w:pPr>
          </w:p>
          <w:p w14:paraId="6A6F818F" w14:textId="77777777" w:rsidR="006D62AD" w:rsidRDefault="00000000">
            <w:pPr>
              <w:spacing w:after="0"/>
              <w:ind w:left="270"/>
            </w:pPr>
            <w:r>
              <w:t>Each source's pertinent data, such as the study's objectives, design, population, background, and main conclusions, was methodically retrieved. To make comparing studies easier, the data were arranged into an organised matrix. After that, a thematic analysis was carried out to find recurrent themes and patterns. Person-centred care theory, the Biopsychosocial Model, and socioemotional selectivity theory served as the foundation for the theme development.</w:t>
            </w:r>
          </w:p>
          <w:p w14:paraId="52CA296F" w14:textId="77777777" w:rsidR="006D62AD" w:rsidRDefault="006D62AD">
            <w:pPr>
              <w:spacing w:after="0"/>
              <w:ind w:left="270"/>
            </w:pPr>
          </w:p>
          <w:p w14:paraId="30A4630A" w14:textId="77777777" w:rsidR="006D62AD" w:rsidRDefault="00000000">
            <w:pPr>
              <w:spacing w:after="0"/>
              <w:ind w:left="270"/>
              <w:rPr>
                <w:b/>
                <w:bCs/>
                <w:i/>
                <w:iCs/>
                <w:u w:val="single"/>
              </w:rPr>
            </w:pPr>
            <w:r>
              <w:rPr>
                <w:b/>
                <w:bCs/>
                <w:i/>
                <w:iCs/>
                <w:u w:val="single"/>
              </w:rPr>
              <w:t>Methodological Limitations</w:t>
            </w:r>
          </w:p>
          <w:p w14:paraId="2D7836B3" w14:textId="77777777" w:rsidR="006D62AD" w:rsidRDefault="006D62AD">
            <w:pPr>
              <w:spacing w:after="0"/>
              <w:ind w:left="270"/>
            </w:pPr>
          </w:p>
          <w:p w14:paraId="77D7301D" w14:textId="77777777" w:rsidR="006D62AD" w:rsidRDefault="00000000">
            <w:pPr>
              <w:spacing w:after="0"/>
              <w:ind w:left="270"/>
            </w:pPr>
            <w:r>
              <w:t>Reliance on the calibre of previously published works, possible publishing bias, and the incapacity to record first-hand lived experiences are some of the limitations. Notwithstanding these limitations, the technique offered a strict and morally sound framework for achieving the study's objectives.</w:t>
            </w:r>
          </w:p>
          <w:p w14:paraId="155DC67E" w14:textId="77777777" w:rsidR="006D62AD" w:rsidRDefault="006D62AD">
            <w:pPr>
              <w:spacing w:after="0"/>
              <w:ind w:left="270"/>
            </w:pPr>
          </w:p>
          <w:p w14:paraId="49949049" w14:textId="77777777" w:rsidR="006D62AD" w:rsidRDefault="006D62AD">
            <w:pPr>
              <w:spacing w:after="0"/>
              <w:ind w:left="270"/>
            </w:pPr>
          </w:p>
        </w:tc>
        <w:tc>
          <w:tcPr>
            <w:tcW w:w="360" w:type="dxa"/>
          </w:tcPr>
          <w:p w14:paraId="6370296B" w14:textId="77777777" w:rsidR="006D62AD" w:rsidRDefault="006D62AD"/>
        </w:tc>
        <w:tc>
          <w:tcPr>
            <w:tcW w:w="4665" w:type="dxa"/>
            <w:vAlign w:val="center"/>
          </w:tcPr>
          <w:p w14:paraId="60F1D319" w14:textId="77777777" w:rsidR="006D62AD" w:rsidRDefault="00000000">
            <w:pPr>
              <w:spacing w:after="0"/>
              <w:rPr>
                <w:sz w:val="14"/>
                <w:szCs w:val="14"/>
              </w:rPr>
            </w:pPr>
            <w:r>
              <w:rPr>
                <w:noProof/>
                <w:sz w:val="14"/>
                <w:szCs w:val="14"/>
              </w:rPr>
              <w:drawing>
                <wp:inline distT="114300" distB="114300" distL="114300" distR="114300" wp14:anchorId="746CC458" wp14:editId="0BB554D0">
                  <wp:extent cx="2809875" cy="4216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809875" cy="4216400"/>
                          </a:xfrm>
                          <a:prstGeom prst="rect">
                            <a:avLst/>
                          </a:prstGeom>
                          <a:ln/>
                        </pic:spPr>
                      </pic:pic>
                    </a:graphicData>
                  </a:graphic>
                </wp:inline>
              </w:drawing>
            </w:r>
          </w:p>
          <w:p w14:paraId="383C4F22" w14:textId="77777777" w:rsidR="006D62AD" w:rsidRDefault="00000000">
            <w:pPr>
              <w:spacing w:after="0"/>
              <w:rPr>
                <w:b/>
                <w:bCs/>
                <w:i/>
                <w:iCs/>
                <w:u w:val="single"/>
              </w:rPr>
            </w:pPr>
            <w:r>
              <w:rPr>
                <w:b/>
                <w:bCs/>
                <w:i/>
                <w:iCs/>
                <w:u w:val="single"/>
              </w:rPr>
              <w:t xml:space="preserve">Ethical Considerations </w:t>
            </w:r>
          </w:p>
          <w:p w14:paraId="7CB49826" w14:textId="77777777" w:rsidR="006D62AD" w:rsidRDefault="006D62AD">
            <w:pPr>
              <w:spacing w:after="0"/>
            </w:pPr>
          </w:p>
          <w:p w14:paraId="373DF0FA" w14:textId="77777777" w:rsidR="006D62AD" w:rsidRDefault="00000000">
            <w:pPr>
              <w:numPr>
                <w:ilvl w:val="0"/>
                <w:numId w:val="1"/>
              </w:numPr>
              <w:spacing w:after="0"/>
              <w:ind w:left="270"/>
            </w:pPr>
            <w:r>
              <w:t>There was no direct participant recruitment for this study because it used only secondary data.</w:t>
            </w:r>
            <w:r>
              <w:br/>
            </w:r>
          </w:p>
          <w:p w14:paraId="5E52745F" w14:textId="77777777" w:rsidR="006D62AD" w:rsidRDefault="00000000">
            <w:pPr>
              <w:numPr>
                <w:ilvl w:val="0"/>
                <w:numId w:val="1"/>
              </w:numPr>
              <w:spacing w:after="0"/>
              <w:ind w:left="270"/>
            </w:pPr>
            <w:r>
              <w:t>Ethical considerations focused on responsibly using existing research, accurately representing findings, properly citing sources, and maintaining respectful language when discussing vulnerable older adults.</w:t>
            </w:r>
            <w:r>
              <w:br/>
            </w:r>
          </w:p>
          <w:p w14:paraId="1C473A47" w14:textId="77777777" w:rsidR="006D62AD" w:rsidRDefault="00000000">
            <w:pPr>
              <w:numPr>
                <w:ilvl w:val="0"/>
                <w:numId w:val="1"/>
              </w:numPr>
              <w:spacing w:after="0"/>
              <w:ind w:left="270"/>
            </w:pPr>
            <w:r>
              <w:lastRenderedPageBreak/>
              <w:t>The study followed principles of ethical scholarship and academic honesty.</w:t>
            </w:r>
            <w:r>
              <w:br/>
            </w:r>
          </w:p>
          <w:p w14:paraId="7393807E" w14:textId="77777777" w:rsidR="006D62AD" w:rsidRDefault="00000000">
            <w:pPr>
              <w:numPr>
                <w:ilvl w:val="0"/>
                <w:numId w:val="1"/>
              </w:numPr>
              <w:spacing w:after="0"/>
              <w:ind w:left="270"/>
            </w:pPr>
            <w:r>
              <w:t>Informed consent ensures participants are fully informed about the research and voluntarily choose to participate.</w:t>
            </w:r>
            <w:r>
              <w:br/>
            </w:r>
          </w:p>
          <w:p w14:paraId="7CB565A5" w14:textId="77777777" w:rsidR="006D62AD" w:rsidRDefault="00000000">
            <w:pPr>
              <w:numPr>
                <w:ilvl w:val="0"/>
                <w:numId w:val="1"/>
              </w:numPr>
              <w:spacing w:after="0"/>
              <w:ind w:left="270"/>
            </w:pPr>
            <w:r>
              <w:t>Confidentiality requires researchers to protect personal information and ensure privacy.</w:t>
            </w:r>
            <w:r>
              <w:br/>
            </w:r>
          </w:p>
          <w:p w14:paraId="56095F27" w14:textId="77777777" w:rsidR="006D62AD" w:rsidRDefault="00000000">
            <w:pPr>
              <w:numPr>
                <w:ilvl w:val="0"/>
                <w:numId w:val="1"/>
              </w:numPr>
              <w:spacing w:after="0"/>
              <w:ind w:left="270"/>
            </w:pPr>
            <w:r>
              <w:t>Avoiding harm means prioritising participants’ physical and psychological well-being.</w:t>
            </w:r>
            <w:r>
              <w:br/>
            </w:r>
          </w:p>
          <w:p w14:paraId="409450E1" w14:textId="77777777" w:rsidR="006D62AD" w:rsidRDefault="00000000">
            <w:pPr>
              <w:numPr>
                <w:ilvl w:val="0"/>
                <w:numId w:val="1"/>
              </w:numPr>
              <w:spacing w:after="0"/>
              <w:ind w:left="270"/>
            </w:pPr>
            <w:r>
              <w:t>Transparency involves being open about the study’s purpose, processes, and any potential conflicts.</w:t>
            </w:r>
            <w:r>
              <w:br/>
            </w:r>
          </w:p>
          <w:p w14:paraId="14EFAF4B" w14:textId="77777777" w:rsidR="006D62AD" w:rsidRDefault="00000000">
            <w:pPr>
              <w:numPr>
                <w:ilvl w:val="0"/>
                <w:numId w:val="1"/>
              </w:numPr>
              <w:spacing w:after="0"/>
              <w:ind w:left="270"/>
            </w:pPr>
            <w:r>
              <w:t>Respect for diversity includes acknowledging and valuing different cultural and social backgrounds.</w:t>
            </w:r>
            <w:r>
              <w:br/>
            </w:r>
          </w:p>
          <w:p w14:paraId="4A2484C5" w14:textId="77777777" w:rsidR="006D62AD" w:rsidRDefault="00000000">
            <w:pPr>
              <w:numPr>
                <w:ilvl w:val="0"/>
                <w:numId w:val="1"/>
              </w:numPr>
              <w:spacing w:after="0"/>
              <w:ind w:left="270"/>
            </w:pPr>
            <w:r>
              <w:t>Equity and power balance focuses on minimising power imbalances to encourage honest and authentic responses.</w:t>
            </w:r>
            <w:r>
              <w:br/>
            </w:r>
          </w:p>
          <w:p w14:paraId="76066011" w14:textId="77777777" w:rsidR="006D62AD" w:rsidRDefault="00000000">
            <w:pPr>
              <w:numPr>
                <w:ilvl w:val="0"/>
                <w:numId w:val="1"/>
              </w:numPr>
              <w:spacing w:after="0"/>
              <w:ind w:left="270"/>
            </w:pPr>
            <w:r>
              <w:t>Reflexivity requires researchers to examine their own biases and consider how their role may influence the research.</w:t>
            </w:r>
          </w:p>
          <w:p w14:paraId="6DA05898" w14:textId="77777777" w:rsidR="006D62AD" w:rsidRDefault="006D62AD">
            <w:pPr>
              <w:spacing w:after="0"/>
            </w:pPr>
          </w:p>
          <w:p w14:paraId="3B73B921" w14:textId="77777777" w:rsidR="006D62AD" w:rsidRDefault="006D62AD">
            <w:pPr>
              <w:spacing w:after="0"/>
              <w:rPr>
                <w:sz w:val="28"/>
                <w:szCs w:val="28"/>
              </w:rPr>
            </w:pPr>
          </w:p>
          <w:p w14:paraId="6191EED8" w14:textId="77777777" w:rsidR="006D62AD" w:rsidRDefault="006D62AD">
            <w:pPr>
              <w:spacing w:after="0"/>
              <w:rPr>
                <w:sz w:val="28"/>
                <w:szCs w:val="28"/>
              </w:rPr>
            </w:pPr>
          </w:p>
          <w:p w14:paraId="3684B5BA" w14:textId="77777777" w:rsidR="006D62AD" w:rsidRDefault="006D62AD">
            <w:pPr>
              <w:rPr>
                <w:sz w:val="28"/>
                <w:szCs w:val="28"/>
              </w:rPr>
            </w:pPr>
          </w:p>
          <w:p w14:paraId="1C3C7192" w14:textId="77777777" w:rsidR="006D62AD" w:rsidRDefault="006D62AD">
            <w:pPr>
              <w:rPr>
                <w:sz w:val="28"/>
                <w:szCs w:val="28"/>
              </w:rPr>
            </w:pPr>
          </w:p>
        </w:tc>
      </w:tr>
    </w:tbl>
    <w:p w14:paraId="34925F38" w14:textId="77777777" w:rsidR="006D62AD" w:rsidRDefault="006D62AD"/>
    <w:p w14:paraId="6E5BAFB9" w14:textId="77777777" w:rsidR="006D62AD" w:rsidRDefault="00000000">
      <w:pPr>
        <w:keepNext/>
        <w:keepLines/>
        <w:spacing w:before="240" w:after="0" w:line="360" w:lineRule="auto"/>
        <w:rPr>
          <w:b/>
          <w:bCs/>
          <w:sz w:val="24"/>
          <w:szCs w:val="24"/>
        </w:rPr>
      </w:pPr>
      <w:bookmarkStart w:id="1" w:name="_1wd4dw7jagnc" w:colFirst="0" w:colLast="0"/>
      <w:bookmarkEnd w:id="1"/>
      <w:r>
        <w:rPr>
          <w:b/>
          <w:bCs/>
          <w:sz w:val="24"/>
          <w:szCs w:val="24"/>
        </w:rPr>
        <w:lastRenderedPageBreak/>
        <w:t>References</w:t>
      </w:r>
    </w:p>
    <w:p w14:paraId="4E7137E1" w14:textId="77777777" w:rsidR="006D62AD" w:rsidRDefault="00000000">
      <w:pPr>
        <w:spacing w:after="160" w:line="360" w:lineRule="auto"/>
        <w:rPr>
          <w:sz w:val="24"/>
          <w:szCs w:val="24"/>
        </w:rPr>
      </w:pPr>
      <w:r>
        <w:rPr>
          <w:sz w:val="24"/>
          <w:szCs w:val="24"/>
        </w:rPr>
        <w:t xml:space="preserve">Adamson, E. </w:t>
      </w:r>
      <w:r>
        <w:rPr>
          <w:i/>
          <w:iCs/>
          <w:sz w:val="24"/>
          <w:szCs w:val="24"/>
        </w:rPr>
        <w:t>et al.</w:t>
      </w:r>
      <w:r>
        <w:rPr>
          <w:sz w:val="24"/>
          <w:szCs w:val="24"/>
        </w:rPr>
        <w:t xml:space="preserve"> (2016) 'Exploring the experiences of patients attending day hospitals in the rural Scotland: capturing the patient’s voice,' </w:t>
      </w:r>
      <w:r>
        <w:rPr>
          <w:i/>
          <w:iCs/>
          <w:sz w:val="24"/>
          <w:szCs w:val="24"/>
        </w:rPr>
        <w:t>Journal of Clinical Nursing</w:t>
      </w:r>
      <w:r>
        <w:rPr>
          <w:sz w:val="24"/>
          <w:szCs w:val="24"/>
        </w:rPr>
        <w:t>, 26(19–20), pp. 3044–3055. https://doi.org/10.1111/jocn.13651.</w:t>
      </w:r>
    </w:p>
    <w:p w14:paraId="68798D53" w14:textId="77777777" w:rsidR="006D62AD" w:rsidRDefault="00000000">
      <w:pPr>
        <w:spacing w:after="160" w:line="360" w:lineRule="auto"/>
        <w:rPr>
          <w:sz w:val="24"/>
          <w:szCs w:val="24"/>
        </w:rPr>
      </w:pPr>
      <w:r>
        <w:rPr>
          <w:i/>
          <w:iCs/>
          <w:sz w:val="24"/>
          <w:szCs w:val="24"/>
        </w:rPr>
        <w:t>AGE UK’S NEW REPORT SHOWS ‘YOU ARE NOT ALONE IN FEELING LONELY’</w:t>
      </w:r>
      <w:r>
        <w:rPr>
          <w:sz w:val="24"/>
          <w:szCs w:val="24"/>
        </w:rPr>
        <w:t xml:space="preserve"> (no date). https://www.ageuk.org.uk/latest-press/articles/age-uks-new-report-shows-you-are-not-alone-in-feeling-lonely/ (Accessed: November 23, 2025).</w:t>
      </w:r>
    </w:p>
    <w:p w14:paraId="1A2F9A26" w14:textId="77777777" w:rsidR="006D62AD" w:rsidRDefault="00000000">
      <w:pPr>
        <w:spacing w:after="160" w:line="360" w:lineRule="auto"/>
        <w:rPr>
          <w:sz w:val="24"/>
          <w:szCs w:val="24"/>
        </w:rPr>
      </w:pPr>
      <w:r>
        <w:rPr>
          <w:sz w:val="24"/>
          <w:szCs w:val="24"/>
        </w:rPr>
        <w:t xml:space="preserve">Band-Winterstein, T., Doron, I. and Naim, S. (2011) 'Elder </w:t>
      </w:r>
      <w:proofErr w:type="spellStart"/>
      <w:r>
        <w:rPr>
          <w:sz w:val="24"/>
          <w:szCs w:val="24"/>
        </w:rPr>
        <w:t>self neglect</w:t>
      </w:r>
      <w:proofErr w:type="spellEnd"/>
      <w:r>
        <w:rPr>
          <w:sz w:val="24"/>
          <w:szCs w:val="24"/>
        </w:rPr>
        <w:t xml:space="preserve">: A geriatric syndrome or a life course </w:t>
      </w:r>
      <w:proofErr w:type="gramStart"/>
      <w:r>
        <w:rPr>
          <w:sz w:val="24"/>
          <w:szCs w:val="24"/>
        </w:rPr>
        <w:t>story?,</w:t>
      </w:r>
      <w:proofErr w:type="gramEnd"/>
      <w:r>
        <w:rPr>
          <w:sz w:val="24"/>
          <w:szCs w:val="24"/>
        </w:rPr>
        <w:t xml:space="preserve">' </w:t>
      </w:r>
      <w:r>
        <w:rPr>
          <w:i/>
          <w:iCs/>
          <w:sz w:val="24"/>
          <w:szCs w:val="24"/>
        </w:rPr>
        <w:t>Journal of Aging Studies</w:t>
      </w:r>
      <w:r>
        <w:rPr>
          <w:sz w:val="24"/>
          <w:szCs w:val="24"/>
        </w:rPr>
        <w:t>, 26(2), pp. 109–118. https://doi.org/10.1016/j.jaging.2011.10.001.</w:t>
      </w:r>
    </w:p>
    <w:p w14:paraId="2F3953FC" w14:textId="77777777" w:rsidR="006D62AD" w:rsidRDefault="00000000">
      <w:pPr>
        <w:spacing w:after="160" w:line="360" w:lineRule="auto"/>
        <w:rPr>
          <w:sz w:val="24"/>
          <w:szCs w:val="24"/>
        </w:rPr>
      </w:pPr>
      <w:r>
        <w:rPr>
          <w:sz w:val="24"/>
          <w:szCs w:val="24"/>
        </w:rPr>
        <w:t xml:space="preserve">Best, C. </w:t>
      </w:r>
      <w:r>
        <w:rPr>
          <w:i/>
          <w:iCs/>
          <w:sz w:val="24"/>
          <w:szCs w:val="24"/>
        </w:rPr>
        <w:t>et al.</w:t>
      </w:r>
      <w:r>
        <w:rPr>
          <w:sz w:val="24"/>
          <w:szCs w:val="24"/>
        </w:rPr>
        <w:t xml:space="preserve"> (2011) 'A survey of community exercise programmes for stroke survivors in Scotland,' </w:t>
      </w:r>
      <w:r>
        <w:rPr>
          <w:i/>
          <w:iCs/>
          <w:sz w:val="24"/>
          <w:szCs w:val="24"/>
        </w:rPr>
        <w:t>Health &amp; Social Care in the Community</w:t>
      </w:r>
      <w:r>
        <w:rPr>
          <w:sz w:val="24"/>
          <w:szCs w:val="24"/>
        </w:rPr>
        <w:t>, 20(4), pp. 400–411. https://doi.org/10.1111/j.1365-2524.2011.01043.x.</w:t>
      </w:r>
    </w:p>
    <w:p w14:paraId="4557BC85" w14:textId="77777777" w:rsidR="006D62AD" w:rsidRDefault="00000000">
      <w:pPr>
        <w:spacing w:after="160" w:line="360" w:lineRule="auto"/>
        <w:rPr>
          <w:sz w:val="24"/>
          <w:szCs w:val="24"/>
        </w:rPr>
      </w:pPr>
      <w:r>
        <w:rPr>
          <w:i/>
          <w:iCs/>
          <w:sz w:val="24"/>
          <w:szCs w:val="24"/>
        </w:rPr>
        <w:t>BPS Code of Human Research Ethics | BPS</w:t>
      </w:r>
      <w:r>
        <w:rPr>
          <w:sz w:val="24"/>
          <w:szCs w:val="24"/>
        </w:rPr>
        <w:t xml:space="preserve"> (no date). https://www.bps.org.uk/guideline/bps-code-human-research-ethics.</w:t>
      </w:r>
    </w:p>
    <w:p w14:paraId="51E80937" w14:textId="77777777" w:rsidR="006D62AD" w:rsidRDefault="00000000">
      <w:pPr>
        <w:spacing w:after="160" w:line="360" w:lineRule="auto"/>
        <w:rPr>
          <w:sz w:val="24"/>
          <w:szCs w:val="24"/>
        </w:rPr>
      </w:pPr>
      <w:r>
        <w:rPr>
          <w:sz w:val="24"/>
          <w:szCs w:val="24"/>
        </w:rPr>
        <w:t>Brownie, S. and Nancarrow, S. (2013) 'Effects of person-</w:t>
      </w:r>
      <w:proofErr w:type="spellStart"/>
      <w:r>
        <w:rPr>
          <w:sz w:val="24"/>
          <w:szCs w:val="24"/>
        </w:rPr>
        <w:t>centered</w:t>
      </w:r>
      <w:proofErr w:type="spellEnd"/>
      <w:r>
        <w:rPr>
          <w:sz w:val="24"/>
          <w:szCs w:val="24"/>
        </w:rPr>
        <w:t xml:space="preserve"> care on residents and staff in aged-care facilities: a systematic review,' </w:t>
      </w:r>
      <w:r>
        <w:rPr>
          <w:i/>
          <w:iCs/>
          <w:sz w:val="24"/>
          <w:szCs w:val="24"/>
        </w:rPr>
        <w:t>Clinical Interventions in Aging</w:t>
      </w:r>
      <w:r>
        <w:rPr>
          <w:sz w:val="24"/>
          <w:szCs w:val="24"/>
        </w:rPr>
        <w:t>, 8, p. 1. https://doi.org/10.2147/cia.s38589.</w:t>
      </w:r>
    </w:p>
    <w:p w14:paraId="4DB66716" w14:textId="77777777" w:rsidR="006D62AD" w:rsidRDefault="00000000">
      <w:pPr>
        <w:spacing w:after="160" w:line="360" w:lineRule="auto"/>
        <w:rPr>
          <w:sz w:val="24"/>
          <w:szCs w:val="24"/>
        </w:rPr>
      </w:pPr>
      <w:r>
        <w:rPr>
          <w:sz w:val="24"/>
          <w:szCs w:val="24"/>
        </w:rPr>
        <w:t xml:space="preserve">Burholt, V. and Scharf, T. (2013a) 'Poor health and loneliness in later life: The role of depressive symptoms, social resources, and rural environments,' </w:t>
      </w:r>
      <w:r>
        <w:rPr>
          <w:i/>
          <w:iCs/>
          <w:sz w:val="24"/>
          <w:szCs w:val="24"/>
        </w:rPr>
        <w:t>The Journals of Gerontology Series B</w:t>
      </w:r>
      <w:r>
        <w:rPr>
          <w:sz w:val="24"/>
          <w:szCs w:val="24"/>
        </w:rPr>
        <w:t>, 69(2), pp. 311–324. https://doi.org/10.1093/geronb/gbt121.</w:t>
      </w:r>
    </w:p>
    <w:p w14:paraId="699D843E" w14:textId="77777777" w:rsidR="006D62AD" w:rsidRDefault="00000000">
      <w:pPr>
        <w:spacing w:after="160" w:line="360" w:lineRule="auto"/>
        <w:rPr>
          <w:sz w:val="24"/>
          <w:szCs w:val="24"/>
        </w:rPr>
      </w:pPr>
      <w:r>
        <w:rPr>
          <w:sz w:val="24"/>
          <w:szCs w:val="24"/>
        </w:rPr>
        <w:t xml:space="preserve">Burholt, V. and Scharf, T. (2013b) 'Poor health and loneliness in later life: The role of depressive symptoms, social resources, and rural environments,' </w:t>
      </w:r>
      <w:r>
        <w:rPr>
          <w:i/>
          <w:iCs/>
          <w:sz w:val="24"/>
          <w:szCs w:val="24"/>
        </w:rPr>
        <w:t>The Journals of Gerontology Series B</w:t>
      </w:r>
      <w:r>
        <w:rPr>
          <w:sz w:val="24"/>
          <w:szCs w:val="24"/>
        </w:rPr>
        <w:t>, 69(2), pp. 311–324. https://doi.org/10.1093/geronb/gbt121.</w:t>
      </w:r>
    </w:p>
    <w:p w14:paraId="5AE722C7" w14:textId="77777777" w:rsidR="006D62AD" w:rsidRDefault="00000000">
      <w:pPr>
        <w:spacing w:after="160" w:line="360" w:lineRule="auto"/>
        <w:rPr>
          <w:sz w:val="24"/>
          <w:szCs w:val="24"/>
        </w:rPr>
      </w:pPr>
      <w:r>
        <w:rPr>
          <w:sz w:val="24"/>
          <w:szCs w:val="24"/>
        </w:rPr>
        <w:t>Cardiff, S., McCormack, B. and McCance, T. (2018) 'Person</w:t>
      </w:r>
      <w:r>
        <w:rPr>
          <w:rFonts w:ascii="Cambria Math" w:eastAsia="Cambria Math" w:hAnsi="Cambria Math" w:cs="Cambria Math"/>
          <w:sz w:val="24"/>
          <w:szCs w:val="24"/>
        </w:rPr>
        <w:t>‐</w:t>
      </w:r>
      <w:r>
        <w:rPr>
          <w:sz w:val="24"/>
          <w:szCs w:val="24"/>
        </w:rPr>
        <w:t xml:space="preserve">centred leadership: A relational approach to leadership derived through action research,' </w:t>
      </w:r>
      <w:r>
        <w:rPr>
          <w:i/>
          <w:iCs/>
          <w:sz w:val="24"/>
          <w:szCs w:val="24"/>
        </w:rPr>
        <w:t>Journal of Clinical Nursing</w:t>
      </w:r>
      <w:r>
        <w:rPr>
          <w:sz w:val="24"/>
          <w:szCs w:val="24"/>
        </w:rPr>
        <w:t>, 27(15–16), pp. 3056–3069. https://doi.org/10.1111/jocn.14492.</w:t>
      </w:r>
    </w:p>
    <w:p w14:paraId="702E077A" w14:textId="77777777" w:rsidR="006D62AD" w:rsidRDefault="00000000">
      <w:pPr>
        <w:spacing w:after="160" w:line="360" w:lineRule="auto"/>
        <w:rPr>
          <w:sz w:val="24"/>
          <w:szCs w:val="24"/>
        </w:rPr>
      </w:pPr>
      <w:r>
        <w:rPr>
          <w:sz w:val="24"/>
          <w:szCs w:val="24"/>
        </w:rPr>
        <w:t xml:space="preserve">Carstensen, L.L. (1992) 'Social and emotional patterns in adulthood: Support for socioemotional selectivity theory.,' </w:t>
      </w:r>
      <w:r>
        <w:rPr>
          <w:i/>
          <w:iCs/>
          <w:sz w:val="24"/>
          <w:szCs w:val="24"/>
        </w:rPr>
        <w:t>Psychology and Aging</w:t>
      </w:r>
      <w:r>
        <w:rPr>
          <w:sz w:val="24"/>
          <w:szCs w:val="24"/>
        </w:rPr>
        <w:t>, 7(3), pp. 331–338. https://doi.org/10.1037/0882-7974.7.3.331.</w:t>
      </w:r>
    </w:p>
    <w:p w14:paraId="30E1D5B2" w14:textId="77777777" w:rsidR="006D62AD" w:rsidRDefault="006D62AD"/>
    <w:sectPr w:rsidR="006D62AD">
      <w:headerReference w:type="default" r:id="rId10"/>
      <w:headerReference w:type="first" r:id="rId11"/>
      <w:pgSz w:w="15840" w:h="12240" w:orient="landscape"/>
      <w:pgMar w:top="720" w:right="720" w:bottom="576" w:left="720" w:header="432" w:footer="28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2D876" w14:textId="77777777" w:rsidR="00724352" w:rsidRDefault="00724352">
      <w:pPr>
        <w:spacing w:after="0"/>
      </w:pPr>
      <w:r>
        <w:separator/>
      </w:r>
    </w:p>
  </w:endnote>
  <w:endnote w:type="continuationSeparator" w:id="0">
    <w:p w14:paraId="4B1D88B4" w14:textId="77777777" w:rsidR="00724352" w:rsidRDefault="0072435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12D28F8F-1323-451E-AABF-2CB385913BE0}"/>
  </w:font>
  <w:font w:name="Cambria Math">
    <w:panose1 w:val="02040503050406030204"/>
    <w:charset w:val="00"/>
    <w:family w:val="roman"/>
    <w:pitch w:val="variable"/>
    <w:sig w:usb0="E00006FF" w:usb1="420024FF" w:usb2="02000000" w:usb3="00000000" w:csb0="0000019F" w:csb1="00000000"/>
    <w:embedRegular r:id="rId2" w:fontKey="{0D7327A4-92A5-4859-B759-756683700B12}"/>
  </w:font>
  <w:font w:name="Calibri">
    <w:panose1 w:val="020F0502020204030204"/>
    <w:charset w:val="00"/>
    <w:family w:val="swiss"/>
    <w:pitch w:val="variable"/>
    <w:sig w:usb0="E4002EFF" w:usb1="C200247B" w:usb2="00000009" w:usb3="00000000" w:csb0="000001FF" w:csb1="00000000"/>
    <w:embedRegular r:id="rId3" w:fontKey="{98FD0040-8E9E-47ED-ABE6-1EE1F5118387}"/>
  </w:font>
  <w:font w:name="Cambria">
    <w:panose1 w:val="02040503050406030204"/>
    <w:charset w:val="00"/>
    <w:family w:val="roman"/>
    <w:pitch w:val="variable"/>
    <w:sig w:usb0="E00006FF" w:usb1="420024FF" w:usb2="02000000" w:usb3="00000000" w:csb0="0000019F" w:csb1="00000000"/>
    <w:embedRegular r:id="rId4" w:fontKey="{0D6CC660-4155-4FD8-B6BC-5513F57FB15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70C27" w14:textId="77777777" w:rsidR="00724352" w:rsidRDefault="00724352">
      <w:pPr>
        <w:spacing w:after="0"/>
      </w:pPr>
      <w:r>
        <w:separator/>
      </w:r>
    </w:p>
  </w:footnote>
  <w:footnote w:type="continuationSeparator" w:id="0">
    <w:p w14:paraId="4F13315A" w14:textId="77777777" w:rsidR="00724352" w:rsidRDefault="0072435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87794" w14:textId="77777777" w:rsidR="006D62AD" w:rsidRDefault="006D62AD">
    <w:pPr>
      <w:pBdr>
        <w:top w:val="nil"/>
        <w:left w:val="nil"/>
        <w:bottom w:val="nil"/>
        <w:right w:val="nil"/>
        <w:between w:val="nil"/>
      </w:pBdr>
      <w:spacing w:after="0"/>
      <w:rPr>
        <w:color w:val="000000"/>
      </w:rPr>
    </w:pPr>
  </w:p>
  <w:p w14:paraId="707025AE" w14:textId="77777777" w:rsidR="006D62AD" w:rsidRDefault="006D62AD">
    <w:pPr>
      <w:pBdr>
        <w:top w:val="nil"/>
        <w:left w:val="nil"/>
        <w:bottom w:val="nil"/>
        <w:right w:val="nil"/>
        <w:between w:val="nil"/>
      </w:pBdr>
      <w:spacing w:after="0"/>
      <w:rPr>
        <w:color w:val="000000"/>
      </w:rPr>
    </w:pPr>
  </w:p>
  <w:p w14:paraId="196277E7" w14:textId="77777777" w:rsidR="006D62AD" w:rsidRDefault="00000000">
    <w:pPr>
      <w:pBdr>
        <w:top w:val="nil"/>
        <w:left w:val="nil"/>
        <w:bottom w:val="nil"/>
        <w:right w:val="nil"/>
        <w:between w:val="nil"/>
      </w:pBdr>
      <w:spacing w:after="0"/>
      <w:rPr>
        <w:color w:val="000000"/>
      </w:rPr>
    </w:pPr>
    <w:r>
      <w:rPr>
        <w:color w:val="000000"/>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17B25B" w14:textId="77777777" w:rsidR="006D62AD" w:rsidRDefault="006D62AD">
    <w:pPr>
      <w:pBdr>
        <w:top w:val="nil"/>
        <w:left w:val="nil"/>
        <w:bottom w:val="nil"/>
        <w:right w:val="nil"/>
        <w:between w:val="nil"/>
      </w:pBdr>
      <w:spacing w:after="0"/>
      <w:rPr>
        <w:color w:val="000000"/>
      </w:rPr>
    </w:pPr>
  </w:p>
  <w:p w14:paraId="41224FF5" w14:textId="77777777" w:rsidR="006D62AD" w:rsidRDefault="006D62AD">
    <w:pPr>
      <w:pBdr>
        <w:top w:val="nil"/>
        <w:left w:val="nil"/>
        <w:bottom w:val="nil"/>
        <w:right w:val="nil"/>
        <w:between w:val="nil"/>
      </w:pBdr>
      <w:spacing w:after="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C0BF9"/>
    <w:multiLevelType w:val="multilevel"/>
    <w:tmpl w:val="06D46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C876BE"/>
    <w:multiLevelType w:val="multilevel"/>
    <w:tmpl w:val="5EE88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8172659">
    <w:abstractNumId w:val="1"/>
  </w:num>
  <w:num w:numId="2" w16cid:durableId="1799058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2AD"/>
    <w:rsid w:val="006D62AD"/>
    <w:rsid w:val="00724352"/>
    <w:rsid w:val="00D67E1B"/>
    <w:rsid w:val="00FB4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5F0E3"/>
  <w15:docId w15:val="{BDC40404-A04B-43D6-BDB5-8E26D9469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after="240"/>
      <w:outlineLvl w:val="0"/>
    </w:pPr>
    <w:rPr>
      <w:b/>
      <w:bCs/>
      <w:color w:val="44546A"/>
      <w:sz w:val="28"/>
      <w:szCs w:val="28"/>
    </w:rPr>
  </w:style>
  <w:style w:type="paragraph" w:styleId="Heading2">
    <w:name w:val="heading 2"/>
    <w:basedOn w:val="Normal"/>
    <w:next w:val="Normal"/>
    <w:uiPriority w:val="9"/>
    <w:semiHidden/>
    <w:unhideWhenUsed/>
    <w:qFormat/>
    <w:pPr>
      <w:spacing w:after="240"/>
      <w:outlineLvl w:val="1"/>
    </w:pPr>
    <w:rPr>
      <w:b/>
      <w:bCs/>
      <w:color w:val="44546A"/>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after="240"/>
      <w:outlineLvl w:val="3"/>
    </w:pPr>
    <w:rPr>
      <w:b/>
      <w:bCs/>
      <w:color w:val="ED7D31"/>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200"/>
      <w:jc w:val="center"/>
    </w:pPr>
    <w:rPr>
      <w:b/>
      <w:bCs/>
      <w:color w:val="FFFFFF"/>
      <w:sz w:val="48"/>
      <w:szCs w:val="48"/>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42313">
      <w:bodyDiv w:val="1"/>
      <w:marLeft w:val="0"/>
      <w:marRight w:val="0"/>
      <w:marTop w:val="0"/>
      <w:marBottom w:val="0"/>
      <w:divBdr>
        <w:top w:val="none" w:sz="0" w:space="0" w:color="auto"/>
        <w:left w:val="none" w:sz="0" w:space="0" w:color="auto"/>
        <w:bottom w:val="none" w:sz="0" w:space="0" w:color="auto"/>
        <w:right w:val="none" w:sz="0" w:space="0" w:color="auto"/>
      </w:divBdr>
    </w:div>
    <w:div w:id="286158686">
      <w:bodyDiv w:val="1"/>
      <w:marLeft w:val="0"/>
      <w:marRight w:val="0"/>
      <w:marTop w:val="0"/>
      <w:marBottom w:val="0"/>
      <w:divBdr>
        <w:top w:val="none" w:sz="0" w:space="0" w:color="auto"/>
        <w:left w:val="none" w:sz="0" w:space="0" w:color="auto"/>
        <w:bottom w:val="none" w:sz="0" w:space="0" w:color="auto"/>
        <w:right w:val="none" w:sz="0" w:space="0" w:color="auto"/>
      </w:divBdr>
    </w:div>
    <w:div w:id="679237740">
      <w:bodyDiv w:val="1"/>
      <w:marLeft w:val="0"/>
      <w:marRight w:val="0"/>
      <w:marTop w:val="0"/>
      <w:marBottom w:val="0"/>
      <w:divBdr>
        <w:top w:val="none" w:sz="0" w:space="0" w:color="auto"/>
        <w:left w:val="none" w:sz="0" w:space="0" w:color="auto"/>
        <w:bottom w:val="none" w:sz="0" w:space="0" w:color="auto"/>
        <w:right w:val="none" w:sz="0" w:space="0" w:color="auto"/>
      </w:divBdr>
    </w:div>
    <w:div w:id="19167438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990</Words>
  <Characters>5648</Characters>
  <Application>Microsoft Office Word</Application>
  <DocSecurity>0</DocSecurity>
  <Lines>47</Lines>
  <Paragraphs>13</Paragraphs>
  <ScaleCrop>false</ScaleCrop>
  <Company/>
  <LinksUpToDate>false</LinksUpToDate>
  <CharactersWithSpaces>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Aamir Hanif (2234671)</cp:lastModifiedBy>
  <cp:revision>2</cp:revision>
  <dcterms:created xsi:type="dcterms:W3CDTF">2026-02-24T15:18:00Z</dcterms:created>
  <dcterms:modified xsi:type="dcterms:W3CDTF">2026-02-24T15:18:00Z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y fmtid="{D5CDD505-2E9C-101B-9397-08002B2CF9AE}" pid="3" name="MediaServiceKeyPoints">
    <vt:lpwstr>MediaServiceKeyPoints</vt:lpwstr>
  </property>
</Properties>
</file>