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6D16" w:rsidRDefault="00C56D16" w:rsidP="00C56D16">
      <w:pPr>
        <w:jc w:val="center"/>
        <w:rPr>
          <w:b/>
          <w:sz w:val="28"/>
          <w:u w:val="single"/>
        </w:rPr>
      </w:pPr>
      <w:r>
        <w:rPr>
          <w:b/>
          <w:sz w:val="28"/>
          <w:u w:val="single"/>
        </w:rPr>
        <w:t>Phoebe McGowan: 1600144</w:t>
      </w:r>
    </w:p>
    <w:p w:rsidR="00C56D16" w:rsidRDefault="00C56D16" w:rsidP="00C56D16">
      <w:pPr>
        <w:jc w:val="center"/>
        <w:rPr>
          <w:b/>
          <w:sz w:val="28"/>
          <w:u w:val="single"/>
        </w:rPr>
      </w:pPr>
      <w:r w:rsidRPr="0075371D">
        <w:rPr>
          <w:b/>
          <w:sz w:val="28"/>
          <w:u w:val="single"/>
        </w:rPr>
        <w:t>‘</w:t>
      </w:r>
      <w:r w:rsidRPr="0075371D">
        <w:rPr>
          <w:b/>
          <w:i/>
          <w:sz w:val="28"/>
          <w:u w:val="single"/>
        </w:rPr>
        <w:t xml:space="preserve">The </w:t>
      </w:r>
      <w:r w:rsidR="00B54A0F">
        <w:rPr>
          <w:b/>
          <w:i/>
          <w:sz w:val="28"/>
          <w:u w:val="single"/>
        </w:rPr>
        <w:t>Battle of Maldon</w:t>
      </w:r>
      <w:r w:rsidRPr="0075371D">
        <w:rPr>
          <w:b/>
          <w:sz w:val="28"/>
          <w:u w:val="single"/>
        </w:rPr>
        <w:t xml:space="preserve"> functions as a remedy for the trauma of defeat’. Discuss.</w:t>
      </w:r>
    </w:p>
    <w:p w:rsidR="00C56D16" w:rsidRDefault="00C56D16" w:rsidP="00C56D16">
      <w:pPr>
        <w:jc w:val="center"/>
        <w:rPr>
          <w:b/>
          <w:sz w:val="28"/>
          <w:u w:val="single"/>
        </w:rPr>
      </w:pPr>
      <w:r>
        <w:rPr>
          <w:b/>
          <w:sz w:val="28"/>
          <w:u w:val="single"/>
        </w:rPr>
        <w:t xml:space="preserve">Anglo-Saxon Heroic Literature: </w:t>
      </w:r>
      <w:r w:rsidRPr="0075371D">
        <w:rPr>
          <w:b/>
          <w:sz w:val="28"/>
          <w:u w:val="single"/>
        </w:rPr>
        <w:t>CSEN5006</w:t>
      </w:r>
    </w:p>
    <w:p w:rsidR="00C56D16" w:rsidRDefault="00C56D16"/>
    <w:p w:rsidR="000062BC" w:rsidRPr="00B461C5" w:rsidRDefault="00C56D16">
      <w:r>
        <w:t xml:space="preserve">The </w:t>
      </w:r>
      <w:r w:rsidR="00B54A0F">
        <w:rPr>
          <w:i/>
        </w:rPr>
        <w:t>Battle of Maldon</w:t>
      </w:r>
      <w:r>
        <w:t xml:space="preserve"> is a poem in the centre of historical debate amongst literary historians. Its functionality is controversial, though some believe that the poet wrote this literary piece as a remedy for the trauma of defeat. </w:t>
      </w:r>
      <w:r w:rsidR="00DD054A">
        <w:t xml:space="preserve">In this essay, I aim to be both analytical and thoughtful, looking into the use of language found within the composition, the historiography and literacy of the poem and the way in which it would have functioned in Anglo-Saxon society. </w:t>
      </w:r>
      <w:r>
        <w:t>Havelock states that ‘i</w:t>
      </w:r>
      <w:r w:rsidRPr="00C56D16">
        <w:t>n a world of primary orality…poetry performs a vital social function, that of preserving the tradition by which [the members of society] lived’</w:t>
      </w:r>
      <w:r>
        <w:t>.</w:t>
      </w:r>
      <w:r>
        <w:rPr>
          <w:rStyle w:val="FootnoteReference"/>
        </w:rPr>
        <w:footnoteReference w:id="1"/>
      </w:r>
      <w:r w:rsidR="00A62E18">
        <w:t xml:space="preserve"> Oral culture within Anglo-Saxon England, meant that poetry was critical in order for society to become an </w:t>
      </w:r>
      <w:r w:rsidR="00924B53">
        <w:t>interactive</w:t>
      </w:r>
      <w:r w:rsidR="00A62E18">
        <w:t xml:space="preserve"> framework in which stories were shared, gossip was spread and words were sung. This was not because the Anglo-Saxons were illiterate; rather that Anglo-Saxon society thrived as an oral community.</w:t>
      </w:r>
      <w:r>
        <w:t xml:space="preserve"> The functionality of poetry varies depending on the perspective </w:t>
      </w:r>
      <w:r w:rsidR="00924B53">
        <w:t>by</w:t>
      </w:r>
      <w:r>
        <w:t xml:space="preserve"> which it is read. </w:t>
      </w:r>
      <w:r w:rsidR="00924B53">
        <w:t>Poetry</w:t>
      </w:r>
      <w:r w:rsidR="0043045E">
        <w:t xml:space="preserve"> can be used to provoke emotions</w:t>
      </w:r>
      <w:r w:rsidR="00924B53">
        <w:t>, emit feelings and describe the senses (both internal and external). It is also a creative form which can be used to its advantage a</w:t>
      </w:r>
      <w:r w:rsidR="0024580A">
        <w:t>s</w:t>
      </w:r>
      <w:r w:rsidR="00924B53">
        <w:t xml:space="preserve"> analytical and thoughtful</w:t>
      </w:r>
      <w:r w:rsidR="00596E96">
        <w:t xml:space="preserve">; some standing as political statements. </w:t>
      </w:r>
      <w:r w:rsidR="00302DF9">
        <w:t>Anglo-Saxon poetry displays the ‘characteristic thought-patterns of oral composition’</w:t>
      </w:r>
      <w:r w:rsidR="005F7A83">
        <w:t>.</w:t>
      </w:r>
      <w:r w:rsidR="00302DF9">
        <w:rPr>
          <w:rStyle w:val="FootnoteReference"/>
        </w:rPr>
        <w:footnoteReference w:id="2"/>
      </w:r>
      <w:r w:rsidR="005F7A83">
        <w:t xml:space="preserve"> </w:t>
      </w:r>
      <w:r w:rsidR="0024580A">
        <w:t xml:space="preserve">The </w:t>
      </w:r>
      <w:r w:rsidR="00B54A0F">
        <w:rPr>
          <w:i/>
        </w:rPr>
        <w:t>Battle of Maldon</w:t>
      </w:r>
      <w:r w:rsidR="0024580A">
        <w:rPr>
          <w:i/>
        </w:rPr>
        <w:t xml:space="preserve"> </w:t>
      </w:r>
      <w:r w:rsidR="0024580A">
        <w:t>is a poem under debate due to its heavy mixture of both fact and fiction. This debate ‘has received historicist attention…whether or not that poem could be considered historically accurate…draws attention to the poem’s political and social ideology’</w:t>
      </w:r>
      <w:r w:rsidR="002D5212">
        <w:t>.</w:t>
      </w:r>
      <w:r w:rsidR="0071105A">
        <w:rPr>
          <w:rStyle w:val="FootnoteReference"/>
        </w:rPr>
        <w:footnoteReference w:id="3"/>
      </w:r>
      <w:r w:rsidR="000062BC">
        <w:t xml:space="preserve"> </w:t>
      </w:r>
      <w:r w:rsidR="00B461C5">
        <w:t xml:space="preserve">In this essay, I will be looking at the different possible functions of </w:t>
      </w:r>
      <w:r w:rsidR="00B461C5">
        <w:rPr>
          <w:i/>
        </w:rPr>
        <w:t>The Battle of Maldon</w:t>
      </w:r>
      <w:r w:rsidR="00B461C5">
        <w:t xml:space="preserve">, as well as taking into account the works of other historians, primary and secondary sources, as well as the language and literary techniques used throughout the poem itself. </w:t>
      </w:r>
    </w:p>
    <w:p w:rsidR="00BD3249" w:rsidRDefault="000062BC">
      <w:r>
        <w:t>The</w:t>
      </w:r>
      <w:r w:rsidR="00FB306E">
        <w:t xml:space="preserve"> debate on whether the poem is historical or fiction is</w:t>
      </w:r>
      <w:r w:rsidR="005F1177">
        <w:t xml:space="preserve"> important to highlight as it</w:t>
      </w:r>
      <w:r w:rsidR="00FB306E">
        <w:t xml:space="preserve"> impacts the focus of our enquiry throughout</w:t>
      </w:r>
      <w:r w:rsidR="005F1177">
        <w:t xml:space="preserve"> this essay and my</w:t>
      </w:r>
      <w:r w:rsidR="00FB306E">
        <w:t xml:space="preserve"> overall judgement. </w:t>
      </w:r>
      <w:r w:rsidR="0088373F">
        <w:t>It is evident within primary sources</w:t>
      </w:r>
      <w:r w:rsidR="002A579D">
        <w:t xml:space="preserve"> such as ‘T</w:t>
      </w:r>
      <w:r w:rsidR="0088373F">
        <w:t>he Anglo-Saxon Chronicle</w:t>
      </w:r>
      <w:r w:rsidR="002A579D">
        <w:t>’</w:t>
      </w:r>
      <w:r w:rsidR="0088373F">
        <w:t xml:space="preserve"> that this event did take place within Anglo-Saxon society. In this account, the year of the battle is stated at 991</w:t>
      </w:r>
      <w:r w:rsidR="00834B8F">
        <w:t xml:space="preserve"> AD</w:t>
      </w:r>
      <w:r w:rsidR="0088373F">
        <w:t xml:space="preserve"> and the ealdorman who died in the battle is named ‘Brihtnoth’</w:t>
      </w:r>
      <w:r w:rsidR="00834B8F">
        <w:t>,</w:t>
      </w:r>
      <w:r w:rsidR="0088373F">
        <w:t xml:space="preserve"> with the location stated as Maldon. It also states that ‘</w:t>
      </w:r>
      <w:r w:rsidR="0088373F" w:rsidRPr="0088373F">
        <w:t>in this year tribute was given to the Danes on the advice of Archbishop Sigeric, namely ten thousand pounds’.</w:t>
      </w:r>
      <w:r w:rsidR="0088373F">
        <w:rPr>
          <w:rStyle w:val="FootnoteReference"/>
        </w:rPr>
        <w:footnoteReference w:id="4"/>
      </w:r>
      <w:r w:rsidR="002A579D">
        <w:t xml:space="preserve"> These facts are found again within ‘The Life of Saint Oswald’, where the leaders name is once again reinforced, also mentioning the outcome of the battle: </w:t>
      </w:r>
      <w:r w:rsidR="002A579D" w:rsidRPr="002A579D">
        <w:t>‘An uncountable number of the Danes and our own men fell; Byrhtnoth himself fell and the rest fled’</w:t>
      </w:r>
      <w:r w:rsidR="002A579D">
        <w:t>.</w:t>
      </w:r>
      <w:r w:rsidR="002A579D">
        <w:rPr>
          <w:rStyle w:val="FootnoteReference"/>
        </w:rPr>
        <w:footnoteReference w:id="5"/>
      </w:r>
      <w:r w:rsidR="00E46A22">
        <w:t xml:space="preserve"> There is a tendency </w:t>
      </w:r>
      <w:r w:rsidR="00994315">
        <w:t xml:space="preserve">to take this poem as a source of documentation. However, it </w:t>
      </w:r>
      <w:r w:rsidR="00933FC0">
        <w:t>is more academic to view this as a combination of literary documentary</w:t>
      </w:r>
      <w:r w:rsidR="00646C80">
        <w:t>; some facts are included but are entangled with literary aspects. We can note the historical accuracy</w:t>
      </w:r>
      <w:r w:rsidR="00314DDD">
        <w:t xml:space="preserve"> which is further combined with fiction through the topic of Danegeld. An </w:t>
      </w:r>
      <w:r w:rsidR="00314DDD">
        <w:lastRenderedPageBreak/>
        <w:t>abundance of secondary sources state that the Viking’s collected a tax which was ‘a price made for peace’ and Malam furthers the impact that Danegeld had on Anglo-Saxon England by  providing figures that show that ‘</w:t>
      </w:r>
      <w:r w:rsidR="00314DDD" w:rsidRPr="00314DDD">
        <w:t>330,000 kilograms of silver were paid by the English in the 23 years between AD 991 and 1014’</w:t>
      </w:r>
      <w:r w:rsidR="00314DDD">
        <w:t>.</w:t>
      </w:r>
      <w:r w:rsidR="00314DDD">
        <w:rPr>
          <w:rStyle w:val="FootnoteReference"/>
        </w:rPr>
        <w:footnoteReference w:id="6"/>
      </w:r>
      <w:r w:rsidR="005A2978">
        <w:t xml:space="preserve"> The way in which</w:t>
      </w:r>
      <w:r w:rsidR="00FE4280">
        <w:t xml:space="preserve"> this</w:t>
      </w:r>
      <w:r w:rsidR="005A2978">
        <w:t xml:space="preserve"> fact was dramatised for literary purposes within the poem can be seen in Byrhtnoth’s response to the Danes demand for tribute.</w:t>
      </w:r>
      <w:r w:rsidR="005A2978" w:rsidRPr="005A2978">
        <w:t xml:space="preserve"> </w:t>
      </w:r>
      <w:r w:rsidR="005A2978">
        <w:t>‘</w:t>
      </w:r>
      <w:r w:rsidR="005A2978" w:rsidRPr="005A2978">
        <w:t>They will give you spears as tribute, t</w:t>
      </w:r>
      <w:r w:rsidR="005A2978">
        <w:t>he poisoned spear and old sword’.</w:t>
      </w:r>
      <w:r w:rsidR="005A2978">
        <w:rPr>
          <w:rStyle w:val="FootnoteReference"/>
        </w:rPr>
        <w:footnoteReference w:id="7"/>
      </w:r>
      <w:r w:rsidR="005A2978">
        <w:t xml:space="preserve"> The use of fact, entwined with literary </w:t>
      </w:r>
      <w:r w:rsidR="000F36DD">
        <w:t xml:space="preserve">techniques such as irony and sarcasm, provide an insight into how </w:t>
      </w:r>
      <w:r w:rsidR="00B461C5">
        <w:rPr>
          <w:i/>
        </w:rPr>
        <w:t>T</w:t>
      </w:r>
      <w:r w:rsidR="000F36DD" w:rsidRPr="00B461C5">
        <w:rPr>
          <w:i/>
        </w:rPr>
        <w:t xml:space="preserve">he </w:t>
      </w:r>
      <w:r w:rsidR="00B54A0F" w:rsidRPr="00B461C5">
        <w:rPr>
          <w:i/>
        </w:rPr>
        <w:t>Battle of Maldon</w:t>
      </w:r>
      <w:r w:rsidR="000F36DD">
        <w:t xml:space="preserve"> </w:t>
      </w:r>
      <w:r w:rsidR="003D1DD6">
        <w:t xml:space="preserve">is a poem that possesses a </w:t>
      </w:r>
      <w:r w:rsidR="000F36DD">
        <w:t>f</w:t>
      </w:r>
      <w:r w:rsidR="003D1DD6">
        <w:t xml:space="preserve">act versus fiction framework, which is </w:t>
      </w:r>
      <w:r w:rsidR="000F36DD">
        <w:t xml:space="preserve">questionable amongst historians. This is important to note, particularly for this essay, as the function of the poem may vary depending on the whether you explore it as a literary work or documentation. </w:t>
      </w:r>
    </w:p>
    <w:p w:rsidR="0096383D" w:rsidRPr="00B54A0F" w:rsidRDefault="00B54A0F" w:rsidP="0096383D">
      <w:r>
        <w:t>It is evident that the Anglo-Saxons suffered a traumatic defeat in the aftermath of the Battle of Maldon</w:t>
      </w:r>
      <w:r w:rsidR="00D93AF5">
        <w:t>. Keynes states that</w:t>
      </w:r>
      <w:r>
        <w:t xml:space="preserve"> ‘f</w:t>
      </w:r>
      <w:r w:rsidRPr="00B54A0F">
        <w:t>rom 991-1005, the English suffered the worst and most sustained Viking onsl</w:t>
      </w:r>
      <w:r>
        <w:t>aught in over a hundred years’</w:t>
      </w:r>
      <w:r>
        <w:rPr>
          <w:rStyle w:val="FootnoteReference"/>
        </w:rPr>
        <w:footnoteReference w:id="8"/>
      </w:r>
      <w:r w:rsidR="00D93AF5">
        <w:t xml:space="preserve"> and this trauma was worsened</w:t>
      </w:r>
      <w:r>
        <w:t xml:space="preserve"> by the abuse of the Danegeld</w:t>
      </w:r>
      <w:r w:rsidR="008A60AF">
        <w:t xml:space="preserve"> which followed</w:t>
      </w:r>
      <w:r>
        <w:t xml:space="preserve">. It could be said that the continuation of the Danegeld was part of the trauma that the Anglo-Saxons had to tolerate. </w:t>
      </w:r>
      <w:r w:rsidR="008A60AF">
        <w:t>In the year 1012, £48,000 was levied to pay tribute to the Danes, to avoid attack on the English coastline.</w:t>
      </w:r>
      <w:r w:rsidR="008A60AF">
        <w:rPr>
          <w:rStyle w:val="FootnoteReference"/>
        </w:rPr>
        <w:footnoteReference w:id="9"/>
      </w:r>
      <w:r w:rsidR="00EE5DA0">
        <w:t xml:space="preserve"> </w:t>
      </w:r>
      <w:r>
        <w:t xml:space="preserve">The definition of </w:t>
      </w:r>
      <w:r w:rsidR="00EE5DA0">
        <w:t>‘</w:t>
      </w:r>
      <w:r>
        <w:t>remedy</w:t>
      </w:r>
      <w:r w:rsidR="00EE5DA0">
        <w:t>’</w:t>
      </w:r>
      <w:r>
        <w:t xml:space="preserve"> is</w:t>
      </w:r>
      <w:r w:rsidR="00EE5DA0">
        <w:t>:</w:t>
      </w:r>
      <w:r>
        <w:t xml:space="preserve"> ‘</w:t>
      </w:r>
      <w:r w:rsidR="005D4430" w:rsidRPr="005D4430">
        <w:t>a medicine or treatment for a disease or injury’</w:t>
      </w:r>
      <w:r w:rsidR="005D4430">
        <w:t>.</w:t>
      </w:r>
      <w:r w:rsidR="005D4430">
        <w:rPr>
          <w:rStyle w:val="FootnoteReference"/>
        </w:rPr>
        <w:footnoteReference w:id="10"/>
      </w:r>
      <w:r w:rsidR="0076225A">
        <w:t xml:space="preserve"> We can infer from this that the</w:t>
      </w:r>
      <w:r w:rsidR="00BF7567">
        <w:t xml:space="preserve"> injury which Anglo-Saxon England susta</w:t>
      </w:r>
      <w:r w:rsidR="005D3EC2">
        <w:t>ined was the defeat at Maldon</w:t>
      </w:r>
      <w:r w:rsidR="0076225A">
        <w:t xml:space="preserve"> an</w:t>
      </w:r>
      <w:r w:rsidR="00A60A60">
        <w:t>d the action which the poem took</w:t>
      </w:r>
      <w:r w:rsidR="0076225A">
        <w:t xml:space="preserve"> in order to heal this defeat </w:t>
      </w:r>
      <w:r w:rsidR="00A60A60">
        <w:t xml:space="preserve">was to highlight the positive aspects </w:t>
      </w:r>
      <w:r w:rsidR="003E39C2">
        <w:t xml:space="preserve">and events </w:t>
      </w:r>
      <w:r w:rsidR="00A60A60">
        <w:t xml:space="preserve">which took place within the </w:t>
      </w:r>
      <w:r w:rsidR="00BF7567">
        <w:t>battle</w:t>
      </w:r>
      <w:r w:rsidR="00A60A60">
        <w:t>.</w:t>
      </w:r>
      <w:r w:rsidR="003E39C2">
        <w:t xml:space="preserve"> </w:t>
      </w:r>
      <w:r w:rsidR="004465D9">
        <w:t xml:space="preserve">There are two ways in which the poem tries to achieve this. The first is by writing the poem in memoriam to those who died in the battle; particularly to Byrhtnoth himself who led the English troops that day. It is said that the poem was composed as a memorial in ‘the </w:t>
      </w:r>
      <w:r w:rsidR="004465D9" w:rsidRPr="004465D9">
        <w:t>same spirit as Byrnthoth’s widow Ælflæd wove her husband’s deeds into the tapestry which she gave to Ely’</w:t>
      </w:r>
      <w:r w:rsidR="004465D9">
        <w:t>.</w:t>
      </w:r>
      <w:r w:rsidR="00C77AE9">
        <w:rPr>
          <w:rStyle w:val="FootnoteReference"/>
        </w:rPr>
        <w:footnoteReference w:id="11"/>
      </w:r>
      <w:r w:rsidR="004465D9">
        <w:t xml:space="preserve"> These contemporary actions in the aftermath of the battle, show a variety in the different art forms </w:t>
      </w:r>
      <w:r w:rsidR="005F1177">
        <w:t>through</w:t>
      </w:r>
      <w:r w:rsidR="004465D9">
        <w:t xml:space="preserve"> which remembrance</w:t>
      </w:r>
      <w:r w:rsidR="00C77AE9">
        <w:t xml:space="preserve"> can be portrayed; through the art of imagery and the art of words. Commemoration to those who fought can be seen throughout history and even in the modern day, with a statue of Byrhtnoth constructed and positioned on Maldon Promenade</w:t>
      </w:r>
      <w:r w:rsidR="006E6B74">
        <w:t xml:space="preserve"> in 2006</w:t>
      </w:r>
      <w:r w:rsidR="00C77AE9">
        <w:t>, looking over the causeway</w:t>
      </w:r>
      <w:r w:rsidR="00E60F99">
        <w:t xml:space="preserve"> which saw battle centuries </w:t>
      </w:r>
      <w:r w:rsidR="00C77AE9">
        <w:t>ago.</w:t>
      </w:r>
      <w:r w:rsidR="008A60AF">
        <w:rPr>
          <w:rStyle w:val="FootnoteReference"/>
        </w:rPr>
        <w:footnoteReference w:id="12"/>
      </w:r>
      <w:r w:rsidR="00C77AE9">
        <w:t xml:space="preserve"> </w:t>
      </w:r>
      <w:r w:rsidR="008C0C89">
        <w:t>The poem commemorates known individual</w:t>
      </w:r>
      <w:r w:rsidR="00F73A4C">
        <w:t>s</w:t>
      </w:r>
      <w:r w:rsidR="00D62C8C">
        <w:t xml:space="preserve"> who fought in the battle, although</w:t>
      </w:r>
      <w:r w:rsidR="008C0C89">
        <w:t xml:space="preserve"> whether these</w:t>
      </w:r>
      <w:r w:rsidR="00D62C8C">
        <w:t xml:space="preserve"> individuals</w:t>
      </w:r>
      <w:r w:rsidR="008C0C89">
        <w:t xml:space="preserve"> are fictional or factual is unknown. In the very first verse, the poet mentions different individuals, their status within society and their own motives to seek battle with the Danes. For example, the audience is introduced to the</w:t>
      </w:r>
      <w:r w:rsidR="00D62C8C">
        <w:t xml:space="preserve"> kinsman of Offa, learning </w:t>
      </w:r>
      <w:r w:rsidR="008C0C89">
        <w:t>that Eadric’s motive for war was his intent to support his leader</w:t>
      </w:r>
      <w:r w:rsidR="00D62C8C">
        <w:t>, Byrhtnoth</w:t>
      </w:r>
      <w:r w:rsidR="008C0C89">
        <w:t xml:space="preserve">. </w:t>
      </w:r>
      <w:r w:rsidR="00F859D4">
        <w:t>We also see</w:t>
      </w:r>
      <w:r w:rsidR="00D62C8C">
        <w:t xml:space="preserve"> other</w:t>
      </w:r>
      <w:r w:rsidR="00F859D4">
        <w:t xml:space="preserve"> individual</w:t>
      </w:r>
      <w:r w:rsidR="00D62C8C">
        <w:t>s’</w:t>
      </w:r>
      <w:r w:rsidR="00F859D4">
        <w:t xml:space="preserve"> involvement</w:t>
      </w:r>
      <w:r w:rsidR="00D62C8C">
        <w:t>s</w:t>
      </w:r>
      <w:r w:rsidR="00F859D4">
        <w:t xml:space="preserve"> within the battle when the poet describes the warrior Wulftsan, who held back the Vikings at the bridge along with two other men.</w:t>
      </w:r>
      <w:r w:rsidR="00D62C8C">
        <w:rPr>
          <w:rStyle w:val="FootnoteReference"/>
        </w:rPr>
        <w:footnoteReference w:id="13"/>
      </w:r>
      <w:r w:rsidR="00F859D4">
        <w:t xml:space="preserve"> By commemorating acts of bravery such as this, as well as portraying it in the same sense as we often see many heroic classical tales </w:t>
      </w:r>
      <w:r w:rsidR="00F859D4">
        <w:lastRenderedPageBreak/>
        <w:t xml:space="preserve">portrayed, the labelling of individuals means that they will be remembered amongst society and throughout generations for </w:t>
      </w:r>
      <w:r w:rsidR="006E6B74">
        <w:t>their brave and heroic actions</w:t>
      </w:r>
      <w:r w:rsidR="00A60A60">
        <w:t>.</w:t>
      </w:r>
      <w:r w:rsidR="006E6B74">
        <w:t xml:space="preserve"> </w:t>
      </w:r>
    </w:p>
    <w:p w:rsidR="002B540D" w:rsidRDefault="00BF1EBB" w:rsidP="00BB30FB">
      <w:pPr>
        <w:pStyle w:val="NoSpacing"/>
      </w:pPr>
      <w:r>
        <w:t xml:space="preserve">Another way in which the poet commemorates the lives of those who fought in the battle, is by glorifying the battle itself, displaying it as a </w:t>
      </w:r>
      <w:r w:rsidR="005F1177">
        <w:t>battle between good and evil</w:t>
      </w:r>
      <w:r>
        <w:t xml:space="preserve"> forces.</w:t>
      </w:r>
      <w:r w:rsidR="006E0FD6">
        <w:t xml:space="preserve"> The poet uses words such as ‘heathen warriors’ and ‘fiends of hell’ to distinguish </w:t>
      </w:r>
      <w:r w:rsidR="001051E3">
        <w:t xml:space="preserve">the </w:t>
      </w:r>
      <w:r w:rsidR="00947942">
        <w:t>difference between good and bad</w:t>
      </w:r>
      <w:r w:rsidR="001051E3">
        <w:t>.</w:t>
      </w:r>
      <w:r w:rsidR="006E0FD6">
        <w:rPr>
          <w:rStyle w:val="FootnoteReference"/>
        </w:rPr>
        <w:footnoteReference w:id="14"/>
      </w:r>
      <w:r>
        <w:t xml:space="preserve"> </w:t>
      </w:r>
      <w:r w:rsidR="00FB491E">
        <w:t xml:space="preserve">To be involved in such a battle would be honourable in the eyes of early medieval society. </w:t>
      </w:r>
      <w:r w:rsidR="00947942">
        <w:t>By relating the</w:t>
      </w:r>
      <w:r w:rsidR="008768C1">
        <w:t xml:space="preserve"> conflict to religion, the battle becomes more significant </w:t>
      </w:r>
      <w:r w:rsidR="001615B6">
        <w:t>a</w:t>
      </w:r>
      <w:r w:rsidR="002B540D">
        <w:t>nd the lives lost more important. ‘</w:t>
      </w:r>
      <w:r w:rsidR="002B540D" w:rsidRPr="002B540D">
        <w:t>By the 11th century almost every village</w:t>
      </w:r>
      <w:r w:rsidR="002B540D">
        <w:t xml:space="preserve"> [in Anglo-Saxon England]</w:t>
      </w:r>
      <w:r w:rsidR="002B540D" w:rsidRPr="002B540D">
        <w:t xml:space="preserve"> had a church of some kind</w:t>
      </w:r>
      <w:r w:rsidR="002B540D">
        <w:t>….and was central to people’s lives’.</w:t>
      </w:r>
      <w:r w:rsidR="002D42ED">
        <w:rPr>
          <w:rStyle w:val="FootnoteReference"/>
        </w:rPr>
        <w:footnoteReference w:id="15"/>
      </w:r>
    </w:p>
    <w:p w:rsidR="002B540D" w:rsidRDefault="002B540D" w:rsidP="00BB30FB">
      <w:pPr>
        <w:pStyle w:val="NoSpacing"/>
        <w:rPr>
          <w:highlight w:val="yellow"/>
        </w:rPr>
      </w:pPr>
    </w:p>
    <w:p w:rsidR="00BB30FB" w:rsidRDefault="00420D5E" w:rsidP="00BB30FB">
      <w:pPr>
        <w:pStyle w:val="NoSpacing"/>
      </w:pPr>
      <w:r>
        <w:t xml:space="preserve"> To </w:t>
      </w:r>
      <w:r w:rsidR="005F1177">
        <w:t>portray the battle as</w:t>
      </w:r>
      <w:r>
        <w:t xml:space="preserve"> a fight between Christian and Pagan forces makes it relatable to the majority audience of Anglo-Saxon England. By comparing individuals to saints, </w:t>
      </w:r>
      <w:r w:rsidR="002A17E2">
        <w:t xml:space="preserve">the poet </w:t>
      </w:r>
      <w:r>
        <w:t>glorifie</w:t>
      </w:r>
      <w:r w:rsidR="002A17E2">
        <w:t>s their actions in battle</w:t>
      </w:r>
      <w:r>
        <w:t xml:space="preserve"> and portrays th</w:t>
      </w:r>
      <w:r w:rsidR="002A17E2">
        <w:t xml:space="preserve">ose who took part </w:t>
      </w:r>
      <w:r>
        <w:t>a</w:t>
      </w:r>
      <w:r w:rsidR="002A17E2">
        <w:t>s</w:t>
      </w:r>
      <w:r>
        <w:t xml:space="preserve"> heroe</w:t>
      </w:r>
      <w:r w:rsidR="002A17E2">
        <w:t>s who fought against the pagan force. It does this by ‘merging…heroism and hagiography’.</w:t>
      </w:r>
      <w:r w:rsidR="002A17E2">
        <w:rPr>
          <w:rStyle w:val="FootnoteReference"/>
        </w:rPr>
        <w:footnoteReference w:id="16"/>
      </w:r>
      <w:r w:rsidR="00EB51E9">
        <w:t xml:space="preserve"> The poet makes the individuals and Byrhtnoth seem courageous and noble; fighting against a pagan force rather than giving in to the Danegeld like those before them </w:t>
      </w:r>
      <w:r w:rsidR="00FA0795">
        <w:t xml:space="preserve">had done </w:t>
      </w:r>
      <w:r w:rsidR="00EB51E9">
        <w:t>previously</w:t>
      </w:r>
      <w:r w:rsidR="00FA0795">
        <w:t xml:space="preserve">. </w:t>
      </w:r>
      <w:r w:rsidR="00EB51E9">
        <w:t>Throughout the poem, the poet is ‘c</w:t>
      </w:r>
      <w:r w:rsidR="00EB51E9" w:rsidRPr="00EB51E9">
        <w:t>ommitted to the cause of these particular English Christian men’</w:t>
      </w:r>
      <w:r w:rsidR="00FA5275">
        <w:rPr>
          <w:rStyle w:val="FootnoteReference"/>
        </w:rPr>
        <w:footnoteReference w:id="17"/>
      </w:r>
      <w:r w:rsidR="00EB51E9">
        <w:t xml:space="preserve">, </w:t>
      </w:r>
      <w:r w:rsidR="00B23C96">
        <w:t>creating a ‘rich blend of heroic and Christian impulse’</w:t>
      </w:r>
      <w:r w:rsidR="00D66413">
        <w:t>.</w:t>
      </w:r>
      <w:r w:rsidR="00D66413" w:rsidRPr="00D66413">
        <w:rPr>
          <w:rStyle w:val="FootnoteReference"/>
          <w:sz w:val="18"/>
        </w:rPr>
        <w:footnoteReference w:id="18"/>
      </w:r>
      <w:r w:rsidR="006A0CB0">
        <w:t xml:space="preserve"> </w:t>
      </w:r>
      <w:r w:rsidR="00407D01">
        <w:t xml:space="preserve">By glorifying </w:t>
      </w:r>
      <w:r w:rsidR="00055088">
        <w:t>individual’s</w:t>
      </w:r>
      <w:r w:rsidR="00407D01">
        <w:t xml:space="preserve"> actions, the poem focuses on </w:t>
      </w:r>
      <w:r w:rsidR="00223EA1">
        <w:t xml:space="preserve">highlighting the positive </w:t>
      </w:r>
      <w:r w:rsidR="009F27A1">
        <w:t xml:space="preserve">aspects of the battle; </w:t>
      </w:r>
      <w:r w:rsidR="00223EA1">
        <w:t>boosting the morale of the An</w:t>
      </w:r>
      <w:r w:rsidR="009F27A1">
        <w:t xml:space="preserve">glo-Saxons after their defeat and </w:t>
      </w:r>
      <w:r w:rsidR="00223EA1">
        <w:t>therefore</w:t>
      </w:r>
      <w:r w:rsidR="005F29E4">
        <w:t xml:space="preserve"> ho</w:t>
      </w:r>
      <w:r w:rsidR="00443C25">
        <w:t>lding remedy-</w:t>
      </w:r>
      <w:r w:rsidR="005F29E4">
        <w:t xml:space="preserve">like qualities. </w:t>
      </w:r>
      <w:r w:rsidR="00974B98">
        <w:t xml:space="preserve">The poet’s approval of Byrhtnoth’s </w:t>
      </w:r>
      <w:r w:rsidR="009F0A38">
        <w:t>actions, in which he stands up for the Christian faith,</w:t>
      </w:r>
      <w:r w:rsidR="009F0A38">
        <w:rPr>
          <w:rStyle w:val="FootnoteReference"/>
        </w:rPr>
        <w:footnoteReference w:id="19"/>
      </w:r>
      <w:r w:rsidR="009F0A38">
        <w:t xml:space="preserve"> </w:t>
      </w:r>
      <w:r w:rsidR="005F1177">
        <w:t>helps to glorify this epic saga</w:t>
      </w:r>
      <w:r w:rsidR="0015724C">
        <w:t xml:space="preserve">. </w:t>
      </w:r>
      <w:r w:rsidR="006D16A5">
        <w:t>There is an argument, particularly supported by historian Pearsall, that Byrhtnoth was seen after the event and throughout the poem as a glorified figure; ‘portrayed as a kind of martyrdom’.</w:t>
      </w:r>
      <w:r w:rsidR="003C60FB">
        <w:rPr>
          <w:rStyle w:val="FootnoteReference"/>
        </w:rPr>
        <w:footnoteReference w:id="20"/>
      </w:r>
      <w:r w:rsidR="006D16A5">
        <w:t xml:space="preserve"> A Martyr is someone who is kil</w:t>
      </w:r>
      <w:r w:rsidR="000471CC">
        <w:t xml:space="preserve">led for their religious </w:t>
      </w:r>
      <w:r w:rsidR="00BB30FB">
        <w:t>beliefs</w:t>
      </w:r>
      <w:r w:rsidR="000471CC">
        <w:t xml:space="preserve">. </w:t>
      </w:r>
      <w:r w:rsidR="00E733E7">
        <w:t>In Byrhtnoth’s last words before his death, he asks for safe passage into heaven; that he may go to a place of peace. He also fights till the very end for what he believed in.</w:t>
      </w:r>
      <w:r w:rsidR="00E733E7">
        <w:rPr>
          <w:rStyle w:val="FootnoteReference"/>
        </w:rPr>
        <w:footnoteReference w:id="21"/>
      </w:r>
      <w:r w:rsidR="00E733E7">
        <w:t xml:space="preserve"> This could be seen as a reason why he may be remembered as a martyr from then onwards. </w:t>
      </w:r>
      <w:r w:rsidR="000471CC">
        <w:t xml:space="preserve">Thomas Becket was displayed as a martyr </w:t>
      </w:r>
      <w:r w:rsidR="00173E3E">
        <w:t xml:space="preserve">after his death. By putting Byrhtnoth on the same glorified platform as the past Archbishop of Canterbury, </w:t>
      </w:r>
      <w:r w:rsidR="00E16488">
        <w:t xml:space="preserve">Byrhtnoth’s position is ultimately </w:t>
      </w:r>
      <w:r w:rsidR="006E70EB">
        <w:t xml:space="preserve">lifted to that of influential </w:t>
      </w:r>
      <w:r w:rsidR="00A13ABA">
        <w:t xml:space="preserve">religious martyrs. </w:t>
      </w:r>
      <w:r w:rsidR="00F053F1">
        <w:t xml:space="preserve">Even though there is a big difference </w:t>
      </w:r>
      <w:r w:rsidR="00B53D5C">
        <w:t>in the time period in which the two influential individuals were killed, this example is important to note as it shows how Byrhtnoth</w:t>
      </w:r>
      <w:r w:rsidR="007B2686">
        <w:t>’s</w:t>
      </w:r>
      <w:r w:rsidR="00B53D5C">
        <w:t xml:space="preserve"> reputation, at least amongst literary historians, is parallel to the iconic figure of Thomas Becket. </w:t>
      </w:r>
      <w:r w:rsidR="001555D3">
        <w:t>In Byrhtnoth’s speech to the Vi</w:t>
      </w:r>
      <w:r w:rsidR="006A0CE3">
        <w:t>k</w:t>
      </w:r>
      <w:r w:rsidR="001555D3">
        <w:t>ings</w:t>
      </w:r>
      <w:r w:rsidR="006A0CE3">
        <w:t>, he states that ‘</w:t>
      </w:r>
      <w:r w:rsidR="006A0CE3" w:rsidRPr="006A0CE3">
        <w:t>God alone knows who will be able to control this battle-field’.</w:t>
      </w:r>
      <w:r w:rsidR="00091895">
        <w:rPr>
          <w:rStyle w:val="FootnoteReference"/>
        </w:rPr>
        <w:footnoteReference w:id="22"/>
      </w:r>
      <w:r w:rsidR="009B1CE0">
        <w:t xml:space="preserve"> The audience would assume that the fate of God’s wish would allow the Anglo-Saxons to win, but they are defeated. </w:t>
      </w:r>
      <w:r w:rsidR="001216E9">
        <w:t>Even though this could be seen as a use of poetic irony, it portrays the battle as one completely i</w:t>
      </w:r>
      <w:r w:rsidR="00486FC6">
        <w:t>n</w:t>
      </w:r>
      <w:r w:rsidR="001216E9">
        <w:t xml:space="preserve"> the hands of God, </w:t>
      </w:r>
      <w:r w:rsidR="00EB276C">
        <w:t xml:space="preserve">relating back to the medieval culture as one heavily dominated by religion. </w:t>
      </w:r>
      <w:r w:rsidR="00977747">
        <w:t>By glorifying the actions and lives of the people involved within the battle,</w:t>
      </w:r>
      <w:r w:rsidR="007B2686">
        <w:t xml:space="preserve"> as well as their cause and motives for resistance towards the pagan force, </w:t>
      </w:r>
      <w:r w:rsidR="007B2686">
        <w:rPr>
          <w:i/>
        </w:rPr>
        <w:t>The Battle of Maldon</w:t>
      </w:r>
      <w:r w:rsidR="007B2686">
        <w:t xml:space="preserve"> holds significant healing qualities that act as</w:t>
      </w:r>
      <w:r w:rsidR="00167095">
        <w:t xml:space="preserve"> a remedy to the trauma of the defeat.</w:t>
      </w:r>
    </w:p>
    <w:p w:rsidR="00BB30FB" w:rsidRPr="00BB30FB" w:rsidRDefault="00BB30FB" w:rsidP="00BB30FB">
      <w:pPr>
        <w:pStyle w:val="NoSpacing"/>
      </w:pPr>
    </w:p>
    <w:p w:rsidR="007C1E9D" w:rsidRDefault="008C64B6" w:rsidP="008768C1">
      <w:r>
        <w:rPr>
          <w:i/>
        </w:rPr>
        <w:lastRenderedPageBreak/>
        <w:t>The Battle of Maldon</w:t>
      </w:r>
      <w:r>
        <w:t xml:space="preserve"> can als</w:t>
      </w:r>
      <w:r w:rsidR="00DD6777">
        <w:t xml:space="preserve">o be interpreted as a poem that </w:t>
      </w:r>
      <w:r>
        <w:t>function</w:t>
      </w:r>
      <w:r w:rsidR="00DD6777">
        <w:t xml:space="preserve">s </w:t>
      </w:r>
      <w:r>
        <w:t>as a manifesto</w:t>
      </w:r>
      <w:r w:rsidR="006204D8">
        <w:t xml:space="preserve"> on how to act when met with </w:t>
      </w:r>
      <w:r>
        <w:t>similar situations</w:t>
      </w:r>
      <w:r w:rsidR="00F23C3F">
        <w:t>,</w:t>
      </w:r>
      <w:r w:rsidR="006204D8">
        <w:t xml:space="preserve"> such as this interaction between the Danes and English</w:t>
      </w:r>
      <w:r w:rsidR="00F23C3F">
        <w:t>,</w:t>
      </w:r>
      <w:r>
        <w:t xml:space="preserve"> in the future. </w:t>
      </w:r>
      <w:r w:rsidR="00020FA7">
        <w:t xml:space="preserve">The ethics behind the poem are almost like a manifesto as to how the Anglo-Saxons should act in response to the idea of tribute. </w:t>
      </w:r>
      <w:r w:rsidR="00C96E3A">
        <w:t>Anglo-Saxon England had become increasingly shamed by the little resistance shown towards the Danegeld. The battle which this poem focuses on</w:t>
      </w:r>
      <w:r w:rsidR="007C1E9D">
        <w:t xml:space="preserve"> infers that the new response </w:t>
      </w:r>
      <w:r w:rsidR="004973A3">
        <w:t xml:space="preserve">and attitude </w:t>
      </w:r>
      <w:r w:rsidR="007C1E9D">
        <w:t xml:space="preserve">which the Anglo-Saxons are encouraged to follow from 991 </w:t>
      </w:r>
      <w:r w:rsidR="00B1387F">
        <w:t xml:space="preserve">AD </w:t>
      </w:r>
      <w:r w:rsidR="0041670C">
        <w:t>onwards, is the belief tha</w:t>
      </w:r>
      <w:r w:rsidR="007C1E9D">
        <w:t>t</w:t>
      </w:r>
      <w:r w:rsidR="0041670C">
        <w:t xml:space="preserve"> it</w:t>
      </w:r>
      <w:r w:rsidR="007C1E9D">
        <w:t xml:space="preserve"> is better to fight than be cowardly when faced with the idea of tribute. The statement made by Byrhtnoth in his res</w:t>
      </w:r>
      <w:r w:rsidR="006D5B83">
        <w:t>ponse to the Danes, stands as a blueprint</w:t>
      </w:r>
      <w:r w:rsidR="00ED097C">
        <w:t xml:space="preserve"> for how the English should respond in the future. </w:t>
      </w:r>
      <w:r w:rsidR="00ED097C" w:rsidRPr="00ED097C">
        <w:t>‘You must not get our treasure so easily; spear and sword, fierce battle, must settle the matter first before we give tribute’.</w:t>
      </w:r>
      <w:r w:rsidR="00ED097C">
        <w:rPr>
          <w:rStyle w:val="FootnoteReference"/>
        </w:rPr>
        <w:footnoteReference w:id="23"/>
      </w:r>
      <w:r w:rsidR="00F97683">
        <w:t xml:space="preserve"> </w:t>
      </w:r>
      <w:r w:rsidR="002239E9">
        <w:t xml:space="preserve">However, the poems impact in this sense, can be seen as rather limited. Large sums were continued to be paid to the Danes </w:t>
      </w:r>
      <w:r w:rsidR="00CC6427">
        <w:t xml:space="preserve">till the early 1000s, as noted previously. </w:t>
      </w:r>
      <w:r w:rsidR="009976EB">
        <w:t xml:space="preserve">The humiliation of a lack of response to the Danegeld, had a greater impact considering the shame and honour culture which the Anglo-Saxon society was subject to. The men featured in the poem would not be seen running away from the battle as they couldn’t handle the shame that </w:t>
      </w:r>
      <w:r w:rsidR="00A37AA1">
        <w:t xml:space="preserve">would be related to their name </w:t>
      </w:r>
      <w:r w:rsidR="009976EB">
        <w:t xml:space="preserve">throughout generations. Dunnere, ‘a simple churl’, who is part of a different social order, was still passive to this concept, refusing to abandon the wishes of his leader; to fight the pagan force. </w:t>
      </w:r>
      <w:r w:rsidR="00C82FEB">
        <w:t>‘</w:t>
      </w:r>
      <w:r w:rsidR="00C82FEB" w:rsidRPr="00C82FEB">
        <w:t>They all wished one of two things, to lose life or to avenge their beloved leader’.</w:t>
      </w:r>
      <w:r w:rsidR="0034179F">
        <w:rPr>
          <w:rStyle w:val="FootnoteReference"/>
        </w:rPr>
        <w:footnoteReference w:id="24"/>
      </w:r>
      <w:r w:rsidR="00C82FEB">
        <w:t xml:space="preserve"> This statement from the poem shows just how important the concept of shame within Anglo-Saxon </w:t>
      </w:r>
      <w:r w:rsidR="0059551A">
        <w:t xml:space="preserve">culture </w:t>
      </w:r>
      <w:r w:rsidR="0023125D">
        <w:t xml:space="preserve">was at this point; to be shamed would be to descend ones status within society. </w:t>
      </w:r>
      <w:r w:rsidR="00873509">
        <w:t>This concept is featured</w:t>
      </w:r>
      <w:r w:rsidR="00A145E6">
        <w:t xml:space="preserve"> with</w:t>
      </w:r>
      <w:r w:rsidR="002B249A">
        <w:t>in the Germanic</w:t>
      </w:r>
      <w:r w:rsidR="00873509">
        <w:t xml:space="preserve"> diaspora in</w:t>
      </w:r>
      <w:r w:rsidR="002B249A">
        <w:t xml:space="preserve"> antiquity, as se</w:t>
      </w:r>
      <w:r w:rsidR="00132BCF">
        <w:t>en within the works of Tacitus: ‘</w:t>
      </w:r>
      <w:r w:rsidR="00132BCF" w:rsidRPr="00132BCF">
        <w:t>to leave a battle after their chief has fallen means lifelong infamy and shame’</w:t>
      </w:r>
      <w:r w:rsidR="00132BCF">
        <w:t>.</w:t>
      </w:r>
      <w:r w:rsidR="008735D1">
        <w:rPr>
          <w:rStyle w:val="FootnoteReference"/>
        </w:rPr>
        <w:footnoteReference w:id="25"/>
      </w:r>
      <w:r w:rsidR="00132BCF">
        <w:t xml:space="preserve"> </w:t>
      </w:r>
      <w:r w:rsidR="00F23327">
        <w:t>The concept of abandonment and battle is very prom</w:t>
      </w:r>
      <w:r w:rsidR="000E1B9F">
        <w:t>inent within Anglo-Saxon culture, transitioning</w:t>
      </w:r>
      <w:r w:rsidR="00873509">
        <w:t xml:space="preserve"> from</w:t>
      </w:r>
      <w:r w:rsidR="000E1B9F">
        <w:t xml:space="preserve"> antiquity to the medieval era. </w:t>
      </w:r>
      <w:r w:rsidR="008202A0">
        <w:t xml:space="preserve">Knowing that shame and honour was so prevalent within the society at the time that this poem was written, the poet knew that what he wrote would have an impact when read by his audience. He portrays the men that abandoned the battle as cowardly, deserting their leader who was kind to them when they needed help. </w:t>
      </w:r>
      <w:r w:rsidR="00B2159D">
        <w:t>By naming them individually, they will remembered here onwards as the people who deserted the battle as they were too scared to fight without their le</w:t>
      </w:r>
      <w:r w:rsidR="007E3B4B">
        <w:t>ader. The poet goes on to mention how ‘</w:t>
      </w:r>
      <w:r w:rsidR="007E3B4B" w:rsidRPr="007E3B4B">
        <w:t xml:space="preserve">many </w:t>
      </w:r>
      <w:r w:rsidR="00E00EA7">
        <w:t xml:space="preserve">who </w:t>
      </w:r>
      <w:r w:rsidR="007E3B4B" w:rsidRPr="007E3B4B">
        <w:t>spoke bravely [in the meeting place] would not be prepared to endure hardship when it was necessary</w:t>
      </w:r>
      <w:r w:rsidR="007E3B4B">
        <w:t>’.</w:t>
      </w:r>
      <w:r w:rsidR="00DA7894">
        <w:rPr>
          <w:rStyle w:val="FootnoteReference"/>
        </w:rPr>
        <w:footnoteReference w:id="26"/>
      </w:r>
      <w:r w:rsidR="007E3B4B">
        <w:t xml:space="preserve"> The poet knew what he was doing when he mentioned this. It is evident that he was aware </w:t>
      </w:r>
      <w:r w:rsidR="00330FBF">
        <w:t xml:space="preserve">the impact this would have on their lives in a culture so heavily driven by the concept of shame and honour. </w:t>
      </w:r>
      <w:r w:rsidR="00E34AA7">
        <w:t>This poem functi</w:t>
      </w:r>
      <w:r w:rsidR="00F02B58">
        <w:t xml:space="preserve">ons as a manifesto; setting an example for how the Anglo-Saxons should act in the future when </w:t>
      </w:r>
      <w:r w:rsidR="00213192">
        <w:t xml:space="preserve">Danegeld is demanded. </w:t>
      </w:r>
    </w:p>
    <w:p w:rsidR="00506A14" w:rsidRDefault="00A145B2">
      <w:r>
        <w:t>This poem also functions as an</w:t>
      </w:r>
      <w:r w:rsidR="00F63266">
        <w:t xml:space="preserve"> inquiry; finding a b</w:t>
      </w:r>
      <w:r w:rsidR="00D2254E">
        <w:t>lame for the Anglo-Saxons defeat at Maldon.</w:t>
      </w:r>
      <w:r w:rsidR="00127F16">
        <w:t xml:space="preserve"> The poem was composed to piece together and make sense of why the Anglo-Saxons lost. It highlights two potential reasons for the victory of the Danes. The first is finding blame in the named individual mentioned earlier: Godric. It is said in the poem, that when he left the field ‘v</w:t>
      </w:r>
      <w:r w:rsidR="00127F16" w:rsidRPr="00F94FD8">
        <w:t>ery many men believed, when he rode away on the horse, on that proud horse, that it was our leader</w:t>
      </w:r>
      <w:r w:rsidR="00127F16">
        <w:t>’. The poet comes to a conclusion, either from his own involvement or from what he’s heard from others, that half of the army left when Godric left</w:t>
      </w:r>
      <w:r w:rsidR="00EE2E99">
        <w:t>,</w:t>
      </w:r>
      <w:r w:rsidR="00127F16">
        <w:t xml:space="preserve"> as they thought that he was their leader Byrhtnoth, unaware that he was actually killed on the battlefield. </w:t>
      </w:r>
      <w:r w:rsidR="009D4937">
        <w:t xml:space="preserve">It is hinted that the result of the defeat which the Anglo-Saxons experienced may not have taken place if Godric had </w:t>
      </w:r>
      <w:r w:rsidR="00EE2E99">
        <w:t xml:space="preserve">not </w:t>
      </w:r>
      <w:r w:rsidR="009D4937">
        <w:t xml:space="preserve">run from battle, as numbers </w:t>
      </w:r>
      <w:r w:rsidR="009D4937">
        <w:lastRenderedPageBreak/>
        <w:t xml:space="preserve">would be higher and would have been able to withstand the Viking army. </w:t>
      </w:r>
      <w:r w:rsidR="00C279C7">
        <w:t>It is important, also, to notice that there is another reason</w:t>
      </w:r>
      <w:r w:rsidR="003556A9">
        <w:t>,</w:t>
      </w:r>
      <w:r w:rsidR="00C279C7">
        <w:t xml:space="preserve"> subtly hinted at</w:t>
      </w:r>
      <w:r w:rsidR="003556A9">
        <w:t>,</w:t>
      </w:r>
      <w:r w:rsidR="00C279C7">
        <w:t xml:space="preserve"> fo</w:t>
      </w:r>
      <w:r w:rsidR="006A1407">
        <w:t xml:space="preserve">r the reason of Danish victory within this poem. </w:t>
      </w:r>
      <w:r w:rsidR="00FD1DD3">
        <w:t>It is noted that Byrhtnoth let the Vikings cross the bridge which the Anglo-Saxons were defending well, due to his ‘ofermode’, which is translated to ‘great zeal’, ‘overconfidence’ or ‘pride</w:t>
      </w:r>
      <w:r w:rsidR="00172838">
        <w:t>’,</w:t>
      </w:r>
      <w:r w:rsidR="00FD1DD3">
        <w:t xml:space="preserve"> depending on the translation.</w:t>
      </w:r>
      <w:r w:rsidR="001E683F">
        <w:t xml:space="preserve"> It could be said that the Battle of Maldon was lost as Byrhtnoth was guilty of the sin of pride, inviting the Danes a</w:t>
      </w:r>
      <w:r w:rsidR="001A6F52">
        <w:t xml:space="preserve">cross the bridge, even though they had an advantage point. </w:t>
      </w:r>
      <w:r w:rsidR="00520DCA">
        <w:t xml:space="preserve">This would explain why, in a battle where fate is decided by God, and in the Anglo-Saxons eyes, a Christian God, they suffered defeat. Defeat is commonly seen as a feature when sin has been </w:t>
      </w:r>
      <w:r w:rsidR="00CA5BB4">
        <w:t>committed</w:t>
      </w:r>
      <w:r w:rsidR="00520DCA">
        <w:t>.</w:t>
      </w:r>
      <w:r w:rsidR="00CA5BB4">
        <w:t xml:space="preserve"> </w:t>
      </w:r>
      <w:r w:rsidR="003E03E2">
        <w:t xml:space="preserve">The Battle of Maldon functions as a literary documentary, </w:t>
      </w:r>
      <w:r w:rsidR="00432ADF">
        <w:t>looking into events which inevitably led to the defeat of</w:t>
      </w:r>
      <w:r w:rsidR="00CA5BB4">
        <w:t xml:space="preserve"> the Anglo-Saxons, and finding a focus on which def</w:t>
      </w:r>
      <w:r w:rsidR="00873509">
        <w:t>e</w:t>
      </w:r>
      <w:r w:rsidR="00CA5BB4">
        <w:t xml:space="preserve">at can be blamed. </w:t>
      </w:r>
    </w:p>
    <w:p w:rsidR="00A27132" w:rsidRDefault="00A27132">
      <w:r>
        <w:t>To conclude, I b</w:t>
      </w:r>
      <w:r w:rsidR="00167EE7">
        <w:t>elieve</w:t>
      </w:r>
      <w:r>
        <w:t xml:space="preserve"> that </w:t>
      </w:r>
      <w:r>
        <w:rPr>
          <w:i/>
        </w:rPr>
        <w:t>The Battle of Maldon</w:t>
      </w:r>
      <w:r>
        <w:t xml:space="preserve"> does function as a remedy for the trauma of defeat, portraying those involved in the poem and their motives as heroic, either through their characteristics and actions or for their ‘martyrdom’ qualities. However, the poem itself also holds many other functions. Though not as prominent when first read, other functions include a bluepr</w:t>
      </w:r>
      <w:r w:rsidR="00D6544D">
        <w:t xml:space="preserve">int; to duplicate and utilise the actions and motives of those who fought when the Danes demand tribute again. </w:t>
      </w:r>
      <w:r w:rsidR="0069379D">
        <w:t xml:space="preserve">Along with this, the poem functions as an inquiry into how defeat was the fate for the Anglo-Saxons. However, primarily, the </w:t>
      </w:r>
      <w:r w:rsidR="004E2E16">
        <w:t xml:space="preserve">poem heals the crushed morale of the Anglo-Saxon community, making note to focus on the positive aspects of the battle </w:t>
      </w:r>
      <w:r w:rsidR="00DB29E0">
        <w:t xml:space="preserve">and glorifying the motives of those who took part in the battle themselves. </w:t>
      </w:r>
      <w:r w:rsidR="00327F9B">
        <w:t xml:space="preserve">The portrayal of Byrhtnoth, and his remembrance as a martyr, </w:t>
      </w:r>
      <w:r w:rsidR="00167EE7">
        <w:t>marks</w:t>
      </w:r>
      <w:r w:rsidR="00327F9B">
        <w:t xml:space="preserve"> the Battle of Maldon as an event fought between good and evil and, though the Danegeld continued to be in use </w:t>
      </w:r>
      <w:r w:rsidR="00167EE7">
        <w:t>for the next two hundred years</w:t>
      </w:r>
      <w:r w:rsidR="00327F9B">
        <w:t xml:space="preserve">, the resistance which the Vikings faced in 991 AD, </w:t>
      </w:r>
      <w:r w:rsidR="00C54F0E">
        <w:t xml:space="preserve">was one not seen before and therefore a notable and significant event in Anglo-Saxon history. </w:t>
      </w:r>
    </w:p>
    <w:p w:rsidR="00B33505" w:rsidRDefault="00B33505"/>
    <w:p w:rsidR="00B33505" w:rsidRPr="00B33505" w:rsidRDefault="00B33505" w:rsidP="00B33505">
      <w:pPr>
        <w:jc w:val="center"/>
        <w:rPr>
          <w:u w:val="single"/>
        </w:rPr>
      </w:pPr>
      <w:r w:rsidRPr="00B33505">
        <w:rPr>
          <w:u w:val="single"/>
        </w:rPr>
        <w:t>BIBLIOGRAPHY</w:t>
      </w:r>
    </w:p>
    <w:p w:rsidR="00B33505" w:rsidRPr="00B33505" w:rsidRDefault="00B33505" w:rsidP="00B33505">
      <w:pPr>
        <w:rPr>
          <w:u w:val="single"/>
        </w:rPr>
      </w:pPr>
      <w:r w:rsidRPr="00B33505">
        <w:rPr>
          <w:u w:val="single"/>
        </w:rPr>
        <w:t xml:space="preserve">PRIMARY SOURCE MATERIALS </w:t>
      </w:r>
    </w:p>
    <w:p w:rsidR="00B33505" w:rsidRPr="00B33505" w:rsidRDefault="00B33505" w:rsidP="00B33505">
      <w:r w:rsidRPr="00B33505">
        <w:rPr>
          <w:i/>
        </w:rPr>
        <w:t>The Anglo-Saxon Chronicles,</w:t>
      </w:r>
      <w:r w:rsidRPr="00B33505">
        <w:t xml:space="preserve"> trans. Anne Savage</w:t>
      </w:r>
      <w:r w:rsidRPr="00B33505">
        <w:rPr>
          <w:i/>
        </w:rPr>
        <w:t xml:space="preserve"> </w:t>
      </w:r>
      <w:r w:rsidRPr="00B33505">
        <w:t>(London: Phoebe Phillips Edition, 1983).</w:t>
      </w:r>
    </w:p>
    <w:p w:rsidR="00B33505" w:rsidRPr="00B33505" w:rsidRDefault="00B33505" w:rsidP="00B33505">
      <w:r w:rsidRPr="00B33505">
        <w:rPr>
          <w:i/>
        </w:rPr>
        <w:t>The Life of Saint Oswald</w:t>
      </w:r>
      <w:r w:rsidRPr="00B33505">
        <w:t xml:space="preserve">, James Raine, ed., </w:t>
      </w:r>
      <w:proofErr w:type="gramStart"/>
      <w:r w:rsidRPr="00B33505">
        <w:rPr>
          <w:i/>
        </w:rPr>
        <w:t>The</w:t>
      </w:r>
      <w:proofErr w:type="gramEnd"/>
      <w:r w:rsidRPr="00B33505">
        <w:rPr>
          <w:i/>
        </w:rPr>
        <w:t xml:space="preserve"> Historians of the Church of York and Its Archbishops</w:t>
      </w:r>
      <w:r w:rsidRPr="00B33505">
        <w:t xml:space="preserve"> (London, 1879).</w:t>
      </w:r>
    </w:p>
    <w:p w:rsidR="00B33505" w:rsidRPr="00B33505" w:rsidRDefault="00B33505" w:rsidP="00B33505">
      <w:r w:rsidRPr="00B33505">
        <w:t xml:space="preserve">Tacitus, </w:t>
      </w:r>
      <w:proofErr w:type="gramStart"/>
      <w:r w:rsidRPr="00B33505">
        <w:rPr>
          <w:i/>
        </w:rPr>
        <w:t>The</w:t>
      </w:r>
      <w:proofErr w:type="gramEnd"/>
      <w:r w:rsidRPr="00B33505">
        <w:rPr>
          <w:i/>
        </w:rPr>
        <w:t xml:space="preserve"> Agricola and The Germania, </w:t>
      </w:r>
      <w:r w:rsidRPr="00B33505">
        <w:t xml:space="preserve">trans. H. Mattingly (London: Penguin Book Ltd., 1970). </w:t>
      </w:r>
    </w:p>
    <w:p w:rsidR="00B33505" w:rsidRPr="00B33505" w:rsidRDefault="00B33505" w:rsidP="00B33505">
      <w:pPr>
        <w:rPr>
          <w:u w:val="single"/>
        </w:rPr>
      </w:pPr>
      <w:r w:rsidRPr="00B33505">
        <w:rPr>
          <w:u w:val="single"/>
        </w:rPr>
        <w:t>SECONDARY SOURCE MATERIALS</w:t>
      </w:r>
    </w:p>
    <w:p w:rsidR="00B33505" w:rsidRPr="00B33505" w:rsidRDefault="00B33505" w:rsidP="00B33505">
      <w:pPr>
        <w:spacing w:after="0" w:line="240" w:lineRule="auto"/>
        <w:rPr>
          <w:szCs w:val="20"/>
        </w:rPr>
      </w:pPr>
      <w:r w:rsidRPr="00B33505">
        <w:rPr>
          <w:szCs w:val="20"/>
        </w:rPr>
        <w:t>Anglo-Saxon Narrative Poetry Project, Battle of Maldon, Anglo-Saxon Narrative Poetry Project, Available from https://anglosaxonpoetry.camden.rutgers.edu/battle-of-maldon/, Accessed on [23/03/2018].</w:t>
      </w:r>
    </w:p>
    <w:p w:rsidR="00B33505" w:rsidRPr="00B33505" w:rsidRDefault="00B33505" w:rsidP="00B33505">
      <w:pPr>
        <w:spacing w:after="0" w:line="240" w:lineRule="auto"/>
        <w:rPr>
          <w:szCs w:val="20"/>
        </w:rPr>
      </w:pPr>
    </w:p>
    <w:p w:rsidR="00B33505" w:rsidRPr="00B33505" w:rsidRDefault="00B33505" w:rsidP="00B33505">
      <w:pPr>
        <w:rPr>
          <w:sz w:val="28"/>
        </w:rPr>
      </w:pPr>
      <w:r w:rsidRPr="00B33505">
        <w:rPr>
          <w:i/>
          <w:szCs w:val="20"/>
        </w:rPr>
        <w:t>Anglo-Saxon poetry</w:t>
      </w:r>
      <w:r w:rsidRPr="00B33505">
        <w:rPr>
          <w:szCs w:val="20"/>
        </w:rPr>
        <w:t>, ed. and trans. S.A.J. Bradley (London: Orion Publishing group, 1995</w:t>
      </w:r>
      <w:r w:rsidRPr="00B33505">
        <w:t>).</w:t>
      </w:r>
    </w:p>
    <w:p w:rsidR="00B33505" w:rsidRPr="00B33505" w:rsidRDefault="00B33505" w:rsidP="00B33505">
      <w:pPr>
        <w:spacing w:after="0" w:line="240" w:lineRule="auto"/>
        <w:rPr>
          <w:szCs w:val="20"/>
        </w:rPr>
      </w:pPr>
      <w:r w:rsidRPr="00B33505">
        <w:rPr>
          <w:szCs w:val="20"/>
        </w:rPr>
        <w:t>BBC, Anglo-Saxon and Norman society pre-1066, BBC, Available from https://www.bbc.com/education/guides/zq38tyc/revision/3, Accessed on [28/03/2018].</w:t>
      </w:r>
    </w:p>
    <w:p w:rsidR="00B33505" w:rsidRPr="00B33505" w:rsidRDefault="00B33505" w:rsidP="00B33505">
      <w:pPr>
        <w:spacing w:after="0" w:line="240" w:lineRule="auto"/>
        <w:rPr>
          <w:szCs w:val="20"/>
        </w:rPr>
      </w:pPr>
    </w:p>
    <w:p w:rsidR="00B33505" w:rsidRPr="00B33505" w:rsidRDefault="00B33505" w:rsidP="00B33505">
      <w:r w:rsidRPr="00B33505">
        <w:t>BBC, The Song of Maldon, BBC Essex, Available from http://www.bbc.co.uk/essex/content/articles/2009/06/29/battle_of_maldon_feature.shtml, Accessed on [23/03/2018].</w:t>
      </w:r>
    </w:p>
    <w:p w:rsidR="00B33505" w:rsidRPr="00B33505" w:rsidRDefault="00B33505" w:rsidP="00B33505">
      <w:pPr>
        <w:rPr>
          <w:sz w:val="28"/>
        </w:rPr>
      </w:pPr>
      <w:r w:rsidRPr="00B33505">
        <w:lastRenderedPageBreak/>
        <w:t xml:space="preserve">Fletcher, R., </w:t>
      </w:r>
      <w:proofErr w:type="gramStart"/>
      <w:r w:rsidRPr="00B33505">
        <w:rPr>
          <w:i/>
        </w:rPr>
        <w:t>Bloodfeud</w:t>
      </w:r>
      <w:proofErr w:type="gramEnd"/>
      <w:r w:rsidRPr="00B33505">
        <w:rPr>
          <w:i/>
        </w:rPr>
        <w:t>: Murder and Revenge in Anglo-Saxon England</w:t>
      </w:r>
      <w:r w:rsidRPr="00B33505">
        <w:t xml:space="preserve"> (London: Penguin Press, 2002).</w:t>
      </w:r>
    </w:p>
    <w:p w:rsidR="00B33505" w:rsidRPr="00B33505" w:rsidRDefault="00B33505" w:rsidP="00B33505">
      <w:r w:rsidRPr="00B33505">
        <w:t>Gordon, E., V., ‘</w:t>
      </w:r>
      <w:r w:rsidRPr="00B33505">
        <w:rPr>
          <w:i/>
        </w:rPr>
        <w:t>The Battle of Maldon’</w:t>
      </w:r>
      <w:r w:rsidRPr="00B33505">
        <w:t>, 2</w:t>
      </w:r>
      <w:r w:rsidRPr="00B33505">
        <w:rPr>
          <w:vertAlign w:val="superscript"/>
        </w:rPr>
        <w:t>nd</w:t>
      </w:r>
      <w:r w:rsidRPr="00B33505">
        <w:t xml:space="preserve"> ed. (New York: Appleton-Century-Croft, 1996).</w:t>
      </w:r>
    </w:p>
    <w:p w:rsidR="00B33505" w:rsidRPr="00B33505" w:rsidRDefault="00B33505" w:rsidP="00B33505">
      <w:r w:rsidRPr="00B33505">
        <w:rPr>
          <w:iCs/>
          <w:lang w:val="en"/>
        </w:rPr>
        <w:t xml:space="preserve">Havelock, E., </w:t>
      </w:r>
      <w:r w:rsidRPr="00B33505">
        <w:rPr>
          <w:i/>
          <w:iCs/>
          <w:lang w:val="en"/>
        </w:rPr>
        <w:t>The Muse Learns to Write: Reflections on Orality and Literacy from Antiquity to the Present</w:t>
      </w:r>
      <w:r w:rsidRPr="00B33505">
        <w:rPr>
          <w:lang w:val="en"/>
        </w:rPr>
        <w:t xml:space="preserve"> (New Haven: Yale University Press, 1986) in H. Magennis, </w:t>
      </w:r>
      <w:r w:rsidRPr="00B33505">
        <w:rPr>
          <w:i/>
          <w:lang w:val="en"/>
        </w:rPr>
        <w:t>The Cambridge Introduction to Anglo-Saxon Literature</w:t>
      </w:r>
      <w:r w:rsidRPr="00B33505">
        <w:rPr>
          <w:lang w:val="en"/>
        </w:rPr>
        <w:t xml:space="preserve"> (Cambridge: Cambridge University Press, 2011).</w:t>
      </w:r>
    </w:p>
    <w:p w:rsidR="00B33505" w:rsidRPr="00B33505" w:rsidRDefault="00B33505" w:rsidP="00B33505">
      <w:r w:rsidRPr="00B33505">
        <w:t xml:space="preserve">Keynes, S., ‘An abbot, an archbishop, and the Viking raids of 1006-7 and 1009-12’, in </w:t>
      </w:r>
      <w:r w:rsidRPr="00B33505">
        <w:rPr>
          <w:i/>
        </w:rPr>
        <w:t xml:space="preserve">Anglo-Saxon England, </w:t>
      </w:r>
      <w:r w:rsidRPr="00B33505">
        <w:t>ed. M. Godden and S. Keynes, Vol.36 (Cambridge: Cambridge University Press, 2007).</w:t>
      </w:r>
    </w:p>
    <w:p w:rsidR="00B33505" w:rsidRPr="00B33505" w:rsidRDefault="00B33505" w:rsidP="00B33505">
      <w:pPr>
        <w:rPr>
          <w:szCs w:val="18"/>
        </w:rPr>
      </w:pPr>
      <w:r w:rsidRPr="00B33505">
        <w:rPr>
          <w:szCs w:val="18"/>
        </w:rPr>
        <w:t xml:space="preserve">Malam, J., </w:t>
      </w:r>
      <w:r w:rsidRPr="00B33505">
        <w:rPr>
          <w:i/>
          <w:szCs w:val="18"/>
        </w:rPr>
        <w:t xml:space="preserve">Exploring the Vikings: Remains to be </w:t>
      </w:r>
      <w:proofErr w:type="gramStart"/>
      <w:r w:rsidRPr="00B33505">
        <w:rPr>
          <w:i/>
          <w:szCs w:val="18"/>
        </w:rPr>
        <w:t>Seen</w:t>
      </w:r>
      <w:proofErr w:type="gramEnd"/>
      <w:r w:rsidRPr="00B33505">
        <w:rPr>
          <w:i/>
          <w:szCs w:val="18"/>
        </w:rPr>
        <w:t xml:space="preserve"> </w:t>
      </w:r>
      <w:r w:rsidRPr="00B33505">
        <w:rPr>
          <w:szCs w:val="18"/>
        </w:rPr>
        <w:t>(London: Evans Brothers Limited, 2003).</w:t>
      </w:r>
    </w:p>
    <w:p w:rsidR="00B33505" w:rsidRPr="00B33505" w:rsidRDefault="00B33505" w:rsidP="00B33505">
      <w:pPr>
        <w:spacing w:after="0" w:line="240" w:lineRule="auto"/>
        <w:rPr>
          <w:szCs w:val="20"/>
        </w:rPr>
      </w:pPr>
      <w:r w:rsidRPr="00B33505">
        <w:rPr>
          <w:szCs w:val="20"/>
        </w:rPr>
        <w:t>Oxford dictionary, Remedy, Oxford Dictionary, Available from https://en.oxforddictionaries.com/definition/remedy, Accessed on [25/03/2018].</w:t>
      </w:r>
    </w:p>
    <w:p w:rsidR="00B33505" w:rsidRPr="00B33505" w:rsidRDefault="00B33505" w:rsidP="00B33505">
      <w:pPr>
        <w:spacing w:after="0" w:line="240" w:lineRule="auto"/>
        <w:rPr>
          <w:szCs w:val="20"/>
          <w:u w:val="single"/>
        </w:rPr>
      </w:pPr>
    </w:p>
    <w:p w:rsidR="00B33505" w:rsidRPr="00B33505" w:rsidRDefault="00B33505" w:rsidP="00B33505">
      <w:pPr>
        <w:spacing w:after="0" w:line="240" w:lineRule="auto"/>
        <w:rPr>
          <w:szCs w:val="20"/>
        </w:rPr>
      </w:pPr>
      <w:r w:rsidRPr="00B33505">
        <w:rPr>
          <w:szCs w:val="20"/>
        </w:rPr>
        <w:t xml:space="preserve">Pearsall, D., </w:t>
      </w:r>
      <w:r w:rsidRPr="00B33505">
        <w:rPr>
          <w:i/>
          <w:szCs w:val="20"/>
        </w:rPr>
        <w:t>Old English and Middle English Poetry,</w:t>
      </w:r>
      <w:r w:rsidRPr="00B33505">
        <w:rPr>
          <w:szCs w:val="20"/>
        </w:rPr>
        <w:t xml:space="preserve"> Vol.1, (London: Routledge, 1977).</w:t>
      </w:r>
    </w:p>
    <w:p w:rsidR="00B33505" w:rsidRPr="00B33505" w:rsidRDefault="00B33505" w:rsidP="00B33505">
      <w:pPr>
        <w:spacing w:after="0" w:line="240" w:lineRule="auto"/>
        <w:rPr>
          <w:szCs w:val="20"/>
        </w:rPr>
      </w:pPr>
    </w:p>
    <w:p w:rsidR="00B33505" w:rsidRPr="00B33505" w:rsidRDefault="00B33505" w:rsidP="00B33505">
      <w:r w:rsidRPr="00B33505">
        <w:t>The Battle of Maldon, Brithnoth, The Battle of Maldon, Available from http://www.battleofmaldon.org.uk/brithnoth.html, Accessed on [23/03/2018].</w:t>
      </w:r>
    </w:p>
    <w:p w:rsidR="00B33505" w:rsidRPr="00B33505" w:rsidRDefault="00B33505" w:rsidP="00B33505">
      <w:r w:rsidRPr="00B33505">
        <w:rPr>
          <w:i/>
        </w:rPr>
        <w:t xml:space="preserve">The Earliest English Poems, </w:t>
      </w:r>
      <w:r w:rsidRPr="00B33505">
        <w:t>trans. M. Alexander, 3</w:t>
      </w:r>
      <w:r w:rsidRPr="00B33505">
        <w:rPr>
          <w:vertAlign w:val="superscript"/>
        </w:rPr>
        <w:t>rd</w:t>
      </w:r>
      <w:r w:rsidRPr="00B33505">
        <w:t xml:space="preserve"> edn. (London: Penguin Books, 1991).</w:t>
      </w:r>
    </w:p>
    <w:p w:rsidR="00B33505" w:rsidRPr="00B33505" w:rsidRDefault="00B33505" w:rsidP="00B33505">
      <w:pPr>
        <w:rPr>
          <w:szCs w:val="20"/>
        </w:rPr>
      </w:pPr>
      <w:r w:rsidRPr="00B33505">
        <w:rPr>
          <w:szCs w:val="20"/>
        </w:rPr>
        <w:t xml:space="preserve">Thornbury, E., </w:t>
      </w:r>
      <w:r w:rsidRPr="00B33505">
        <w:rPr>
          <w:i/>
          <w:szCs w:val="20"/>
        </w:rPr>
        <w:t>Becoming a Poet in Anglo-Saxon England</w:t>
      </w:r>
      <w:r w:rsidRPr="00B33505">
        <w:rPr>
          <w:szCs w:val="20"/>
        </w:rPr>
        <w:t xml:space="preserve"> (Cambridge: Cambridge University Press, 2014).</w:t>
      </w:r>
    </w:p>
    <w:p w:rsidR="00B33505" w:rsidRPr="00B33505" w:rsidRDefault="00B33505" w:rsidP="00B33505">
      <w:r w:rsidRPr="00B33505">
        <w:rPr>
          <w:noProof/>
          <w:lang w:eastAsia="en-GB"/>
        </w:rPr>
        <w:t xml:space="preserve">Tyler, E., M., </w:t>
      </w:r>
      <w:r w:rsidRPr="00B33505">
        <w:rPr>
          <w:i/>
          <w:noProof/>
          <w:lang w:eastAsia="en-GB"/>
        </w:rPr>
        <w:t>Old English Poetics: The Aesthetics of the Familiar in Anglo-Saxon England</w:t>
      </w:r>
      <w:r w:rsidRPr="00B33505">
        <w:rPr>
          <w:noProof/>
          <w:lang w:eastAsia="en-GB"/>
        </w:rPr>
        <w:t xml:space="preserve"> (Chippenham: York Medieval Press, 2006).</w:t>
      </w:r>
    </w:p>
    <w:p w:rsidR="00B33505" w:rsidRPr="00B33505" w:rsidRDefault="00B33505" w:rsidP="00B33505">
      <w:r w:rsidRPr="00B33505">
        <w:t xml:space="preserve">Williams, G., </w:t>
      </w:r>
      <w:r w:rsidRPr="00B33505">
        <w:rPr>
          <w:i/>
        </w:rPr>
        <w:t xml:space="preserve">Viking Warrior vs Anglo-Saxon Warrior: England 865–1066 </w:t>
      </w:r>
      <w:r w:rsidRPr="00B33505">
        <w:t>(Oxford: Osprey Publishing Ltd., 2017).</w:t>
      </w:r>
    </w:p>
    <w:p w:rsidR="00B33505" w:rsidRPr="00A27132" w:rsidRDefault="00B33505"/>
    <w:sectPr w:rsidR="00B33505" w:rsidRPr="00A271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70DD" w:rsidRDefault="001970DD" w:rsidP="00C56D16">
      <w:pPr>
        <w:spacing w:after="0" w:line="240" w:lineRule="auto"/>
      </w:pPr>
      <w:r>
        <w:separator/>
      </w:r>
    </w:p>
  </w:endnote>
  <w:endnote w:type="continuationSeparator" w:id="0">
    <w:p w:rsidR="001970DD" w:rsidRDefault="001970DD" w:rsidP="00C56D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70DD" w:rsidRDefault="001970DD" w:rsidP="00C56D16">
      <w:pPr>
        <w:spacing w:after="0" w:line="240" w:lineRule="auto"/>
      </w:pPr>
      <w:r>
        <w:separator/>
      </w:r>
    </w:p>
  </w:footnote>
  <w:footnote w:type="continuationSeparator" w:id="0">
    <w:p w:rsidR="001970DD" w:rsidRDefault="001970DD" w:rsidP="00C56D16">
      <w:pPr>
        <w:spacing w:after="0" w:line="240" w:lineRule="auto"/>
      </w:pPr>
      <w:r>
        <w:continuationSeparator/>
      </w:r>
    </w:p>
  </w:footnote>
  <w:footnote w:id="1">
    <w:p w:rsidR="00C56D16" w:rsidRPr="00302DF9" w:rsidRDefault="00C56D16">
      <w:pPr>
        <w:pStyle w:val="FootnoteText"/>
        <w:rPr>
          <w:sz w:val="18"/>
          <w:lang w:val="en"/>
        </w:rPr>
      </w:pPr>
      <w:r w:rsidRPr="00C56D16">
        <w:rPr>
          <w:rStyle w:val="FootnoteReference"/>
          <w:sz w:val="18"/>
        </w:rPr>
        <w:footnoteRef/>
      </w:r>
      <w:r w:rsidRPr="00C56D16">
        <w:rPr>
          <w:sz w:val="18"/>
        </w:rPr>
        <w:t xml:space="preserve"> </w:t>
      </w:r>
      <w:r w:rsidRPr="00C56D16">
        <w:rPr>
          <w:iCs/>
          <w:sz w:val="18"/>
          <w:lang w:val="en"/>
        </w:rPr>
        <w:t xml:space="preserve">E. Havelock, </w:t>
      </w:r>
      <w:r w:rsidRPr="00C56D16">
        <w:rPr>
          <w:i/>
          <w:iCs/>
          <w:sz w:val="18"/>
          <w:lang w:val="en"/>
        </w:rPr>
        <w:t>The Muse Learns to Write: Reflections on Orality and Literacy from Antiquity to the Present</w:t>
      </w:r>
      <w:r w:rsidRPr="00C56D16">
        <w:rPr>
          <w:sz w:val="18"/>
          <w:lang w:val="en"/>
        </w:rPr>
        <w:t xml:space="preserve"> (New Haven: Yale University Press, 1986) in H. Magennis, </w:t>
      </w:r>
      <w:r w:rsidRPr="00C56D16">
        <w:rPr>
          <w:i/>
          <w:sz w:val="18"/>
          <w:lang w:val="en"/>
        </w:rPr>
        <w:t>The Cambridge Introduction to Anglo-Saxon Literature</w:t>
      </w:r>
      <w:r w:rsidRPr="00C56D16">
        <w:rPr>
          <w:sz w:val="18"/>
          <w:lang w:val="en"/>
        </w:rPr>
        <w:t xml:space="preserve"> (Cambridge: Cambridge University Press, 2011).</w:t>
      </w:r>
      <w:r>
        <w:rPr>
          <w:sz w:val="18"/>
          <w:lang w:val="en"/>
        </w:rPr>
        <w:t xml:space="preserve"> p.95. </w:t>
      </w:r>
    </w:p>
  </w:footnote>
  <w:footnote w:id="2">
    <w:p w:rsidR="00302DF9" w:rsidRPr="0071105A" w:rsidRDefault="00302DF9">
      <w:pPr>
        <w:pStyle w:val="FootnoteText"/>
        <w:rPr>
          <w:sz w:val="18"/>
          <w:u w:val="single"/>
        </w:rPr>
      </w:pPr>
      <w:r w:rsidRPr="00302DF9">
        <w:rPr>
          <w:rStyle w:val="FootnoteReference"/>
          <w:sz w:val="18"/>
        </w:rPr>
        <w:footnoteRef/>
      </w:r>
      <w:r w:rsidRPr="00302DF9">
        <w:rPr>
          <w:sz w:val="18"/>
        </w:rPr>
        <w:t xml:space="preserve"> E. Thornbury, </w:t>
      </w:r>
      <w:r w:rsidRPr="00302DF9">
        <w:rPr>
          <w:i/>
          <w:sz w:val="18"/>
        </w:rPr>
        <w:t>Becoming a Poet in Anglo-Saxon England</w:t>
      </w:r>
      <w:r w:rsidRPr="00302DF9">
        <w:rPr>
          <w:sz w:val="18"/>
        </w:rPr>
        <w:t xml:space="preserve"> (Cambridge: Cambridge University Press, 2014). </w:t>
      </w:r>
      <w:r>
        <w:rPr>
          <w:sz w:val="18"/>
        </w:rPr>
        <w:t xml:space="preserve">p.96. </w:t>
      </w:r>
    </w:p>
  </w:footnote>
  <w:footnote w:id="3">
    <w:p w:rsidR="0071105A" w:rsidRPr="0088373F" w:rsidRDefault="0071105A">
      <w:pPr>
        <w:pStyle w:val="FootnoteText"/>
        <w:rPr>
          <w:sz w:val="18"/>
          <w:u w:val="single"/>
        </w:rPr>
      </w:pPr>
      <w:r w:rsidRPr="0071105A">
        <w:rPr>
          <w:rStyle w:val="FootnoteReference"/>
          <w:sz w:val="18"/>
        </w:rPr>
        <w:footnoteRef/>
      </w:r>
      <w:r w:rsidRPr="0071105A">
        <w:rPr>
          <w:sz w:val="18"/>
        </w:rPr>
        <w:t xml:space="preserve"> E. M. Tyler, </w:t>
      </w:r>
      <w:r w:rsidRPr="0071105A">
        <w:rPr>
          <w:i/>
          <w:sz w:val="18"/>
        </w:rPr>
        <w:t>Old English Poetics: The Aesthetics of the Familiar in Anglo-Saxon England</w:t>
      </w:r>
      <w:r w:rsidRPr="0071105A">
        <w:rPr>
          <w:sz w:val="18"/>
        </w:rPr>
        <w:t xml:space="preserve"> (Chippenham: York Medieval Press, 2006).</w:t>
      </w:r>
      <w:r>
        <w:rPr>
          <w:sz w:val="18"/>
        </w:rPr>
        <w:t xml:space="preserve"> </w:t>
      </w:r>
    </w:p>
  </w:footnote>
  <w:footnote w:id="4">
    <w:p w:rsidR="0088373F" w:rsidRPr="002A579D" w:rsidRDefault="0088373F">
      <w:pPr>
        <w:pStyle w:val="FootnoteText"/>
        <w:rPr>
          <w:sz w:val="18"/>
          <w:u w:val="single"/>
        </w:rPr>
      </w:pPr>
      <w:r w:rsidRPr="0088373F">
        <w:rPr>
          <w:rStyle w:val="FootnoteReference"/>
          <w:sz w:val="18"/>
        </w:rPr>
        <w:footnoteRef/>
      </w:r>
      <w:r w:rsidRPr="0088373F">
        <w:rPr>
          <w:sz w:val="18"/>
        </w:rPr>
        <w:t xml:space="preserve"> </w:t>
      </w:r>
      <w:r w:rsidRPr="0088373F">
        <w:rPr>
          <w:i/>
          <w:sz w:val="18"/>
        </w:rPr>
        <w:t>The Anglo-Saxon Chronicles,</w:t>
      </w:r>
      <w:r w:rsidRPr="0088373F">
        <w:rPr>
          <w:sz w:val="18"/>
        </w:rPr>
        <w:t xml:space="preserve"> trans. Anne Savage</w:t>
      </w:r>
      <w:r w:rsidRPr="0088373F">
        <w:rPr>
          <w:i/>
          <w:sz w:val="18"/>
        </w:rPr>
        <w:t xml:space="preserve"> </w:t>
      </w:r>
      <w:r w:rsidRPr="0088373F">
        <w:rPr>
          <w:sz w:val="18"/>
        </w:rPr>
        <w:t>(London: Phoebe Phillips Edition, 1983).</w:t>
      </w:r>
    </w:p>
  </w:footnote>
  <w:footnote w:id="5">
    <w:p w:rsidR="002A579D" w:rsidRPr="00314DDD" w:rsidRDefault="002A579D">
      <w:pPr>
        <w:pStyle w:val="FootnoteText"/>
        <w:rPr>
          <w:sz w:val="18"/>
          <w:u w:val="single"/>
        </w:rPr>
      </w:pPr>
      <w:r w:rsidRPr="002A579D">
        <w:rPr>
          <w:rStyle w:val="FootnoteReference"/>
          <w:sz w:val="18"/>
        </w:rPr>
        <w:footnoteRef/>
      </w:r>
      <w:r w:rsidRPr="002A579D">
        <w:rPr>
          <w:sz w:val="18"/>
        </w:rPr>
        <w:t xml:space="preserve"> </w:t>
      </w:r>
      <w:r w:rsidRPr="002A579D">
        <w:rPr>
          <w:i/>
          <w:sz w:val="18"/>
        </w:rPr>
        <w:t>The Life of Saint Oswald</w:t>
      </w:r>
      <w:r w:rsidRPr="002A579D">
        <w:rPr>
          <w:sz w:val="18"/>
        </w:rPr>
        <w:t xml:space="preserve">, James Raine, ed., </w:t>
      </w:r>
      <w:proofErr w:type="gramStart"/>
      <w:r w:rsidRPr="002A579D">
        <w:rPr>
          <w:i/>
          <w:sz w:val="18"/>
        </w:rPr>
        <w:t>The</w:t>
      </w:r>
      <w:proofErr w:type="gramEnd"/>
      <w:r w:rsidRPr="002A579D">
        <w:rPr>
          <w:i/>
          <w:sz w:val="18"/>
        </w:rPr>
        <w:t xml:space="preserve"> Historians of the Church of York and Its Archbishops</w:t>
      </w:r>
      <w:r w:rsidRPr="002A579D">
        <w:rPr>
          <w:sz w:val="18"/>
        </w:rPr>
        <w:t xml:space="preserve"> (London, 1879).</w:t>
      </w:r>
    </w:p>
  </w:footnote>
  <w:footnote w:id="6">
    <w:p w:rsidR="00314DDD" w:rsidRPr="005A2978" w:rsidRDefault="00314DDD">
      <w:pPr>
        <w:pStyle w:val="FootnoteText"/>
        <w:rPr>
          <w:sz w:val="18"/>
          <w:u w:val="single"/>
        </w:rPr>
      </w:pPr>
      <w:r w:rsidRPr="00314DDD">
        <w:rPr>
          <w:rStyle w:val="FootnoteReference"/>
          <w:sz w:val="18"/>
        </w:rPr>
        <w:footnoteRef/>
      </w:r>
      <w:r w:rsidRPr="00314DDD">
        <w:rPr>
          <w:sz w:val="18"/>
        </w:rPr>
        <w:t xml:space="preserve"> J. Malam, </w:t>
      </w:r>
      <w:r w:rsidRPr="00314DDD">
        <w:rPr>
          <w:i/>
          <w:sz w:val="18"/>
        </w:rPr>
        <w:t xml:space="preserve">Exploring the Vikings: Remains to be </w:t>
      </w:r>
      <w:proofErr w:type="gramStart"/>
      <w:r w:rsidRPr="00314DDD">
        <w:rPr>
          <w:i/>
          <w:sz w:val="18"/>
        </w:rPr>
        <w:t>Seen</w:t>
      </w:r>
      <w:proofErr w:type="gramEnd"/>
      <w:r w:rsidRPr="00314DDD">
        <w:rPr>
          <w:i/>
          <w:sz w:val="18"/>
        </w:rPr>
        <w:t xml:space="preserve"> </w:t>
      </w:r>
      <w:r w:rsidRPr="00314DDD">
        <w:rPr>
          <w:sz w:val="18"/>
        </w:rPr>
        <w:t>(London: Evans Brothers Limited, 2003).</w:t>
      </w:r>
      <w:r w:rsidRPr="00314DDD">
        <w:rPr>
          <w:sz w:val="18"/>
          <w:u w:val="single"/>
        </w:rPr>
        <w:t xml:space="preserve"> </w:t>
      </w:r>
    </w:p>
  </w:footnote>
  <w:footnote w:id="7">
    <w:p w:rsidR="005A2978" w:rsidRPr="00D35E45" w:rsidRDefault="005A2978">
      <w:pPr>
        <w:pStyle w:val="FootnoteText"/>
        <w:rPr>
          <w:sz w:val="18"/>
          <w:u w:val="single"/>
        </w:rPr>
      </w:pPr>
      <w:r w:rsidRPr="005A2978">
        <w:rPr>
          <w:rStyle w:val="FootnoteReference"/>
          <w:sz w:val="18"/>
        </w:rPr>
        <w:footnoteRef/>
      </w:r>
      <w:r w:rsidRPr="005A2978">
        <w:rPr>
          <w:sz w:val="18"/>
        </w:rPr>
        <w:t xml:space="preserve"> Anglo-Saxon Narrative Poetry Project, </w:t>
      </w:r>
      <w:r w:rsidR="00B54A0F">
        <w:rPr>
          <w:sz w:val="18"/>
        </w:rPr>
        <w:t>Battle of Maldon</w:t>
      </w:r>
      <w:r w:rsidRPr="005A2978">
        <w:rPr>
          <w:sz w:val="18"/>
        </w:rPr>
        <w:t>, Anglo-Saxon Narrative Poetry Project, Available from https://anglosaxonpoetry.camden.rutgers.edu/battle-of-maldon/, Accessed on [23/03/2018].</w:t>
      </w:r>
      <w:r w:rsidRPr="005A2978">
        <w:rPr>
          <w:sz w:val="18"/>
          <w:u w:val="single"/>
        </w:rPr>
        <w:t xml:space="preserve"> </w:t>
      </w:r>
    </w:p>
  </w:footnote>
  <w:footnote w:id="8">
    <w:p w:rsidR="00B54A0F" w:rsidRPr="005D4430" w:rsidRDefault="00B54A0F">
      <w:pPr>
        <w:pStyle w:val="FootnoteText"/>
        <w:rPr>
          <w:sz w:val="18"/>
        </w:rPr>
      </w:pPr>
      <w:r w:rsidRPr="00B54A0F">
        <w:rPr>
          <w:rStyle w:val="FootnoteReference"/>
          <w:sz w:val="18"/>
        </w:rPr>
        <w:footnoteRef/>
      </w:r>
      <w:r w:rsidRPr="00B54A0F">
        <w:rPr>
          <w:sz w:val="18"/>
        </w:rPr>
        <w:t xml:space="preserve"> S. Keynes, ‘An abbot, an archbishop, and the Viking raids of 1006-7 and 1009-12’, in </w:t>
      </w:r>
      <w:r w:rsidRPr="00B54A0F">
        <w:rPr>
          <w:i/>
          <w:sz w:val="18"/>
        </w:rPr>
        <w:t xml:space="preserve">Anglo-Saxon England, </w:t>
      </w:r>
      <w:r w:rsidRPr="00B54A0F">
        <w:rPr>
          <w:sz w:val="18"/>
        </w:rPr>
        <w:t xml:space="preserve">ed. M. Godden and S. Keynes, Vol.36 (Cambridge: Cambridge University Press, 2007). </w:t>
      </w:r>
    </w:p>
  </w:footnote>
  <w:footnote w:id="9">
    <w:p w:rsidR="008A60AF" w:rsidRPr="008A60AF" w:rsidRDefault="008A60AF">
      <w:pPr>
        <w:pStyle w:val="FootnoteText"/>
        <w:rPr>
          <w:sz w:val="18"/>
        </w:rPr>
      </w:pPr>
      <w:r w:rsidRPr="008A60AF">
        <w:rPr>
          <w:rStyle w:val="FootnoteReference"/>
          <w:sz w:val="18"/>
        </w:rPr>
        <w:footnoteRef/>
      </w:r>
      <w:r w:rsidRPr="008A60AF">
        <w:rPr>
          <w:sz w:val="18"/>
        </w:rPr>
        <w:t xml:space="preserve"> R. Fletcher, </w:t>
      </w:r>
      <w:r w:rsidRPr="008A60AF">
        <w:rPr>
          <w:i/>
          <w:sz w:val="18"/>
        </w:rPr>
        <w:t>Bloodfeud: Murder and Revenge in Anglo-Saxon England</w:t>
      </w:r>
      <w:r>
        <w:rPr>
          <w:sz w:val="18"/>
        </w:rPr>
        <w:t xml:space="preserve"> (London: Penguin Press, 2002). p.99.</w:t>
      </w:r>
    </w:p>
  </w:footnote>
  <w:footnote w:id="10">
    <w:p w:rsidR="005D4430" w:rsidRPr="00C77AE9" w:rsidRDefault="005D4430">
      <w:pPr>
        <w:pStyle w:val="FootnoteText"/>
        <w:rPr>
          <w:sz w:val="18"/>
          <w:u w:val="single"/>
        </w:rPr>
      </w:pPr>
      <w:r w:rsidRPr="005D4430">
        <w:rPr>
          <w:rStyle w:val="FootnoteReference"/>
          <w:sz w:val="18"/>
        </w:rPr>
        <w:footnoteRef/>
      </w:r>
      <w:r w:rsidRPr="005D4430">
        <w:rPr>
          <w:sz w:val="18"/>
        </w:rPr>
        <w:t xml:space="preserve"> Oxford dictionary, Remedy, Oxford Dictionary, Available from https://en.oxforddictionaries.com/definition/remedy, Accessed on [25/03/2018].</w:t>
      </w:r>
      <w:r w:rsidRPr="005D4430">
        <w:rPr>
          <w:sz w:val="18"/>
          <w:u w:val="single"/>
        </w:rPr>
        <w:t xml:space="preserve"> </w:t>
      </w:r>
    </w:p>
  </w:footnote>
  <w:footnote w:id="11">
    <w:p w:rsidR="00C77AE9" w:rsidRPr="008A60AF" w:rsidRDefault="00C77AE9">
      <w:pPr>
        <w:pStyle w:val="FootnoteText"/>
        <w:rPr>
          <w:sz w:val="18"/>
        </w:rPr>
      </w:pPr>
      <w:r w:rsidRPr="00C77AE9">
        <w:rPr>
          <w:rStyle w:val="FootnoteReference"/>
          <w:sz w:val="18"/>
        </w:rPr>
        <w:footnoteRef/>
      </w:r>
      <w:r w:rsidRPr="00C77AE9">
        <w:rPr>
          <w:sz w:val="18"/>
        </w:rPr>
        <w:t xml:space="preserve"> E. V. Gordon, ‘</w:t>
      </w:r>
      <w:r w:rsidRPr="00C77AE9">
        <w:rPr>
          <w:i/>
          <w:sz w:val="18"/>
        </w:rPr>
        <w:t>The Battle of Maldon’</w:t>
      </w:r>
      <w:r w:rsidRPr="00C77AE9">
        <w:rPr>
          <w:sz w:val="18"/>
        </w:rPr>
        <w:t>, 2</w:t>
      </w:r>
      <w:r w:rsidRPr="00C77AE9">
        <w:rPr>
          <w:sz w:val="18"/>
          <w:vertAlign w:val="superscript"/>
        </w:rPr>
        <w:t>nd</w:t>
      </w:r>
      <w:r w:rsidRPr="00C77AE9">
        <w:rPr>
          <w:sz w:val="18"/>
        </w:rPr>
        <w:t xml:space="preserve"> ed. (New York: Appleton-Century-Croft, 1996). </w:t>
      </w:r>
    </w:p>
  </w:footnote>
  <w:footnote w:id="12">
    <w:p w:rsidR="008A60AF" w:rsidRPr="00D62C8C" w:rsidRDefault="008A60AF">
      <w:pPr>
        <w:pStyle w:val="FootnoteText"/>
        <w:rPr>
          <w:sz w:val="18"/>
          <w:u w:val="single"/>
        </w:rPr>
      </w:pPr>
      <w:r w:rsidRPr="008A60AF">
        <w:rPr>
          <w:rStyle w:val="FootnoteReference"/>
          <w:sz w:val="18"/>
        </w:rPr>
        <w:footnoteRef/>
      </w:r>
      <w:r w:rsidRPr="008A60AF">
        <w:rPr>
          <w:sz w:val="18"/>
        </w:rPr>
        <w:t xml:space="preserve"> BBC, The Song of Maldon, BBC Essex, Available from http://www.bbc.co.uk/essex/content/articles/2009/06/29/battle_of_maldon_feature.shtml, Accessed on [23/03/2018</w:t>
      </w:r>
      <w:r w:rsidRPr="008A60AF">
        <w:rPr>
          <w:sz w:val="18"/>
          <w:u w:val="single"/>
        </w:rPr>
        <w:t xml:space="preserve">]. </w:t>
      </w:r>
    </w:p>
  </w:footnote>
  <w:footnote w:id="13">
    <w:p w:rsidR="00D62C8C" w:rsidRPr="002A17E2" w:rsidRDefault="00D62C8C">
      <w:pPr>
        <w:pStyle w:val="FootnoteText"/>
        <w:rPr>
          <w:u w:val="single"/>
        </w:rPr>
      </w:pPr>
      <w:r w:rsidRPr="00D62C8C">
        <w:rPr>
          <w:rStyle w:val="FootnoteReference"/>
          <w:sz w:val="18"/>
        </w:rPr>
        <w:footnoteRef/>
      </w:r>
      <w:r w:rsidRPr="00D62C8C">
        <w:rPr>
          <w:sz w:val="18"/>
        </w:rPr>
        <w:t xml:space="preserve"> Anglo-Saxon Narrative Poetry Project, Battle of Maldon, Anglo-Saxon Narrative Poetry Project, Available from https://anglosaxonpoetry.camden.rutgers.edu/battle-of-maldon/, Accessed on [23/03/2018].</w:t>
      </w:r>
      <w:r w:rsidRPr="00D62C8C">
        <w:rPr>
          <w:sz w:val="18"/>
          <w:u w:val="single"/>
        </w:rPr>
        <w:t xml:space="preserve"> </w:t>
      </w:r>
    </w:p>
  </w:footnote>
  <w:footnote w:id="14">
    <w:p w:rsidR="006E0FD6" w:rsidRPr="00D35E45" w:rsidRDefault="006E0FD6">
      <w:pPr>
        <w:pStyle w:val="FootnoteText"/>
        <w:rPr>
          <w:u w:val="single"/>
        </w:rPr>
      </w:pPr>
      <w:r>
        <w:rPr>
          <w:rStyle w:val="FootnoteReference"/>
        </w:rPr>
        <w:footnoteRef/>
      </w:r>
      <w:r>
        <w:t xml:space="preserve"> </w:t>
      </w:r>
      <w:r w:rsidR="003359B8">
        <w:rPr>
          <w:sz w:val="18"/>
        </w:rPr>
        <w:t xml:space="preserve">Ibid. </w:t>
      </w:r>
      <w:bookmarkStart w:id="0" w:name="_GoBack"/>
      <w:bookmarkEnd w:id="0"/>
    </w:p>
  </w:footnote>
  <w:footnote w:id="15">
    <w:p w:rsidR="002D42ED" w:rsidRPr="002D42ED" w:rsidRDefault="002D42ED">
      <w:pPr>
        <w:pStyle w:val="FootnoteText"/>
        <w:rPr>
          <w:sz w:val="16"/>
        </w:rPr>
      </w:pPr>
      <w:r w:rsidRPr="002D42ED">
        <w:rPr>
          <w:rStyle w:val="FootnoteReference"/>
          <w:sz w:val="18"/>
        </w:rPr>
        <w:footnoteRef/>
      </w:r>
      <w:r w:rsidRPr="002D42ED">
        <w:rPr>
          <w:sz w:val="18"/>
        </w:rPr>
        <w:t xml:space="preserve"> </w:t>
      </w:r>
      <w:r>
        <w:rPr>
          <w:sz w:val="18"/>
        </w:rPr>
        <w:t xml:space="preserve">BBC, </w:t>
      </w:r>
      <w:r w:rsidRPr="002D42ED">
        <w:rPr>
          <w:sz w:val="18"/>
        </w:rPr>
        <w:t>Anglo-Saxon and Norman society pre-1066</w:t>
      </w:r>
      <w:r>
        <w:rPr>
          <w:sz w:val="18"/>
        </w:rPr>
        <w:t xml:space="preserve">, BBC, Available from </w:t>
      </w:r>
      <w:r w:rsidRPr="002D42ED">
        <w:rPr>
          <w:sz w:val="18"/>
        </w:rPr>
        <w:t>https://www.bbc.com/education/guides/zq38tyc/revision/3</w:t>
      </w:r>
      <w:r>
        <w:rPr>
          <w:sz w:val="18"/>
        </w:rPr>
        <w:t xml:space="preserve">, Accessed on [28/03/2018]. </w:t>
      </w:r>
    </w:p>
  </w:footnote>
  <w:footnote w:id="16">
    <w:p w:rsidR="002A17E2" w:rsidRPr="00A813BE" w:rsidRDefault="002A17E2">
      <w:pPr>
        <w:pStyle w:val="FootnoteText"/>
        <w:rPr>
          <w:sz w:val="18"/>
          <w:u w:val="single"/>
        </w:rPr>
      </w:pPr>
      <w:r w:rsidRPr="002A17E2">
        <w:rPr>
          <w:rStyle w:val="FootnoteReference"/>
          <w:sz w:val="18"/>
        </w:rPr>
        <w:footnoteRef/>
      </w:r>
      <w:r w:rsidRPr="002A17E2">
        <w:rPr>
          <w:sz w:val="18"/>
        </w:rPr>
        <w:t xml:space="preserve"> D. Pearsall, </w:t>
      </w:r>
      <w:r w:rsidRPr="002A17E2">
        <w:rPr>
          <w:i/>
          <w:sz w:val="18"/>
        </w:rPr>
        <w:t>Old English and Middle English Poetry,</w:t>
      </w:r>
      <w:r w:rsidRPr="002A17E2">
        <w:rPr>
          <w:sz w:val="18"/>
        </w:rPr>
        <w:t xml:space="preserve"> V</w:t>
      </w:r>
      <w:r>
        <w:rPr>
          <w:sz w:val="18"/>
        </w:rPr>
        <w:t xml:space="preserve">ol.1, (London: Routledge, 1977). p.61. </w:t>
      </w:r>
    </w:p>
  </w:footnote>
  <w:footnote w:id="17">
    <w:p w:rsidR="00FA5275" w:rsidRPr="00D66413" w:rsidRDefault="00FA5275">
      <w:pPr>
        <w:pStyle w:val="FootnoteText"/>
        <w:rPr>
          <w:sz w:val="18"/>
          <w:u w:val="single"/>
        </w:rPr>
      </w:pPr>
      <w:r w:rsidRPr="00FA5275">
        <w:rPr>
          <w:rStyle w:val="FootnoteReference"/>
          <w:sz w:val="18"/>
        </w:rPr>
        <w:footnoteRef/>
      </w:r>
      <w:r w:rsidRPr="00FA5275">
        <w:rPr>
          <w:sz w:val="18"/>
        </w:rPr>
        <w:t xml:space="preserve"> </w:t>
      </w:r>
      <w:r w:rsidRPr="00FA5275">
        <w:rPr>
          <w:i/>
          <w:sz w:val="18"/>
        </w:rPr>
        <w:t xml:space="preserve">The Earliest English Poems, </w:t>
      </w:r>
      <w:r w:rsidRPr="00FA5275">
        <w:rPr>
          <w:sz w:val="18"/>
        </w:rPr>
        <w:t>trans. M. Alexander, 3</w:t>
      </w:r>
      <w:r w:rsidRPr="00FA5275">
        <w:rPr>
          <w:sz w:val="18"/>
          <w:vertAlign w:val="superscript"/>
        </w:rPr>
        <w:t>rd</w:t>
      </w:r>
      <w:r w:rsidRPr="00FA5275">
        <w:rPr>
          <w:sz w:val="18"/>
        </w:rPr>
        <w:t xml:space="preserve"> edn. (London: Penguin Books, 1991). </w:t>
      </w:r>
      <w:r>
        <w:rPr>
          <w:sz w:val="18"/>
        </w:rPr>
        <w:t>p.112.</w:t>
      </w:r>
    </w:p>
  </w:footnote>
  <w:footnote w:id="18">
    <w:p w:rsidR="00D66413" w:rsidRPr="0015724C" w:rsidRDefault="00D66413" w:rsidP="00D66413">
      <w:pPr>
        <w:pStyle w:val="FootnoteText"/>
        <w:rPr>
          <w:sz w:val="18"/>
        </w:rPr>
      </w:pPr>
      <w:r w:rsidRPr="00D66413">
        <w:rPr>
          <w:rStyle w:val="FootnoteReference"/>
          <w:sz w:val="18"/>
        </w:rPr>
        <w:footnoteRef/>
      </w:r>
      <w:r w:rsidRPr="00D66413">
        <w:rPr>
          <w:sz w:val="18"/>
        </w:rPr>
        <w:t xml:space="preserve"> D. Pearsall, </w:t>
      </w:r>
      <w:r w:rsidRPr="00D66413">
        <w:rPr>
          <w:i/>
          <w:sz w:val="18"/>
        </w:rPr>
        <w:t>Old English and Middle English Poetry,</w:t>
      </w:r>
      <w:r w:rsidRPr="00D66413">
        <w:rPr>
          <w:sz w:val="18"/>
        </w:rPr>
        <w:t xml:space="preserve"> Vol</w:t>
      </w:r>
      <w:r>
        <w:rPr>
          <w:sz w:val="18"/>
        </w:rPr>
        <w:t xml:space="preserve">.1, (London: Routledge, 1977). p.62. </w:t>
      </w:r>
    </w:p>
  </w:footnote>
  <w:footnote w:id="19">
    <w:p w:rsidR="009F0A38" w:rsidRPr="003C60FB" w:rsidRDefault="009F0A38">
      <w:pPr>
        <w:pStyle w:val="FootnoteText"/>
        <w:rPr>
          <w:sz w:val="18"/>
        </w:rPr>
      </w:pPr>
      <w:r w:rsidRPr="0015724C">
        <w:rPr>
          <w:rStyle w:val="FootnoteReference"/>
          <w:sz w:val="18"/>
        </w:rPr>
        <w:footnoteRef/>
      </w:r>
      <w:r w:rsidRPr="0015724C">
        <w:rPr>
          <w:sz w:val="18"/>
        </w:rPr>
        <w:t xml:space="preserve"> </w:t>
      </w:r>
      <w:r w:rsidR="0015724C" w:rsidRPr="0015724C">
        <w:rPr>
          <w:i/>
          <w:sz w:val="18"/>
        </w:rPr>
        <w:t>Anglo-Saxon poetry</w:t>
      </w:r>
      <w:r w:rsidR="0015724C" w:rsidRPr="0015724C">
        <w:rPr>
          <w:sz w:val="18"/>
        </w:rPr>
        <w:t>, ed. and trans. S.A.J. Bradley (London: Orion Publishing group, 1995</w:t>
      </w:r>
      <w:r w:rsidR="0015724C">
        <w:rPr>
          <w:sz w:val="18"/>
        </w:rPr>
        <w:t>). p.5.</w:t>
      </w:r>
    </w:p>
  </w:footnote>
  <w:footnote w:id="20">
    <w:p w:rsidR="003C60FB" w:rsidRPr="00091895" w:rsidRDefault="003C60FB">
      <w:pPr>
        <w:pStyle w:val="FootnoteText"/>
        <w:rPr>
          <w:sz w:val="18"/>
          <w:u w:val="single"/>
        </w:rPr>
      </w:pPr>
      <w:r w:rsidRPr="003C60FB">
        <w:rPr>
          <w:rStyle w:val="FootnoteReference"/>
          <w:sz w:val="18"/>
        </w:rPr>
        <w:footnoteRef/>
      </w:r>
      <w:r w:rsidRPr="003C60FB">
        <w:rPr>
          <w:sz w:val="18"/>
        </w:rPr>
        <w:t xml:space="preserve"> D. Pearsall, </w:t>
      </w:r>
      <w:r w:rsidRPr="003C60FB">
        <w:rPr>
          <w:i/>
          <w:sz w:val="18"/>
        </w:rPr>
        <w:t>Old English and Middle English Poetry,</w:t>
      </w:r>
      <w:r w:rsidRPr="003C60FB">
        <w:rPr>
          <w:sz w:val="18"/>
        </w:rPr>
        <w:t xml:space="preserve"> Vol.1, (London: Routledge</w:t>
      </w:r>
      <w:r>
        <w:rPr>
          <w:sz w:val="18"/>
        </w:rPr>
        <w:t xml:space="preserve">, 1977).p.61. </w:t>
      </w:r>
    </w:p>
  </w:footnote>
  <w:footnote w:id="21">
    <w:p w:rsidR="00E733E7" w:rsidRPr="00E733E7" w:rsidRDefault="00E733E7">
      <w:pPr>
        <w:pStyle w:val="FootnoteText"/>
        <w:rPr>
          <w:u w:val="single"/>
        </w:rPr>
      </w:pPr>
      <w:r w:rsidRPr="00E733E7">
        <w:rPr>
          <w:rStyle w:val="FootnoteReference"/>
          <w:sz w:val="18"/>
        </w:rPr>
        <w:footnoteRef/>
      </w:r>
      <w:r w:rsidRPr="00E733E7">
        <w:rPr>
          <w:sz w:val="18"/>
        </w:rPr>
        <w:t xml:space="preserve"> </w:t>
      </w:r>
      <w:r w:rsidRPr="00D62C8C">
        <w:rPr>
          <w:sz w:val="18"/>
        </w:rPr>
        <w:t>Anglo-Saxon Narrative Poetry Project, Battle of Maldon, Anglo-Saxon Narrative Poetry Project, Available from https://anglosaxonpoetry.camden.rutgers.edu/battle-of-maldon/, Accessed on [23/03/2018].</w:t>
      </w:r>
      <w:r w:rsidRPr="00D62C8C">
        <w:rPr>
          <w:sz w:val="18"/>
          <w:u w:val="single"/>
        </w:rPr>
        <w:t xml:space="preserve"> </w:t>
      </w:r>
    </w:p>
  </w:footnote>
  <w:footnote w:id="22">
    <w:p w:rsidR="00091895" w:rsidRPr="003359B8" w:rsidRDefault="00091895">
      <w:pPr>
        <w:pStyle w:val="FootnoteText"/>
        <w:rPr>
          <w:u w:val="single"/>
        </w:rPr>
      </w:pPr>
      <w:r w:rsidRPr="00091895">
        <w:rPr>
          <w:rStyle w:val="FootnoteReference"/>
          <w:sz w:val="18"/>
        </w:rPr>
        <w:footnoteRef/>
      </w:r>
      <w:r w:rsidRPr="00091895">
        <w:rPr>
          <w:sz w:val="18"/>
        </w:rPr>
        <w:t xml:space="preserve"> </w:t>
      </w:r>
      <w:r w:rsidR="003359B8">
        <w:rPr>
          <w:sz w:val="18"/>
        </w:rPr>
        <w:t xml:space="preserve">Ibid. </w:t>
      </w:r>
    </w:p>
  </w:footnote>
  <w:footnote w:id="23">
    <w:p w:rsidR="00ED097C" w:rsidRDefault="00ED097C">
      <w:pPr>
        <w:pStyle w:val="FootnoteText"/>
      </w:pPr>
      <w:r w:rsidRPr="003359B8">
        <w:rPr>
          <w:rStyle w:val="FootnoteReference"/>
          <w:sz w:val="18"/>
        </w:rPr>
        <w:footnoteRef/>
      </w:r>
      <w:r w:rsidRPr="003359B8">
        <w:rPr>
          <w:sz w:val="18"/>
        </w:rPr>
        <w:t xml:space="preserve"> </w:t>
      </w:r>
      <w:r w:rsidR="003359B8">
        <w:rPr>
          <w:sz w:val="18"/>
        </w:rPr>
        <w:t>Ibid.</w:t>
      </w:r>
    </w:p>
  </w:footnote>
  <w:footnote w:id="24">
    <w:p w:rsidR="0034179F" w:rsidRPr="008735D1" w:rsidRDefault="0034179F">
      <w:pPr>
        <w:pStyle w:val="FootnoteText"/>
        <w:rPr>
          <w:sz w:val="18"/>
          <w:szCs w:val="18"/>
        </w:rPr>
      </w:pPr>
      <w:r w:rsidRPr="008735D1">
        <w:rPr>
          <w:rStyle w:val="FootnoteReference"/>
          <w:sz w:val="18"/>
          <w:szCs w:val="18"/>
        </w:rPr>
        <w:footnoteRef/>
      </w:r>
      <w:r w:rsidRPr="008735D1">
        <w:rPr>
          <w:sz w:val="18"/>
          <w:szCs w:val="18"/>
        </w:rPr>
        <w:t xml:space="preserve"> Ibid. </w:t>
      </w:r>
    </w:p>
  </w:footnote>
  <w:footnote w:id="25">
    <w:p w:rsidR="008735D1" w:rsidRPr="00DA7894" w:rsidRDefault="008735D1">
      <w:pPr>
        <w:pStyle w:val="FootnoteText"/>
        <w:rPr>
          <w:sz w:val="18"/>
          <w:szCs w:val="18"/>
          <w:u w:val="single"/>
        </w:rPr>
      </w:pPr>
      <w:r w:rsidRPr="00DA7894">
        <w:rPr>
          <w:rStyle w:val="FootnoteReference"/>
          <w:sz w:val="18"/>
          <w:szCs w:val="18"/>
        </w:rPr>
        <w:footnoteRef/>
      </w:r>
      <w:r w:rsidRPr="00DA7894">
        <w:rPr>
          <w:sz w:val="18"/>
          <w:szCs w:val="18"/>
        </w:rPr>
        <w:t xml:space="preserve"> Tacitus, </w:t>
      </w:r>
      <w:proofErr w:type="gramStart"/>
      <w:r w:rsidRPr="00DA7894">
        <w:rPr>
          <w:i/>
          <w:sz w:val="18"/>
          <w:szCs w:val="18"/>
        </w:rPr>
        <w:t>The</w:t>
      </w:r>
      <w:proofErr w:type="gramEnd"/>
      <w:r w:rsidRPr="00DA7894">
        <w:rPr>
          <w:i/>
          <w:sz w:val="18"/>
          <w:szCs w:val="18"/>
        </w:rPr>
        <w:t xml:space="preserve"> Agricola and The Germania, </w:t>
      </w:r>
      <w:r w:rsidRPr="00DA7894">
        <w:rPr>
          <w:sz w:val="18"/>
          <w:szCs w:val="18"/>
        </w:rPr>
        <w:t>trans. H. Mattingly (London: Penguin Book Ltd., 1970). pp.113-114.</w:t>
      </w:r>
      <w:r w:rsidRPr="00DA7894">
        <w:rPr>
          <w:sz w:val="18"/>
          <w:szCs w:val="18"/>
          <w:u w:val="single"/>
        </w:rPr>
        <w:t xml:space="preserve"> </w:t>
      </w:r>
    </w:p>
  </w:footnote>
  <w:footnote w:id="26">
    <w:p w:rsidR="00DA7894" w:rsidRDefault="00DA7894">
      <w:pPr>
        <w:pStyle w:val="FootnoteText"/>
      </w:pPr>
      <w:r w:rsidRPr="00DA7894">
        <w:rPr>
          <w:rStyle w:val="FootnoteReference"/>
          <w:sz w:val="18"/>
          <w:szCs w:val="18"/>
        </w:rPr>
        <w:footnoteRef/>
      </w:r>
      <w:r>
        <w:t xml:space="preserve"> </w:t>
      </w:r>
      <w:r w:rsidRPr="00D62C8C">
        <w:rPr>
          <w:sz w:val="18"/>
        </w:rPr>
        <w:t>Anglo-Saxon Narrative Poetry Project, Battle of Maldon, Anglo-Saxon Narrative Poetry Project, Available from https://anglosaxonpoetry.camden.rutgers.edu/battle-of-maldon/, Accessed on [23/03/2018].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D16"/>
    <w:rsid w:val="000062BC"/>
    <w:rsid w:val="00020FA7"/>
    <w:rsid w:val="000310F6"/>
    <w:rsid w:val="000471CC"/>
    <w:rsid w:val="00055088"/>
    <w:rsid w:val="00091895"/>
    <w:rsid w:val="000E1B9F"/>
    <w:rsid w:val="000F36DD"/>
    <w:rsid w:val="001051E3"/>
    <w:rsid w:val="00107D33"/>
    <w:rsid w:val="001216E9"/>
    <w:rsid w:val="001233AC"/>
    <w:rsid w:val="00127F16"/>
    <w:rsid w:val="00132BCF"/>
    <w:rsid w:val="001407E6"/>
    <w:rsid w:val="00145776"/>
    <w:rsid w:val="00152FF0"/>
    <w:rsid w:val="001555D3"/>
    <w:rsid w:val="0015724C"/>
    <w:rsid w:val="001615B6"/>
    <w:rsid w:val="00164F2D"/>
    <w:rsid w:val="00167095"/>
    <w:rsid w:val="00167EE7"/>
    <w:rsid w:val="00172838"/>
    <w:rsid w:val="00173E3E"/>
    <w:rsid w:val="001970DD"/>
    <w:rsid w:val="001A3C33"/>
    <w:rsid w:val="001A4BB2"/>
    <w:rsid w:val="001A6F52"/>
    <w:rsid w:val="001E683F"/>
    <w:rsid w:val="001F5846"/>
    <w:rsid w:val="00213192"/>
    <w:rsid w:val="002239E9"/>
    <w:rsid w:val="00223EA1"/>
    <w:rsid w:val="0023125D"/>
    <w:rsid w:val="0024580A"/>
    <w:rsid w:val="00273FC3"/>
    <w:rsid w:val="002A17E2"/>
    <w:rsid w:val="002A579D"/>
    <w:rsid w:val="002B249A"/>
    <w:rsid w:val="002B4E37"/>
    <w:rsid w:val="002B540D"/>
    <w:rsid w:val="002C283F"/>
    <w:rsid w:val="002D10BB"/>
    <w:rsid w:val="002D42ED"/>
    <w:rsid w:val="002D5212"/>
    <w:rsid w:val="00302DF9"/>
    <w:rsid w:val="00314DDD"/>
    <w:rsid w:val="00317B81"/>
    <w:rsid w:val="00327F9B"/>
    <w:rsid w:val="00330FBF"/>
    <w:rsid w:val="003359B8"/>
    <w:rsid w:val="0034179F"/>
    <w:rsid w:val="003556A9"/>
    <w:rsid w:val="003730FA"/>
    <w:rsid w:val="00381BC6"/>
    <w:rsid w:val="00391618"/>
    <w:rsid w:val="003C12DE"/>
    <w:rsid w:val="003C60FB"/>
    <w:rsid w:val="003D1DD6"/>
    <w:rsid w:val="003E03E2"/>
    <w:rsid w:val="003E39C2"/>
    <w:rsid w:val="003F0730"/>
    <w:rsid w:val="00407D01"/>
    <w:rsid w:val="0041670C"/>
    <w:rsid w:val="00416798"/>
    <w:rsid w:val="00420D5E"/>
    <w:rsid w:val="0043045E"/>
    <w:rsid w:val="00432ADF"/>
    <w:rsid w:val="00432EF0"/>
    <w:rsid w:val="00443C25"/>
    <w:rsid w:val="004465D9"/>
    <w:rsid w:val="004851FF"/>
    <w:rsid w:val="00486FA0"/>
    <w:rsid w:val="00486FC6"/>
    <w:rsid w:val="004973A3"/>
    <w:rsid w:val="004C5258"/>
    <w:rsid w:val="004D05A5"/>
    <w:rsid w:val="004E2E16"/>
    <w:rsid w:val="00506A14"/>
    <w:rsid w:val="00506A58"/>
    <w:rsid w:val="00520DCA"/>
    <w:rsid w:val="0052522D"/>
    <w:rsid w:val="00527816"/>
    <w:rsid w:val="0059551A"/>
    <w:rsid w:val="00596E96"/>
    <w:rsid w:val="005A2978"/>
    <w:rsid w:val="005D3EC2"/>
    <w:rsid w:val="005D4430"/>
    <w:rsid w:val="005F1177"/>
    <w:rsid w:val="005F29E4"/>
    <w:rsid w:val="005F7A83"/>
    <w:rsid w:val="006204D8"/>
    <w:rsid w:val="00646C80"/>
    <w:rsid w:val="006768CB"/>
    <w:rsid w:val="00677CE4"/>
    <w:rsid w:val="006926F8"/>
    <w:rsid w:val="0069379D"/>
    <w:rsid w:val="006A0CB0"/>
    <w:rsid w:val="006A0CE3"/>
    <w:rsid w:val="006A1407"/>
    <w:rsid w:val="006D16A5"/>
    <w:rsid w:val="006D5B83"/>
    <w:rsid w:val="006E0FD6"/>
    <w:rsid w:val="006E6B74"/>
    <w:rsid w:val="006E70EB"/>
    <w:rsid w:val="0071105A"/>
    <w:rsid w:val="0075074D"/>
    <w:rsid w:val="0076225A"/>
    <w:rsid w:val="007A2171"/>
    <w:rsid w:val="007B2686"/>
    <w:rsid w:val="007C1E9D"/>
    <w:rsid w:val="007E3B4B"/>
    <w:rsid w:val="007E71CB"/>
    <w:rsid w:val="008202A0"/>
    <w:rsid w:val="00834B8F"/>
    <w:rsid w:val="008727C2"/>
    <w:rsid w:val="00873509"/>
    <w:rsid w:val="008735D1"/>
    <w:rsid w:val="008768C1"/>
    <w:rsid w:val="0088373F"/>
    <w:rsid w:val="0089575E"/>
    <w:rsid w:val="008A60AF"/>
    <w:rsid w:val="008C0C89"/>
    <w:rsid w:val="008C64B6"/>
    <w:rsid w:val="00913108"/>
    <w:rsid w:val="00916FC6"/>
    <w:rsid w:val="00924B53"/>
    <w:rsid w:val="00933FC0"/>
    <w:rsid w:val="009429C1"/>
    <w:rsid w:val="00947942"/>
    <w:rsid w:val="0096383D"/>
    <w:rsid w:val="00974B98"/>
    <w:rsid w:val="00977747"/>
    <w:rsid w:val="00994315"/>
    <w:rsid w:val="0099759D"/>
    <w:rsid w:val="009976EB"/>
    <w:rsid w:val="009A0E5B"/>
    <w:rsid w:val="009B1CE0"/>
    <w:rsid w:val="009D4937"/>
    <w:rsid w:val="009F0A38"/>
    <w:rsid w:val="009F27A1"/>
    <w:rsid w:val="00A13ABA"/>
    <w:rsid w:val="00A145B2"/>
    <w:rsid w:val="00A145E6"/>
    <w:rsid w:val="00A27132"/>
    <w:rsid w:val="00A37AA1"/>
    <w:rsid w:val="00A60A60"/>
    <w:rsid w:val="00A62E18"/>
    <w:rsid w:val="00A67177"/>
    <w:rsid w:val="00A813BE"/>
    <w:rsid w:val="00AB7BFC"/>
    <w:rsid w:val="00B1387F"/>
    <w:rsid w:val="00B2159D"/>
    <w:rsid w:val="00B23C96"/>
    <w:rsid w:val="00B33505"/>
    <w:rsid w:val="00B461C5"/>
    <w:rsid w:val="00B53D5C"/>
    <w:rsid w:val="00B5432C"/>
    <w:rsid w:val="00B54A0F"/>
    <w:rsid w:val="00BB30FB"/>
    <w:rsid w:val="00BD3249"/>
    <w:rsid w:val="00BF1EBB"/>
    <w:rsid w:val="00BF7567"/>
    <w:rsid w:val="00C279C7"/>
    <w:rsid w:val="00C54F0E"/>
    <w:rsid w:val="00C56D16"/>
    <w:rsid w:val="00C77AE9"/>
    <w:rsid w:val="00C82FEB"/>
    <w:rsid w:val="00C96E3A"/>
    <w:rsid w:val="00CA5BB4"/>
    <w:rsid w:val="00CC6427"/>
    <w:rsid w:val="00CE5136"/>
    <w:rsid w:val="00CF56DB"/>
    <w:rsid w:val="00D2254E"/>
    <w:rsid w:val="00D35E45"/>
    <w:rsid w:val="00D62C8C"/>
    <w:rsid w:val="00D6544D"/>
    <w:rsid w:val="00D66413"/>
    <w:rsid w:val="00D93AF5"/>
    <w:rsid w:val="00DA7894"/>
    <w:rsid w:val="00DB29E0"/>
    <w:rsid w:val="00DD054A"/>
    <w:rsid w:val="00DD6777"/>
    <w:rsid w:val="00E00EA7"/>
    <w:rsid w:val="00E0450B"/>
    <w:rsid w:val="00E16488"/>
    <w:rsid w:val="00E34AA7"/>
    <w:rsid w:val="00E46A22"/>
    <w:rsid w:val="00E522F7"/>
    <w:rsid w:val="00E60F99"/>
    <w:rsid w:val="00E733E7"/>
    <w:rsid w:val="00EB276C"/>
    <w:rsid w:val="00EB51E9"/>
    <w:rsid w:val="00ED097C"/>
    <w:rsid w:val="00EE2E99"/>
    <w:rsid w:val="00EE5DA0"/>
    <w:rsid w:val="00F02B58"/>
    <w:rsid w:val="00F053F1"/>
    <w:rsid w:val="00F23327"/>
    <w:rsid w:val="00F23C3F"/>
    <w:rsid w:val="00F318B5"/>
    <w:rsid w:val="00F35A23"/>
    <w:rsid w:val="00F63266"/>
    <w:rsid w:val="00F73A4C"/>
    <w:rsid w:val="00F8091E"/>
    <w:rsid w:val="00F859D4"/>
    <w:rsid w:val="00F94FD8"/>
    <w:rsid w:val="00F97683"/>
    <w:rsid w:val="00FA0795"/>
    <w:rsid w:val="00FA5275"/>
    <w:rsid w:val="00FB306E"/>
    <w:rsid w:val="00FB491E"/>
    <w:rsid w:val="00FD1DD3"/>
    <w:rsid w:val="00FE4280"/>
    <w:rsid w:val="00FF7091"/>
    <w:rsid w:val="00FF7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BE400E1-528A-4A40-95CE-741361E9F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6D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56D1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6D16"/>
    <w:rPr>
      <w:sz w:val="20"/>
      <w:szCs w:val="20"/>
    </w:rPr>
  </w:style>
  <w:style w:type="character" w:styleId="FootnoteReference">
    <w:name w:val="footnote reference"/>
    <w:basedOn w:val="DefaultParagraphFont"/>
    <w:uiPriority w:val="99"/>
    <w:semiHidden/>
    <w:unhideWhenUsed/>
    <w:rsid w:val="00C56D16"/>
    <w:rPr>
      <w:vertAlign w:val="superscript"/>
    </w:rPr>
  </w:style>
  <w:style w:type="paragraph" w:styleId="NoSpacing">
    <w:name w:val="No Spacing"/>
    <w:uiPriority w:val="1"/>
    <w:qFormat/>
    <w:rsid w:val="005F1177"/>
    <w:pPr>
      <w:spacing w:after="0" w:line="240" w:lineRule="auto"/>
    </w:pPr>
  </w:style>
  <w:style w:type="character" w:styleId="Hyperlink">
    <w:name w:val="Hyperlink"/>
    <w:basedOn w:val="DefaultParagraphFont"/>
    <w:uiPriority w:val="99"/>
    <w:unhideWhenUsed/>
    <w:rsid w:val="002D42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D8F92-1184-4A17-9B56-D94A2F1B0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1778</TotalTime>
  <Pages>6</Pages>
  <Words>2806</Words>
  <Characters>15995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McGowan</dc:creator>
  <cp:keywords/>
  <dc:description/>
  <cp:lastModifiedBy>Phoebe McGowan</cp:lastModifiedBy>
  <cp:revision>349</cp:revision>
  <dcterms:created xsi:type="dcterms:W3CDTF">2018-03-27T10:28:00Z</dcterms:created>
  <dcterms:modified xsi:type="dcterms:W3CDTF">2018-03-28T16:19:00Z</dcterms:modified>
</cp:coreProperties>
</file>