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64DA3" w14:textId="60833A6C" w:rsidR="009B4321" w:rsidRDefault="009B4321" w:rsidP="009B4321">
      <w:pPr>
        <w:rPr>
          <w:rStyle w:val="Heading1Char"/>
          <w:b w:val="0"/>
          <w:bCs w:val="0"/>
          <w:sz w:val="24"/>
          <w:szCs w:val="24"/>
        </w:rPr>
      </w:pPr>
      <w:r>
        <w:rPr>
          <w:rStyle w:val="Heading1Char"/>
          <w:b w:val="0"/>
          <w:bCs w:val="0"/>
          <w:sz w:val="24"/>
          <w:szCs w:val="24"/>
        </w:rPr>
        <w:t>Eden Rich</w:t>
      </w:r>
    </w:p>
    <w:p w14:paraId="379DA218" w14:textId="0C7E354D" w:rsidR="009B4321" w:rsidRDefault="009B4321" w:rsidP="009B4321">
      <w:pPr>
        <w:rPr>
          <w:rStyle w:val="Heading1Char"/>
          <w:b w:val="0"/>
          <w:bCs w:val="0"/>
          <w:sz w:val="24"/>
          <w:szCs w:val="24"/>
        </w:rPr>
      </w:pPr>
      <w:r>
        <w:rPr>
          <w:rStyle w:val="Heading1Char"/>
          <w:b w:val="0"/>
          <w:bCs w:val="0"/>
          <w:sz w:val="24"/>
          <w:szCs w:val="24"/>
        </w:rPr>
        <w:t>HPEN6043</w:t>
      </w:r>
    </w:p>
    <w:p w14:paraId="155ABA9F" w14:textId="1CD119F9" w:rsidR="009B4321" w:rsidRDefault="009B4321" w:rsidP="009B4321">
      <w:pPr>
        <w:rPr>
          <w:rStyle w:val="Heading1Char"/>
          <w:b w:val="0"/>
          <w:bCs w:val="0"/>
          <w:sz w:val="24"/>
          <w:szCs w:val="24"/>
        </w:rPr>
      </w:pPr>
      <w:r>
        <w:rPr>
          <w:rStyle w:val="Heading1Char"/>
          <w:b w:val="0"/>
          <w:bCs w:val="0"/>
          <w:sz w:val="24"/>
          <w:szCs w:val="24"/>
        </w:rPr>
        <w:t>Dr. Peter Mitchell</w:t>
      </w:r>
    </w:p>
    <w:p w14:paraId="0F6C91A2" w14:textId="70A676F9" w:rsidR="009B4321" w:rsidRDefault="009B4321" w:rsidP="009B4321">
      <w:pPr>
        <w:rPr>
          <w:rStyle w:val="Heading1Char"/>
          <w:b w:val="0"/>
          <w:bCs w:val="0"/>
          <w:sz w:val="24"/>
          <w:szCs w:val="24"/>
        </w:rPr>
      </w:pPr>
      <w:r>
        <w:rPr>
          <w:rStyle w:val="Heading1Char"/>
          <w:b w:val="0"/>
          <w:bCs w:val="0"/>
          <w:sz w:val="24"/>
          <w:szCs w:val="24"/>
        </w:rPr>
        <w:t xml:space="preserve">February 10, 2026 </w:t>
      </w:r>
    </w:p>
    <w:p w14:paraId="5482CD8F" w14:textId="77777777" w:rsidR="009B4321" w:rsidRDefault="009B4321" w:rsidP="009B4321">
      <w:pPr>
        <w:rPr>
          <w:rStyle w:val="Heading1Char"/>
          <w:b w:val="0"/>
          <w:bCs w:val="0"/>
          <w:sz w:val="24"/>
          <w:szCs w:val="24"/>
        </w:rPr>
      </w:pPr>
    </w:p>
    <w:p w14:paraId="6E375FE7" w14:textId="77777777" w:rsidR="009B4321" w:rsidRPr="009B4321" w:rsidRDefault="009B4321" w:rsidP="009B4321">
      <w:pPr>
        <w:rPr>
          <w:rStyle w:val="Heading1Char"/>
          <w:b w:val="0"/>
          <w:bCs w:val="0"/>
          <w:sz w:val="24"/>
          <w:szCs w:val="24"/>
        </w:rPr>
      </w:pPr>
    </w:p>
    <w:p w14:paraId="2E24C135" w14:textId="3E335F45" w:rsidR="006D6E0B" w:rsidRDefault="006D6E0B" w:rsidP="006D6E0B">
      <w:pPr>
        <w:spacing w:line="360" w:lineRule="auto"/>
        <w:jc w:val="center"/>
      </w:pPr>
      <w:r w:rsidRPr="006D6E0B">
        <w:rPr>
          <w:rStyle w:val="Heading1Char"/>
        </w:rPr>
        <w:t>GOBBET TEST</w:t>
      </w:r>
    </w:p>
    <w:p w14:paraId="0A7A6B97" w14:textId="241B4FED" w:rsidR="006D6E0B" w:rsidRDefault="00A86B82" w:rsidP="009B4321">
      <w:pPr>
        <w:jc w:val="center"/>
      </w:pPr>
      <w:r>
        <w:t>GOBBET</w:t>
      </w:r>
      <w:r w:rsidR="00814EA8">
        <w:t xml:space="preserve">: Petrarch, </w:t>
      </w:r>
      <w:r w:rsidR="00814EA8" w:rsidRPr="00814EA8">
        <w:rPr>
          <w:i/>
          <w:iCs/>
        </w:rPr>
        <w:t>The Ascent of Mount Ventoux</w:t>
      </w:r>
      <w:r w:rsidR="00814EA8">
        <w:t>.</w:t>
      </w:r>
    </w:p>
    <w:p w14:paraId="1DDE46FF" w14:textId="77777777" w:rsidR="00814EA8" w:rsidRDefault="00814EA8" w:rsidP="006D6E0B"/>
    <w:p w14:paraId="21A2FA75" w14:textId="30C0A2A0" w:rsidR="00690AB8" w:rsidRDefault="00A86B82" w:rsidP="006D6E0B">
      <w:r>
        <w:t>Petrarch’s lifelong conflict between the allure of the temporal world</w:t>
      </w:r>
      <w:r w:rsidR="00FF4A35">
        <w:t xml:space="preserve">—his earthly attachments to the material—and the soul’s duty to the immaterial realm of God is perfectly encapsulated in this moment of crisis from </w:t>
      </w:r>
      <w:r w:rsidR="00FF4A35" w:rsidRPr="00FF4A35">
        <w:rPr>
          <w:i/>
          <w:iCs/>
        </w:rPr>
        <w:t>The Ascent of Mount Ventoux</w:t>
      </w:r>
      <w:r w:rsidR="00FF4A35">
        <w:t>. The physical view from the summit of the mountain, which throughout the passage</w:t>
      </w:r>
      <w:r w:rsidR="00570531">
        <w:t xml:space="preserve">, </w:t>
      </w:r>
      <w:r w:rsidR="00FF4A35">
        <w:t xml:space="preserve">Petrarch emphasises as a worldly achievement akin to his most beloved classical sources, becomes the trigger for an intensely spiritual failure. In the passage, Petrarch explicitly invokes the words of Saint Augustine, staging his inner turmoil as more than a simple choice but as a battle between “two adversaries […] joined in close combat for supremacy.” </w:t>
      </w:r>
      <w:r w:rsidR="00690AB8">
        <w:t xml:space="preserve">This passage becomes a definitive, material statement on the divided self of the early humanists. </w:t>
      </w:r>
    </w:p>
    <w:p w14:paraId="105766F0" w14:textId="5E2B58EE" w:rsidR="00DD4530" w:rsidRDefault="00550A4A" w:rsidP="006D6E0B">
      <w:r>
        <w:rPr>
          <w:i/>
          <w:iCs/>
        </w:rPr>
        <w:tab/>
      </w:r>
      <w:r w:rsidR="00570531" w:rsidRPr="00570531">
        <w:rPr>
          <w:i/>
          <w:iCs/>
        </w:rPr>
        <w:t>The Ascent of Mount Ventoux</w:t>
      </w:r>
      <w:r w:rsidR="00570531">
        <w:t xml:space="preserve"> was written as a letter to Petrarch’s close friend and confessor, Dionigi da Borgo San Sepolcro, an Augustine monk. Letters were a  primary form of writing for Petrarch, who would later popularise the genre of the “familiar letter” which had no official purpose, but functioned to engage instead with a friend on </w:t>
      </w:r>
      <w:r w:rsidR="00DD4530">
        <w:t>any</w:t>
      </w:r>
      <w:r w:rsidR="00570531">
        <w:t xml:space="preserve"> matter presented itself </w:t>
      </w:r>
      <w:r w:rsidR="00DD4530">
        <w:t>in the moment</w:t>
      </w:r>
      <w:r w:rsidR="00570531">
        <w:t>.</w:t>
      </w:r>
      <w:r w:rsidR="00570531">
        <w:rPr>
          <w:rStyle w:val="FootnoteReference"/>
        </w:rPr>
        <w:footnoteReference w:id="1"/>
      </w:r>
      <w:r w:rsidR="00570531">
        <w:t xml:space="preserve"> </w:t>
      </w:r>
      <w:r w:rsidR="00C01423">
        <w:tab/>
        <w:t xml:space="preserve">The work describes the physical climb of the mountain, but on the heels </w:t>
      </w:r>
      <w:r w:rsidR="00C01423">
        <w:lastRenderedPageBreak/>
        <w:t>of this conflict which Petrarch faces, remodels itself as an allegory for the soul’s spiritual journey toward God. Gherardo, Petrarch’s younger brother,</w:t>
      </w:r>
      <w:r w:rsidR="00C01423">
        <w:t xml:space="preserve"> who later becomes a monk, takes the most direct path upward; Petrarch, the man of letters, posthumously entitled the Father of Renaissance humanism, is allured instead by the easier, winding paths, (symbolising worldly distractions from God) which lead him down the mountain instead. The gobbet, taking place after Petrarch and Gherardo have finally reached the summit</w:t>
      </w:r>
      <w:r w:rsidR="00DD4530">
        <w:t>,</w:t>
      </w:r>
      <w:r w:rsidR="00570531">
        <w:t xml:space="preserve"> Petrarch confesses to Dionigi the push-and-pull between his Christian faith and material desires. </w:t>
      </w:r>
      <w:r w:rsidR="00C01423">
        <w:t>He</w:t>
      </w:r>
      <w:r w:rsidR="00570531">
        <w:t xml:space="preserve"> looks upon Italy from the great height of Mount Ventoux</w:t>
      </w:r>
      <w:r w:rsidR="00C01423">
        <w:t xml:space="preserve"> and </w:t>
      </w:r>
      <w:r w:rsidR="00570531">
        <w:t>experiences an “inexpressible longing […] to see once more [his] friends and [his] country</w:t>
      </w:r>
      <w:r w:rsidR="00C01423">
        <w:t xml:space="preserve">.” Simultaneously, he chides himself </w:t>
      </w:r>
      <w:r w:rsidR="00DD4530">
        <w:t>for his “double weakness” that does not hold up against</w:t>
      </w:r>
      <w:r w:rsidR="00757CE8">
        <w:t xml:space="preserve"> “manly”</w:t>
      </w:r>
      <w:r w:rsidR="00DD4530">
        <w:t xml:space="preserve"> resistance. </w:t>
      </w:r>
      <w:r w:rsidR="00C01423">
        <w:t xml:space="preserve">The panoramic view of the world serves then to trigger his intense, painful introspection. </w:t>
      </w:r>
      <w:r w:rsidR="00DD4530">
        <w:t xml:space="preserve">These confessions are not characteristic </w:t>
      </w:r>
      <w:r w:rsidR="00DD4530">
        <w:t xml:space="preserve">of </w:t>
      </w:r>
      <w:r w:rsidR="00757CE8">
        <w:t>a mere acquaintance.</w:t>
      </w:r>
      <w:r w:rsidR="00DD4530">
        <w:t xml:space="preserve"> Additionally, his conflict-ridden, inconstant, indecisive and, to push it further, insecure tone</w:t>
      </w:r>
      <w:r w:rsidR="00757CE8">
        <w:t xml:space="preserve"> fail to hold to a professional, restrained standard that would be expected in a proper missive. Petrarch lays his conflict, his emotional landscape, bare in </w:t>
      </w:r>
      <w:r w:rsidR="00757CE8" w:rsidRPr="00CC04BF">
        <w:rPr>
          <w:i/>
          <w:iCs/>
        </w:rPr>
        <w:t>The Ascent of Mount Ventoux</w:t>
      </w:r>
      <w:r w:rsidR="00757CE8">
        <w:t xml:space="preserve">, putting this matter at the centre of his letter. </w:t>
      </w:r>
    </w:p>
    <w:p w14:paraId="30A761A4" w14:textId="3A7CC2CC" w:rsidR="00CC04BF" w:rsidRDefault="00CC04BF" w:rsidP="006D6E0B">
      <w:r>
        <w:tab/>
        <w:t xml:space="preserve">In his attempt to diagnose </w:t>
      </w:r>
      <w:r w:rsidR="00F87C09">
        <w:t xml:space="preserve">and resolve the internal war, Petrarch draws from a distinctly humanist toolkit. He first judges himself against the classical, Stoic ideal of virtue—the “manly resistance” to emotion—and finds himself wanting. This pagan model, rooted in rational self-mastery, offers Petrarch a clear path: conquer the weakness (his earthly attachments). Yet Petrarch cannot merely conquer it, because he also operates within a Christian framework inherited from Saint Augustine, wherein conquest is replaced with confession: a painful, honest dissection of the soul’s “carnal corruption” as the only true path toward God. </w:t>
      </w:r>
    </w:p>
    <w:p w14:paraId="7FB4F998" w14:textId="31FAAA82" w:rsidR="00E12B4C" w:rsidRDefault="00550A4A" w:rsidP="006D6E0B">
      <w:r>
        <w:tab/>
      </w:r>
      <w:r w:rsidR="00F87C09">
        <w:t>This clash between the Stoic and Augustinian models manifest in the passage</w:t>
      </w:r>
      <w:r w:rsidR="00757CE8">
        <w:t xml:space="preserve">. Petrarch performs the conflict for both Dionigi and the reader through a process of painful self-correction and psychological honesty. He writes that “Much that is dubious and evil still clings </w:t>
      </w:r>
      <w:r w:rsidR="00757CE8">
        <w:lastRenderedPageBreak/>
        <w:t xml:space="preserve">to me, but what I once loved, I love no longer” which reads as an immediate, almost reflexive attempt at piety to resolve the conflict he begins to lay out for Dionigi. </w:t>
      </w:r>
      <w:r>
        <w:t>Yet</w:t>
      </w:r>
      <w:r w:rsidR="00757CE8">
        <w:t xml:space="preserve"> it is his intellectual honesty that forces him, at first moderately and then more firmly, to correct it. He builds up to this devastating truth that he “love[s] what [he] long[s] not to love, what [he] would like to hate”</w:t>
      </w:r>
      <w:r>
        <w:t xml:space="preserve"> bringing the confession to its violent crescendo. The imagery he deploys in this passage—the gruelling war, yes, but also the “rebellious opponent”, “close combat”—begins to build in the reader an emphatic impression of violence; this internal conflict, for Petrarch, is elevated to something physical “waging in the field of [his] mind”, less a simple problem to be solved and more a dangerous, exhausting, and ongoing war for which he has no solution. </w:t>
      </w:r>
      <w:r w:rsidR="00C01423">
        <w:t>The inner landscape is thus far harder to conquer than the outer one</w:t>
      </w:r>
      <w:r w:rsidR="00F87C09">
        <w:t>; it cannot, then, rely only on Stoicism</w:t>
      </w:r>
      <w:r w:rsidR="00E12B4C">
        <w:t xml:space="preserve"> but on Confession also</w:t>
      </w:r>
      <w:r w:rsidR="00F87C09">
        <w:t>.</w:t>
      </w:r>
    </w:p>
    <w:p w14:paraId="424242CE" w14:textId="0309B2C1" w:rsidR="00E12B4C" w:rsidRDefault="00C01423" w:rsidP="006D6E0B">
      <w:r>
        <w:tab/>
        <w:t xml:space="preserve">This passage from </w:t>
      </w:r>
      <w:r w:rsidRPr="00C01423">
        <w:rPr>
          <w:i/>
          <w:iCs/>
        </w:rPr>
        <w:t>The Ascent of Mount Ventoux</w:t>
      </w:r>
      <w:r>
        <w:t xml:space="preserve"> perfectly embodies Petrarch’s lifelong struggle between his two greatest ambitions: the desire for earthly fame as a poet laureate, for classical learning, and his unrequited, idealised love for the quasi-fictional Laura, and the desire for religious salvation, and his desire to achieve a state of spiritual purity and love of God. </w:t>
      </w:r>
      <w:r w:rsidR="00CC04BF">
        <w:t xml:space="preserve">Petrarch saw Saint Augustine as a model, and in this respect Dionigi becomes more than a mere correspondent; he would facilitate this consummation between Petrarch and Saint Augustine by giving the former a small book of the latter’s </w:t>
      </w:r>
      <w:r w:rsidR="00CC04BF" w:rsidRPr="00CC04BF">
        <w:rPr>
          <w:i/>
          <w:iCs/>
        </w:rPr>
        <w:t>Confessions</w:t>
      </w:r>
      <w:r w:rsidR="00CC04BF">
        <w:t xml:space="preserve">. This book would give Petrarch the language and framework then to understand his own divided soul, and in this respect, we can begin to understand this passage in Petrarch’s </w:t>
      </w:r>
      <w:r w:rsidR="00CC04BF" w:rsidRPr="00CC04BF">
        <w:rPr>
          <w:i/>
          <w:iCs/>
        </w:rPr>
        <w:t>Ascent</w:t>
      </w:r>
      <w:r w:rsidR="00CC04BF">
        <w:t xml:space="preserve"> as his own</w:t>
      </w:r>
      <w:r w:rsidR="00F87C09">
        <w:t xml:space="preserve">, </w:t>
      </w:r>
      <w:r w:rsidR="00CC04BF">
        <w:t>modern “confession.”  He cannot renounce his earthly joys, nor his single-sided love for Laura, nor the picture of Hannibal, the “fierce enemy of the Roman name” storming the alp</w:t>
      </w:r>
      <w:r w:rsidR="00E12B4C">
        <w:t xml:space="preserve">s, </w:t>
      </w:r>
      <w:r w:rsidR="00CC04BF">
        <w:t xml:space="preserve">but he can </w:t>
      </w:r>
      <w:r w:rsidR="00E12B4C">
        <w:t>confess</w:t>
      </w:r>
      <w:r w:rsidR="00CC04BF">
        <w:t xml:space="preserve"> his struggle. In this way, Petrarch begins to pioneer a new form of introspective literature, where epic deeds of old are no longer the focus, where instead the complex, contradictory, and </w:t>
      </w:r>
      <w:r w:rsidR="00CC04BF">
        <w:lastRenderedPageBreak/>
        <w:t xml:space="preserve">profoundly felt inner life of the individual. This would go on to shape much of Renaissance humanist thought. </w:t>
      </w:r>
    </w:p>
    <w:p w14:paraId="4374EDDD" w14:textId="77D616E4" w:rsidR="00E12B4C" w:rsidRDefault="00F87C09" w:rsidP="006D6E0B">
      <w:r>
        <w:tab/>
        <w:t xml:space="preserve">The passage from Petrarch’s </w:t>
      </w:r>
      <w:r w:rsidRPr="00E12B4C">
        <w:rPr>
          <w:i/>
          <w:iCs/>
        </w:rPr>
        <w:t>Ascent</w:t>
      </w:r>
      <w:r>
        <w:t xml:space="preserve"> masterfully presents what would become the core tenets of Renaissance humanism: </w:t>
      </w:r>
      <w:r w:rsidR="00E12B4C">
        <w:t xml:space="preserve">Petrarch’s mind is so saturated by ancient texts, he sees the world through a classical lens (Hannibal and the alps), and attempts to apply classical philosophy, that is the Stoic “manly resistance”, as a moral framework; he synthesises the classical with the Christian, using the tools of classical learning and Roman rhetoric to dissect and explore the Augustinian confessional structure; finally, his intense focus on the self—on the “I”—and the detailed, honest exploration of his own consciousness is used to understand </w:t>
      </w:r>
      <w:r w:rsidR="00E12B4C">
        <w:t>the human condition</w:t>
      </w:r>
      <w:r w:rsidR="00E12B4C">
        <w:t xml:space="preserve">. </w:t>
      </w:r>
    </w:p>
    <w:p w14:paraId="3C68998B" w14:textId="5F196541" w:rsidR="00E12B4C" w:rsidRDefault="003401C0" w:rsidP="006D6E0B">
      <w:r>
        <w:tab/>
        <w:t>A later giant of self-exploration in Renaissance humanism was Michel de Montaigne; they share this deeply introspective, sometimes rambling tone which is undeniably of themselves. Yet Petrarch is agonised by his internal contradictions and the “inconstancy of human conduct.” Petrarch strives for a stable, unified, virtuous self which is reflected in his mediation on the future at the end of the passage; he desires “if not […] complete assurance, at least […] hopefulness”</w:t>
      </w:r>
      <w:r w:rsidR="00445D0C">
        <w:t xml:space="preserve"> that,</w:t>
      </w:r>
      <w:r>
        <w:t xml:space="preserve"> </w:t>
      </w:r>
      <w:r w:rsidR="00445D0C">
        <w:t xml:space="preserve">if he should die at forty, he will have advanced “toward virtue in proportion to the distance” he has moved from his old desires. The Stoic nature of this confession is rooted deep within an immutable desire for stability in proportion. Contrastingly, Montaigne, a century later, accepts and celebrates his contradictions; Montaigne believed this constant flux is the human condition. Montaigne, who was also deeply Christian, is thus able to resolve the same conflict that tortures Petrarch in and beyond this passage simply by embracing it. </w:t>
      </w:r>
    </w:p>
    <w:p w14:paraId="51631959" w14:textId="61D05CFF" w:rsidR="00E12B4C" w:rsidRDefault="00E12B4C" w:rsidP="006D6E0B">
      <w:r>
        <w:tab/>
      </w:r>
    </w:p>
    <w:p w14:paraId="46EFB9E8" w14:textId="775E5D5C" w:rsidR="00550A4A" w:rsidRPr="006D6E0B" w:rsidRDefault="00CC04BF" w:rsidP="006D6E0B">
      <w:r>
        <w:tab/>
      </w:r>
    </w:p>
    <w:sectPr w:rsidR="00550A4A" w:rsidRPr="006D6E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FBBA" w14:textId="77777777" w:rsidR="00F04C95" w:rsidRDefault="00F04C95" w:rsidP="00570531">
      <w:pPr>
        <w:spacing w:line="240" w:lineRule="auto"/>
      </w:pPr>
      <w:r>
        <w:separator/>
      </w:r>
    </w:p>
  </w:endnote>
  <w:endnote w:type="continuationSeparator" w:id="0">
    <w:p w14:paraId="35B1CF9C" w14:textId="77777777" w:rsidR="00F04C95" w:rsidRDefault="00F04C95" w:rsidP="005705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D57CA" w14:textId="77777777" w:rsidR="00F04C95" w:rsidRDefault="00F04C95" w:rsidP="00570531">
      <w:pPr>
        <w:spacing w:line="240" w:lineRule="auto"/>
      </w:pPr>
      <w:r>
        <w:separator/>
      </w:r>
    </w:p>
  </w:footnote>
  <w:footnote w:type="continuationSeparator" w:id="0">
    <w:p w14:paraId="0E1C89CD" w14:textId="77777777" w:rsidR="00F04C95" w:rsidRDefault="00F04C95" w:rsidP="00570531">
      <w:pPr>
        <w:spacing w:line="240" w:lineRule="auto"/>
      </w:pPr>
      <w:r>
        <w:continuationSeparator/>
      </w:r>
    </w:p>
  </w:footnote>
  <w:footnote w:id="1">
    <w:p w14:paraId="04035D6F" w14:textId="7F970EAC" w:rsidR="00570531" w:rsidRDefault="00570531">
      <w:pPr>
        <w:pStyle w:val="FootnoteText"/>
      </w:pPr>
      <w:r>
        <w:rPr>
          <w:rStyle w:val="FootnoteReference"/>
        </w:rPr>
        <w:footnoteRef/>
      </w:r>
      <w:r>
        <w:t xml:space="preserve"> “</w:t>
      </w:r>
      <w:r w:rsidRPr="00570531">
        <w:t>Francesco Petrarca (Petrarch)</w:t>
      </w:r>
      <w:r>
        <w:t xml:space="preserve">” </w:t>
      </w:r>
      <w:r w:rsidRPr="00570531">
        <w:rPr>
          <w:i/>
          <w:iCs/>
        </w:rPr>
        <w:t>Renaissance Humanism: An Anthology of Sources</w:t>
      </w:r>
      <w:r w:rsidRPr="00570531">
        <w:t>, ed. and trans., with an Introduction, by Margaret L. King (Indianapolis, Ind.; Cambridge: Hackett, 2014)</w:t>
      </w:r>
      <w:r>
        <w:t xml:space="preserve"> pp. 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E0B"/>
    <w:rsid w:val="0018392F"/>
    <w:rsid w:val="00223042"/>
    <w:rsid w:val="003401C0"/>
    <w:rsid w:val="00445D0C"/>
    <w:rsid w:val="00550A4A"/>
    <w:rsid w:val="00570531"/>
    <w:rsid w:val="00655B70"/>
    <w:rsid w:val="00690AB8"/>
    <w:rsid w:val="006D6E0B"/>
    <w:rsid w:val="00757CE8"/>
    <w:rsid w:val="00814EA8"/>
    <w:rsid w:val="008A007F"/>
    <w:rsid w:val="00927B6A"/>
    <w:rsid w:val="009402FD"/>
    <w:rsid w:val="009B4321"/>
    <w:rsid w:val="009F30BA"/>
    <w:rsid w:val="00A86B82"/>
    <w:rsid w:val="00C01423"/>
    <w:rsid w:val="00C41523"/>
    <w:rsid w:val="00CC04BF"/>
    <w:rsid w:val="00DD4530"/>
    <w:rsid w:val="00E12B4C"/>
    <w:rsid w:val="00F04C95"/>
    <w:rsid w:val="00F87C09"/>
    <w:rsid w:val="00FF4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C7A6432"/>
  <w15:chartTrackingRefBased/>
  <w15:docId w15:val="{9A2B6E1B-7C36-F343-A807-B73EADD56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E0B"/>
    <w:pPr>
      <w:spacing w:after="0"/>
      <w:jc w:val="both"/>
    </w:pPr>
    <w:rPr>
      <w:rFonts w:ascii="Times New Roman" w:hAnsi="Times New Roman" w:cs="Times New Roman"/>
    </w:rPr>
  </w:style>
  <w:style w:type="paragraph" w:styleId="Heading1">
    <w:name w:val="heading 1"/>
    <w:basedOn w:val="Normal"/>
    <w:next w:val="Normal"/>
    <w:link w:val="Heading1Char"/>
    <w:uiPriority w:val="9"/>
    <w:qFormat/>
    <w:rsid w:val="006D6E0B"/>
    <w:pPr>
      <w:outlineLvl w:val="0"/>
    </w:pPr>
    <w:rPr>
      <w:b/>
      <w:bCs/>
      <w:sz w:val="36"/>
      <w:szCs w:val="36"/>
    </w:rPr>
  </w:style>
  <w:style w:type="paragraph" w:styleId="Heading2">
    <w:name w:val="heading 2"/>
    <w:basedOn w:val="Normal"/>
    <w:next w:val="Normal"/>
    <w:link w:val="Heading2Char"/>
    <w:uiPriority w:val="9"/>
    <w:semiHidden/>
    <w:unhideWhenUsed/>
    <w:qFormat/>
    <w:rsid w:val="006D6E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E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E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E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E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E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E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E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B6A"/>
    <w:pPr>
      <w:spacing w:line="240" w:lineRule="auto"/>
      <w:contextualSpacing/>
      <w:jc w:val="center"/>
    </w:pPr>
    <w:rPr>
      <w:rFonts w:eastAsiaTheme="majorEastAsia"/>
      <w:spacing w:val="-10"/>
      <w:kern w:val="28"/>
      <w:sz w:val="96"/>
      <w:szCs w:val="96"/>
    </w:rPr>
  </w:style>
  <w:style w:type="character" w:customStyle="1" w:styleId="TitleChar">
    <w:name w:val="Title Char"/>
    <w:basedOn w:val="DefaultParagraphFont"/>
    <w:link w:val="Title"/>
    <w:uiPriority w:val="10"/>
    <w:rsid w:val="00927B6A"/>
    <w:rPr>
      <w:rFonts w:ascii="Times New Roman" w:eastAsiaTheme="majorEastAsia" w:hAnsi="Times New Roman" w:cs="Times New Roman"/>
      <w:spacing w:val="-10"/>
      <w:kern w:val="28"/>
      <w:sz w:val="96"/>
      <w:szCs w:val="96"/>
    </w:rPr>
  </w:style>
  <w:style w:type="character" w:customStyle="1" w:styleId="Heading1Char">
    <w:name w:val="Heading 1 Char"/>
    <w:basedOn w:val="DefaultParagraphFont"/>
    <w:link w:val="Heading1"/>
    <w:uiPriority w:val="9"/>
    <w:rsid w:val="006D6E0B"/>
    <w:rPr>
      <w:rFonts w:ascii="Times New Roman" w:hAnsi="Times New Roman" w:cs="Times New Roman"/>
      <w:b/>
      <w:bCs/>
      <w:sz w:val="36"/>
      <w:szCs w:val="36"/>
    </w:rPr>
  </w:style>
  <w:style w:type="character" w:customStyle="1" w:styleId="Heading2Char">
    <w:name w:val="Heading 2 Char"/>
    <w:basedOn w:val="DefaultParagraphFont"/>
    <w:link w:val="Heading2"/>
    <w:uiPriority w:val="9"/>
    <w:semiHidden/>
    <w:rsid w:val="006D6E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E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E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E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E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E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E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E0B"/>
    <w:rPr>
      <w:rFonts w:eastAsiaTheme="majorEastAsia" w:cstheme="majorBidi"/>
      <w:color w:val="272727" w:themeColor="text1" w:themeTint="D8"/>
    </w:rPr>
  </w:style>
  <w:style w:type="paragraph" w:styleId="Subtitle">
    <w:name w:val="Subtitle"/>
    <w:basedOn w:val="Normal"/>
    <w:next w:val="Normal"/>
    <w:link w:val="SubtitleChar"/>
    <w:uiPriority w:val="11"/>
    <w:qFormat/>
    <w:rsid w:val="006D6E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E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E0B"/>
    <w:pPr>
      <w:spacing w:before="160"/>
      <w:jc w:val="center"/>
    </w:pPr>
    <w:rPr>
      <w:i/>
      <w:iCs/>
      <w:color w:val="404040" w:themeColor="text1" w:themeTint="BF"/>
    </w:rPr>
  </w:style>
  <w:style w:type="character" w:customStyle="1" w:styleId="QuoteChar">
    <w:name w:val="Quote Char"/>
    <w:basedOn w:val="DefaultParagraphFont"/>
    <w:link w:val="Quote"/>
    <w:uiPriority w:val="29"/>
    <w:rsid w:val="006D6E0B"/>
    <w:rPr>
      <w:i/>
      <w:iCs/>
      <w:color w:val="404040" w:themeColor="text1" w:themeTint="BF"/>
    </w:rPr>
  </w:style>
  <w:style w:type="paragraph" w:styleId="ListParagraph">
    <w:name w:val="List Paragraph"/>
    <w:basedOn w:val="Normal"/>
    <w:uiPriority w:val="34"/>
    <w:qFormat/>
    <w:rsid w:val="006D6E0B"/>
    <w:pPr>
      <w:ind w:left="720"/>
      <w:contextualSpacing/>
    </w:pPr>
  </w:style>
  <w:style w:type="character" w:styleId="IntenseEmphasis">
    <w:name w:val="Intense Emphasis"/>
    <w:basedOn w:val="DefaultParagraphFont"/>
    <w:uiPriority w:val="21"/>
    <w:qFormat/>
    <w:rsid w:val="006D6E0B"/>
    <w:rPr>
      <w:i/>
      <w:iCs/>
      <w:color w:val="0F4761" w:themeColor="accent1" w:themeShade="BF"/>
    </w:rPr>
  </w:style>
  <w:style w:type="paragraph" w:styleId="IntenseQuote">
    <w:name w:val="Intense Quote"/>
    <w:basedOn w:val="Normal"/>
    <w:next w:val="Normal"/>
    <w:link w:val="IntenseQuoteChar"/>
    <w:uiPriority w:val="30"/>
    <w:qFormat/>
    <w:rsid w:val="006D6E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E0B"/>
    <w:rPr>
      <w:i/>
      <w:iCs/>
      <w:color w:val="0F4761" w:themeColor="accent1" w:themeShade="BF"/>
    </w:rPr>
  </w:style>
  <w:style w:type="character" w:styleId="IntenseReference">
    <w:name w:val="Intense Reference"/>
    <w:basedOn w:val="DefaultParagraphFont"/>
    <w:uiPriority w:val="32"/>
    <w:qFormat/>
    <w:rsid w:val="006D6E0B"/>
    <w:rPr>
      <w:b/>
      <w:bCs/>
      <w:smallCaps/>
      <w:color w:val="0F4761" w:themeColor="accent1" w:themeShade="BF"/>
      <w:spacing w:val="5"/>
    </w:rPr>
  </w:style>
  <w:style w:type="paragraph" w:styleId="FootnoteText">
    <w:name w:val="footnote text"/>
    <w:basedOn w:val="Normal"/>
    <w:link w:val="FootnoteTextChar"/>
    <w:uiPriority w:val="99"/>
    <w:semiHidden/>
    <w:unhideWhenUsed/>
    <w:rsid w:val="00570531"/>
    <w:pPr>
      <w:spacing w:line="240" w:lineRule="auto"/>
    </w:pPr>
    <w:rPr>
      <w:sz w:val="20"/>
      <w:szCs w:val="20"/>
    </w:rPr>
  </w:style>
  <w:style w:type="character" w:customStyle="1" w:styleId="FootnoteTextChar">
    <w:name w:val="Footnote Text Char"/>
    <w:basedOn w:val="DefaultParagraphFont"/>
    <w:link w:val="FootnoteText"/>
    <w:uiPriority w:val="99"/>
    <w:semiHidden/>
    <w:rsid w:val="0057053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5705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4</Pages>
  <Words>1226</Words>
  <Characters>6416</Characters>
  <Application>Microsoft Office Word</Application>
  <DocSecurity>0</DocSecurity>
  <Lines>91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dc:creator>
  <cp:keywords/>
  <dc:description/>
  <cp:lastModifiedBy>Eden Rich</cp:lastModifiedBy>
  <cp:revision>3</cp:revision>
  <dcterms:created xsi:type="dcterms:W3CDTF">2026-02-10T09:52:00Z</dcterms:created>
  <dcterms:modified xsi:type="dcterms:W3CDTF">2026-02-10T12:14:00Z</dcterms:modified>
</cp:coreProperties>
</file>