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69240" w14:textId="77777777" w:rsidR="004B42D2" w:rsidRDefault="004B42D2" w:rsidP="004B42D2">
      <w:pPr>
        <w:spacing w:line="360" w:lineRule="auto"/>
        <w:jc w:val="center"/>
        <w:rPr>
          <w:rFonts w:ascii="Arial" w:hAnsi="Arial" w:cs="Arial"/>
          <w:b/>
          <w:bCs/>
          <w:sz w:val="22"/>
          <w:szCs w:val="22"/>
        </w:rPr>
      </w:pPr>
    </w:p>
    <w:p w14:paraId="7A7AF1E0" w14:textId="77777777" w:rsidR="004B42D2" w:rsidRDefault="004B42D2" w:rsidP="004B42D2">
      <w:pPr>
        <w:spacing w:line="360" w:lineRule="auto"/>
        <w:jc w:val="center"/>
        <w:rPr>
          <w:rFonts w:ascii="Arial" w:hAnsi="Arial" w:cs="Arial"/>
          <w:b/>
          <w:bCs/>
          <w:sz w:val="22"/>
          <w:szCs w:val="22"/>
        </w:rPr>
      </w:pPr>
    </w:p>
    <w:p w14:paraId="23275895" w14:textId="77777777" w:rsidR="004B42D2" w:rsidRDefault="004B42D2" w:rsidP="004B42D2">
      <w:pPr>
        <w:spacing w:line="360" w:lineRule="auto"/>
        <w:jc w:val="center"/>
        <w:rPr>
          <w:rFonts w:ascii="Arial" w:hAnsi="Arial" w:cs="Arial"/>
          <w:b/>
          <w:bCs/>
          <w:sz w:val="22"/>
          <w:szCs w:val="22"/>
        </w:rPr>
      </w:pPr>
    </w:p>
    <w:p w14:paraId="28F35C41" w14:textId="77777777" w:rsidR="004B42D2" w:rsidRDefault="004B42D2" w:rsidP="004B42D2">
      <w:pPr>
        <w:spacing w:line="480" w:lineRule="auto"/>
        <w:rPr>
          <w:rFonts w:ascii="Arial" w:hAnsi="Arial" w:cs="Arial"/>
          <w:b/>
          <w:bCs/>
          <w:sz w:val="22"/>
          <w:szCs w:val="22"/>
        </w:rPr>
      </w:pPr>
    </w:p>
    <w:p w14:paraId="7FC7753B" w14:textId="05D3C9DA" w:rsidR="00453FC0" w:rsidRPr="004B42D2" w:rsidRDefault="00DD3E4E" w:rsidP="004B42D2">
      <w:pPr>
        <w:spacing w:line="480" w:lineRule="auto"/>
        <w:jc w:val="center"/>
        <w:rPr>
          <w:rFonts w:ascii="Arial" w:hAnsi="Arial" w:cs="Arial"/>
          <w:b/>
          <w:bCs/>
        </w:rPr>
      </w:pPr>
      <w:r w:rsidRPr="004B42D2">
        <w:rPr>
          <w:rFonts w:ascii="Arial" w:hAnsi="Arial" w:cs="Arial"/>
          <w:b/>
          <w:bCs/>
        </w:rPr>
        <w:t>Programme: BA (Hons) Leadership and Management Skills for the Workplace</w:t>
      </w:r>
    </w:p>
    <w:p w14:paraId="7AFFEAD0" w14:textId="6D4A1479" w:rsidR="00DD3E4E" w:rsidRPr="004B42D2" w:rsidRDefault="00DD3E4E" w:rsidP="004B42D2">
      <w:pPr>
        <w:spacing w:line="480" w:lineRule="auto"/>
        <w:jc w:val="center"/>
        <w:rPr>
          <w:rFonts w:ascii="Arial" w:hAnsi="Arial" w:cs="Arial"/>
          <w:b/>
          <w:bCs/>
        </w:rPr>
      </w:pPr>
      <w:r w:rsidRPr="004B42D2">
        <w:rPr>
          <w:rFonts w:ascii="Arial" w:hAnsi="Arial" w:cs="Arial"/>
          <w:b/>
          <w:bCs/>
        </w:rPr>
        <w:t xml:space="preserve">Module name and code: </w:t>
      </w:r>
      <w:r w:rsidR="00AC1839" w:rsidRPr="004B42D2">
        <w:rPr>
          <w:rFonts w:ascii="Arial" w:hAnsi="Arial" w:cs="Arial"/>
          <w:b/>
          <w:bCs/>
        </w:rPr>
        <w:t>Strategic Management for Business</w:t>
      </w:r>
      <w:r w:rsidR="00EA673A" w:rsidRPr="004B42D2">
        <w:rPr>
          <w:rFonts w:ascii="Arial" w:hAnsi="Arial" w:cs="Arial"/>
          <w:b/>
          <w:sz w:val="22"/>
          <w:szCs w:val="22"/>
        </w:rPr>
        <w:t xml:space="preserve"> </w:t>
      </w:r>
      <w:r w:rsidR="00EA673A" w:rsidRPr="004B42D2">
        <w:rPr>
          <w:rFonts w:ascii="Arial" w:hAnsi="Arial" w:cs="Arial"/>
          <w:b/>
          <w:bCs/>
        </w:rPr>
        <w:t>LCLM  6001</w:t>
      </w:r>
    </w:p>
    <w:p w14:paraId="007D01BA" w14:textId="6E83F0A4" w:rsidR="00474945" w:rsidRPr="004B42D2" w:rsidRDefault="00474945" w:rsidP="004B42D2">
      <w:pPr>
        <w:spacing w:line="480" w:lineRule="auto"/>
        <w:jc w:val="center"/>
        <w:rPr>
          <w:rFonts w:ascii="Arial" w:hAnsi="Arial" w:cs="Arial"/>
          <w:b/>
          <w:bCs/>
        </w:rPr>
      </w:pPr>
      <w:r w:rsidRPr="004B42D2">
        <w:rPr>
          <w:rFonts w:ascii="Arial" w:hAnsi="Arial" w:cs="Arial"/>
          <w:b/>
          <w:bCs/>
        </w:rPr>
        <w:t xml:space="preserve">Assignment title: </w:t>
      </w:r>
      <w:r w:rsidR="004B42D2" w:rsidRPr="004B42D2">
        <w:rPr>
          <w:rFonts w:ascii="Arial" w:hAnsi="Arial" w:cs="Arial"/>
          <w:b/>
          <w:bCs/>
        </w:rPr>
        <w:t>Individual Report</w:t>
      </w:r>
    </w:p>
    <w:p w14:paraId="44890CCC" w14:textId="732B4273" w:rsidR="00EA673A" w:rsidRPr="004B42D2" w:rsidRDefault="00EA673A" w:rsidP="004B42D2">
      <w:pPr>
        <w:spacing w:line="480" w:lineRule="auto"/>
        <w:jc w:val="center"/>
        <w:rPr>
          <w:rFonts w:ascii="Arial" w:hAnsi="Arial" w:cs="Arial"/>
          <w:b/>
          <w:bCs/>
        </w:rPr>
      </w:pPr>
      <w:r w:rsidRPr="004B42D2">
        <w:rPr>
          <w:rFonts w:ascii="Arial" w:hAnsi="Arial" w:cs="Arial"/>
          <w:b/>
          <w:bCs/>
        </w:rPr>
        <w:t xml:space="preserve">Student name and id: Geanina Mihaela Budai </w:t>
      </w:r>
      <w:r w:rsidR="004B42D2" w:rsidRPr="004B42D2">
        <w:rPr>
          <w:rFonts w:ascii="Arial" w:hAnsi="Arial" w:cs="Arial"/>
          <w:b/>
          <w:bCs/>
        </w:rPr>
        <w:t>2330286</w:t>
      </w:r>
    </w:p>
    <w:p w14:paraId="47C6FA04" w14:textId="77777777" w:rsidR="00DD3E4E" w:rsidRDefault="00DD3E4E" w:rsidP="00542D2D">
      <w:pPr>
        <w:spacing w:line="360" w:lineRule="auto"/>
        <w:jc w:val="both"/>
        <w:rPr>
          <w:rFonts w:ascii="Times New Roman" w:hAnsi="Times New Roman" w:cs="Times New Roman"/>
          <w:b/>
          <w:bCs/>
        </w:rPr>
      </w:pPr>
    </w:p>
    <w:p w14:paraId="16F91D0D" w14:textId="77777777" w:rsidR="003B24F4" w:rsidRDefault="003B24F4" w:rsidP="00542D2D">
      <w:pPr>
        <w:spacing w:line="360" w:lineRule="auto"/>
        <w:jc w:val="both"/>
        <w:rPr>
          <w:rFonts w:ascii="Times New Roman" w:hAnsi="Times New Roman" w:cs="Times New Roman"/>
          <w:b/>
          <w:bCs/>
        </w:rPr>
      </w:pPr>
    </w:p>
    <w:p w14:paraId="33C380EC" w14:textId="77777777" w:rsidR="003B24F4" w:rsidRDefault="003B24F4" w:rsidP="00542D2D">
      <w:pPr>
        <w:spacing w:line="360" w:lineRule="auto"/>
        <w:jc w:val="both"/>
        <w:rPr>
          <w:rFonts w:ascii="Times New Roman" w:hAnsi="Times New Roman" w:cs="Times New Roman"/>
          <w:b/>
          <w:bCs/>
        </w:rPr>
      </w:pPr>
    </w:p>
    <w:p w14:paraId="1E7CCC51" w14:textId="77777777" w:rsidR="003B24F4" w:rsidRDefault="003B24F4" w:rsidP="00542D2D">
      <w:pPr>
        <w:spacing w:line="360" w:lineRule="auto"/>
        <w:jc w:val="both"/>
        <w:rPr>
          <w:rFonts w:ascii="Times New Roman" w:hAnsi="Times New Roman" w:cs="Times New Roman"/>
          <w:b/>
          <w:bCs/>
        </w:rPr>
      </w:pPr>
    </w:p>
    <w:p w14:paraId="6CB63560" w14:textId="77777777" w:rsidR="003B24F4" w:rsidRDefault="003B24F4" w:rsidP="00542D2D">
      <w:pPr>
        <w:spacing w:line="360" w:lineRule="auto"/>
        <w:jc w:val="both"/>
        <w:rPr>
          <w:rFonts w:ascii="Times New Roman" w:hAnsi="Times New Roman" w:cs="Times New Roman"/>
          <w:b/>
          <w:bCs/>
        </w:rPr>
      </w:pPr>
    </w:p>
    <w:p w14:paraId="6F612AF5" w14:textId="77777777" w:rsidR="003B24F4" w:rsidRDefault="003B24F4" w:rsidP="00542D2D">
      <w:pPr>
        <w:spacing w:line="360" w:lineRule="auto"/>
        <w:jc w:val="both"/>
        <w:rPr>
          <w:rFonts w:ascii="Times New Roman" w:hAnsi="Times New Roman" w:cs="Times New Roman"/>
          <w:b/>
          <w:bCs/>
        </w:rPr>
      </w:pPr>
    </w:p>
    <w:p w14:paraId="15B3C82C" w14:textId="77777777" w:rsidR="003B24F4" w:rsidRDefault="003B24F4" w:rsidP="00542D2D">
      <w:pPr>
        <w:spacing w:line="360" w:lineRule="auto"/>
        <w:jc w:val="both"/>
        <w:rPr>
          <w:rFonts w:ascii="Times New Roman" w:hAnsi="Times New Roman" w:cs="Times New Roman"/>
          <w:b/>
          <w:bCs/>
        </w:rPr>
      </w:pPr>
    </w:p>
    <w:p w14:paraId="033E5235" w14:textId="77777777" w:rsidR="00863A9A" w:rsidRDefault="00863A9A" w:rsidP="00542D2D">
      <w:pPr>
        <w:spacing w:line="360" w:lineRule="auto"/>
        <w:jc w:val="both"/>
        <w:rPr>
          <w:rFonts w:ascii="Times New Roman" w:hAnsi="Times New Roman" w:cs="Times New Roman"/>
          <w:b/>
          <w:bCs/>
        </w:rPr>
      </w:pPr>
    </w:p>
    <w:p w14:paraId="408F758E" w14:textId="77777777" w:rsidR="00863A9A" w:rsidRDefault="00863A9A" w:rsidP="00542D2D">
      <w:pPr>
        <w:spacing w:line="360" w:lineRule="auto"/>
        <w:jc w:val="both"/>
        <w:rPr>
          <w:rFonts w:ascii="Times New Roman" w:hAnsi="Times New Roman" w:cs="Times New Roman"/>
          <w:b/>
          <w:bCs/>
        </w:rPr>
      </w:pPr>
    </w:p>
    <w:p w14:paraId="6A2ADF40" w14:textId="77777777" w:rsidR="00863A9A" w:rsidRDefault="00863A9A" w:rsidP="00542D2D">
      <w:pPr>
        <w:spacing w:line="360" w:lineRule="auto"/>
        <w:jc w:val="both"/>
        <w:rPr>
          <w:rFonts w:ascii="Times New Roman" w:hAnsi="Times New Roman" w:cs="Times New Roman"/>
          <w:b/>
          <w:bCs/>
        </w:rPr>
      </w:pPr>
    </w:p>
    <w:p w14:paraId="2D4EA53D" w14:textId="77777777" w:rsidR="00863A9A" w:rsidRDefault="00863A9A" w:rsidP="00542D2D">
      <w:pPr>
        <w:spacing w:line="360" w:lineRule="auto"/>
        <w:jc w:val="both"/>
        <w:rPr>
          <w:rFonts w:ascii="Times New Roman" w:hAnsi="Times New Roman" w:cs="Times New Roman"/>
          <w:b/>
          <w:bCs/>
        </w:rPr>
      </w:pPr>
    </w:p>
    <w:p w14:paraId="73D5BE97" w14:textId="77777777" w:rsidR="00863A9A" w:rsidRDefault="00863A9A" w:rsidP="00542D2D">
      <w:pPr>
        <w:spacing w:line="360" w:lineRule="auto"/>
        <w:jc w:val="both"/>
        <w:rPr>
          <w:rFonts w:ascii="Times New Roman" w:hAnsi="Times New Roman" w:cs="Times New Roman"/>
          <w:b/>
          <w:bCs/>
        </w:rPr>
      </w:pPr>
    </w:p>
    <w:p w14:paraId="42A5A021" w14:textId="77777777" w:rsidR="00863A9A" w:rsidRDefault="00863A9A" w:rsidP="00542D2D">
      <w:pPr>
        <w:spacing w:line="360" w:lineRule="auto"/>
        <w:jc w:val="both"/>
        <w:rPr>
          <w:rFonts w:ascii="Times New Roman" w:hAnsi="Times New Roman" w:cs="Times New Roman"/>
          <w:b/>
          <w:bCs/>
        </w:rPr>
      </w:pPr>
    </w:p>
    <w:p w14:paraId="11C4809C" w14:textId="77777777" w:rsidR="00863A9A" w:rsidRDefault="00863A9A" w:rsidP="00542D2D">
      <w:pPr>
        <w:spacing w:line="360" w:lineRule="auto"/>
        <w:jc w:val="both"/>
        <w:rPr>
          <w:rFonts w:ascii="Times New Roman" w:hAnsi="Times New Roman" w:cs="Times New Roman"/>
          <w:b/>
          <w:bCs/>
        </w:rPr>
      </w:pPr>
    </w:p>
    <w:p w14:paraId="5AAE87CA" w14:textId="77777777" w:rsidR="00863A9A" w:rsidRDefault="00863A9A" w:rsidP="00542D2D">
      <w:pPr>
        <w:spacing w:line="360" w:lineRule="auto"/>
        <w:jc w:val="both"/>
        <w:rPr>
          <w:rFonts w:ascii="Times New Roman" w:hAnsi="Times New Roman" w:cs="Times New Roman"/>
          <w:b/>
          <w:bCs/>
        </w:rPr>
      </w:pPr>
    </w:p>
    <w:p w14:paraId="2D10B81A" w14:textId="77777777" w:rsidR="00863A9A" w:rsidRDefault="00863A9A" w:rsidP="00542D2D">
      <w:pPr>
        <w:spacing w:line="360" w:lineRule="auto"/>
        <w:jc w:val="both"/>
        <w:rPr>
          <w:rFonts w:ascii="Times New Roman" w:hAnsi="Times New Roman" w:cs="Times New Roman"/>
          <w:b/>
          <w:bCs/>
        </w:rPr>
      </w:pPr>
    </w:p>
    <w:p w14:paraId="7F946C24" w14:textId="77777777" w:rsidR="00863A9A" w:rsidRDefault="00863A9A" w:rsidP="00542D2D">
      <w:pPr>
        <w:spacing w:line="360" w:lineRule="auto"/>
        <w:jc w:val="both"/>
        <w:rPr>
          <w:rFonts w:ascii="Arial" w:hAnsi="Arial" w:cs="Arial"/>
          <w:b/>
          <w:bCs/>
          <w:sz w:val="22"/>
          <w:szCs w:val="22"/>
        </w:rPr>
      </w:pPr>
    </w:p>
    <w:p w14:paraId="663323F0" w14:textId="77777777" w:rsidR="004B42D2" w:rsidRPr="00BB6A62" w:rsidRDefault="004B42D2" w:rsidP="00542D2D">
      <w:pPr>
        <w:spacing w:line="360" w:lineRule="auto"/>
        <w:jc w:val="both"/>
        <w:rPr>
          <w:rFonts w:ascii="Arial" w:hAnsi="Arial" w:cs="Arial"/>
          <w:b/>
          <w:bCs/>
          <w:sz w:val="22"/>
          <w:szCs w:val="22"/>
        </w:rPr>
      </w:pPr>
    </w:p>
    <w:p w14:paraId="6C2C1FEC" w14:textId="020288E7" w:rsidR="008A04F6" w:rsidRPr="00BB6A62" w:rsidRDefault="002D588F" w:rsidP="00BB6A62">
      <w:pPr>
        <w:pStyle w:val="Heading1"/>
        <w:jc w:val="center"/>
      </w:pPr>
      <w:bookmarkStart w:id="0" w:name="_Toc232864048"/>
      <w:r w:rsidRPr="00BB6A62">
        <w:t>Executive Summary</w:t>
      </w:r>
      <w:bookmarkEnd w:id="0"/>
    </w:p>
    <w:p w14:paraId="2C95DE69" w14:textId="7F18D71B" w:rsidR="00EA4E8A" w:rsidRPr="00EA4E8A" w:rsidRDefault="00EA4E8A" w:rsidP="00EA4E8A">
      <w:pPr>
        <w:spacing w:line="360" w:lineRule="auto"/>
        <w:jc w:val="both"/>
        <w:rPr>
          <w:rFonts w:ascii="Arial" w:hAnsi="Arial" w:cs="Arial"/>
          <w:sz w:val="22"/>
          <w:szCs w:val="22"/>
        </w:rPr>
      </w:pPr>
      <w:r w:rsidRPr="00EA4E8A">
        <w:rPr>
          <w:rFonts w:ascii="Arial" w:hAnsi="Arial" w:cs="Arial"/>
          <w:sz w:val="22"/>
          <w:szCs w:val="22"/>
        </w:rPr>
        <w:t xml:space="preserve">This report examines Vodafone’s present strategy and makes </w:t>
      </w:r>
      <w:r w:rsidR="003118AE">
        <w:rPr>
          <w:rFonts w:ascii="Arial" w:hAnsi="Arial" w:cs="Arial"/>
          <w:sz w:val="22"/>
          <w:szCs w:val="22"/>
        </w:rPr>
        <w:t>recommendations</w:t>
      </w:r>
      <w:r w:rsidRPr="00EA4E8A">
        <w:rPr>
          <w:rFonts w:ascii="Arial" w:hAnsi="Arial" w:cs="Arial"/>
          <w:sz w:val="22"/>
          <w:szCs w:val="22"/>
        </w:rPr>
        <w:t xml:space="preserve"> for a growth strategy that will give the firm an edge in terms of competitive advantage and sustainable performance. The strategic analysis has been carried out through SWOT analysis, PESTLE analysis, Porter’s Five Forces, Ansoff’s matrix, Porter’s Generic Strategies, SFA, and stakeholder analysis.</w:t>
      </w:r>
    </w:p>
    <w:p w14:paraId="0C8235EB" w14:textId="77777777" w:rsidR="00EA4E8A" w:rsidRPr="00EA4E8A" w:rsidRDefault="00EA4E8A" w:rsidP="00EA4E8A">
      <w:pPr>
        <w:spacing w:line="360" w:lineRule="auto"/>
        <w:jc w:val="both"/>
        <w:rPr>
          <w:rFonts w:ascii="Arial" w:hAnsi="Arial" w:cs="Arial"/>
          <w:sz w:val="22"/>
          <w:szCs w:val="22"/>
        </w:rPr>
      </w:pPr>
      <w:r w:rsidRPr="00EA4E8A">
        <w:rPr>
          <w:rFonts w:ascii="Arial" w:hAnsi="Arial" w:cs="Arial"/>
          <w:sz w:val="22"/>
          <w:szCs w:val="22"/>
        </w:rPr>
        <w:t>The findings indicate that Vodafone have several advantages such as high brand awareness, strong networks, investments in 5G, and developing capabilities in IoT services. The company has also some drawbacks such as intense competition, pressure from regulators, heavy capital expenditure requirements, and technological developments.</w:t>
      </w:r>
    </w:p>
    <w:p w14:paraId="7A5B2EB1" w14:textId="77777777" w:rsidR="00EA4E8A" w:rsidRPr="00EA4E8A" w:rsidRDefault="00EA4E8A" w:rsidP="00EA4E8A">
      <w:pPr>
        <w:spacing w:line="360" w:lineRule="auto"/>
        <w:jc w:val="both"/>
        <w:rPr>
          <w:rFonts w:ascii="Arial" w:hAnsi="Arial" w:cs="Arial"/>
          <w:sz w:val="22"/>
          <w:szCs w:val="22"/>
        </w:rPr>
      </w:pPr>
      <w:r w:rsidRPr="00EA4E8A">
        <w:rPr>
          <w:rFonts w:ascii="Arial" w:hAnsi="Arial" w:cs="Arial"/>
          <w:sz w:val="22"/>
          <w:szCs w:val="22"/>
        </w:rPr>
        <w:t>According to the analysis, the report suggests that Vodafone should adopt a Product Development strategy with strategic diversification in the related digital services, such as artificial intelligence (AI), cloud computing, IoT, cybersecurity, smart city services, and digital payments services. This strategy will help in generating new sources of income for the organization, enhancing its competitive edge, and reducing dependency on its connectivity services.</w:t>
      </w:r>
    </w:p>
    <w:p w14:paraId="171B3098" w14:textId="6B73EDA7" w:rsidR="00EA4E8A" w:rsidRPr="00EA4E8A" w:rsidRDefault="00EA4E8A" w:rsidP="00EA4E8A">
      <w:pPr>
        <w:spacing w:line="360" w:lineRule="auto"/>
        <w:jc w:val="both"/>
        <w:rPr>
          <w:rFonts w:ascii="Arial" w:hAnsi="Arial" w:cs="Arial"/>
          <w:sz w:val="22"/>
          <w:szCs w:val="22"/>
        </w:rPr>
      </w:pPr>
      <w:r w:rsidRPr="00EA4E8A">
        <w:rPr>
          <w:rFonts w:ascii="Arial" w:hAnsi="Arial" w:cs="Arial"/>
          <w:sz w:val="22"/>
          <w:szCs w:val="22"/>
        </w:rPr>
        <w:t>The proposed strategy was assessed using SFA framework and it is found appropriate, viable, and acceptable. Effective stakeholders’ engagement and continuous measurement of performance with KPIs will be crucial for implementing the strategy successfully.</w:t>
      </w:r>
    </w:p>
    <w:p w14:paraId="11D3C27E" w14:textId="0923E71A" w:rsidR="00F91C55" w:rsidRPr="00BB6A62" w:rsidRDefault="00F91C55" w:rsidP="00EA4E8A">
      <w:pPr>
        <w:spacing w:line="360" w:lineRule="auto"/>
        <w:jc w:val="both"/>
        <w:rPr>
          <w:rFonts w:ascii="Arial" w:hAnsi="Arial" w:cs="Arial"/>
          <w:sz w:val="22"/>
          <w:szCs w:val="22"/>
        </w:rPr>
      </w:pPr>
    </w:p>
    <w:p w14:paraId="10B0A64B" w14:textId="77777777" w:rsidR="00F91C55" w:rsidRDefault="00F91C55" w:rsidP="008A04F6">
      <w:pPr>
        <w:spacing w:line="360" w:lineRule="auto"/>
        <w:jc w:val="both"/>
        <w:rPr>
          <w:rFonts w:ascii="Times New Roman" w:hAnsi="Times New Roman" w:cs="Times New Roman"/>
        </w:rPr>
      </w:pPr>
    </w:p>
    <w:p w14:paraId="0EF206DF" w14:textId="77777777" w:rsidR="00542D2D" w:rsidRDefault="00542D2D" w:rsidP="008A04F6">
      <w:pPr>
        <w:spacing w:line="360" w:lineRule="auto"/>
        <w:jc w:val="both"/>
        <w:rPr>
          <w:rFonts w:ascii="Times New Roman" w:hAnsi="Times New Roman" w:cs="Times New Roman"/>
        </w:rPr>
      </w:pPr>
    </w:p>
    <w:p w14:paraId="3508539C" w14:textId="77777777" w:rsidR="0007597B" w:rsidRDefault="0007597B" w:rsidP="008A04F6">
      <w:pPr>
        <w:spacing w:line="360" w:lineRule="auto"/>
        <w:jc w:val="both"/>
        <w:rPr>
          <w:rFonts w:ascii="Times New Roman" w:hAnsi="Times New Roman" w:cs="Times New Roman"/>
        </w:rPr>
      </w:pPr>
    </w:p>
    <w:p w14:paraId="09A7FEF4" w14:textId="77777777" w:rsidR="0007597B" w:rsidRDefault="0007597B" w:rsidP="008A04F6">
      <w:pPr>
        <w:spacing w:line="360" w:lineRule="auto"/>
        <w:jc w:val="both"/>
        <w:rPr>
          <w:rFonts w:ascii="Times New Roman" w:hAnsi="Times New Roman" w:cs="Times New Roman"/>
        </w:rPr>
      </w:pPr>
    </w:p>
    <w:p w14:paraId="682561F5" w14:textId="77777777" w:rsidR="0007597B" w:rsidRDefault="0007597B" w:rsidP="008A04F6">
      <w:pPr>
        <w:spacing w:line="360" w:lineRule="auto"/>
        <w:jc w:val="both"/>
        <w:rPr>
          <w:rFonts w:ascii="Times New Roman" w:hAnsi="Times New Roman" w:cs="Times New Roman"/>
        </w:rPr>
      </w:pPr>
    </w:p>
    <w:p w14:paraId="18F4160F" w14:textId="77777777" w:rsidR="0007597B" w:rsidRDefault="0007597B" w:rsidP="008A04F6">
      <w:pPr>
        <w:spacing w:line="360" w:lineRule="auto"/>
        <w:jc w:val="both"/>
        <w:rPr>
          <w:rFonts w:ascii="Times New Roman" w:hAnsi="Times New Roman" w:cs="Times New Roman"/>
        </w:rPr>
      </w:pPr>
    </w:p>
    <w:p w14:paraId="7A8683E2" w14:textId="77777777" w:rsidR="00E10A77" w:rsidRDefault="00E10A77" w:rsidP="00542D2D">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109087496"/>
        <w:docPartObj>
          <w:docPartGallery w:val="Table of Contents"/>
          <w:docPartUnique/>
        </w:docPartObj>
      </w:sdtPr>
      <w:sdtEndPr>
        <w:rPr>
          <w:b/>
          <w:bCs/>
          <w:noProof/>
        </w:rPr>
      </w:sdtEndPr>
      <w:sdtContent>
        <w:p w14:paraId="65835D9E" w14:textId="3A9C8101" w:rsidR="00BB6A62" w:rsidRPr="005D69C6" w:rsidRDefault="00BB6A62">
          <w:pPr>
            <w:pStyle w:val="TOCHeading"/>
            <w:rPr>
              <w:rFonts w:ascii="Arial" w:hAnsi="Arial" w:cs="Arial"/>
              <w:b/>
              <w:bCs/>
              <w:color w:val="auto"/>
            </w:rPr>
          </w:pPr>
          <w:r w:rsidRPr="005D69C6">
            <w:rPr>
              <w:rFonts w:ascii="Arial" w:hAnsi="Arial" w:cs="Arial"/>
              <w:b/>
              <w:bCs/>
              <w:color w:val="auto"/>
            </w:rPr>
            <w:t>Table of Contents</w:t>
          </w:r>
        </w:p>
        <w:p w14:paraId="5AD4E0E1" w14:textId="3CE4FF89" w:rsidR="00BB6A62" w:rsidRPr="005D69C6" w:rsidRDefault="00BB6A62">
          <w:pPr>
            <w:pStyle w:val="TOC1"/>
            <w:tabs>
              <w:tab w:val="right" w:leader="dot" w:pos="9016"/>
            </w:tabs>
            <w:rPr>
              <w:rFonts w:ascii="Arial" w:hAnsi="Arial" w:cs="Arial"/>
              <w:noProof/>
              <w:sz w:val="22"/>
              <w:szCs w:val="22"/>
            </w:rPr>
          </w:pPr>
          <w:r w:rsidRPr="005D69C6">
            <w:rPr>
              <w:rFonts w:ascii="Arial" w:hAnsi="Arial" w:cs="Arial"/>
              <w:sz w:val="22"/>
              <w:szCs w:val="22"/>
            </w:rPr>
            <w:fldChar w:fldCharType="begin"/>
          </w:r>
          <w:r w:rsidRPr="005D69C6">
            <w:rPr>
              <w:rFonts w:ascii="Arial" w:hAnsi="Arial" w:cs="Arial"/>
              <w:sz w:val="22"/>
              <w:szCs w:val="22"/>
            </w:rPr>
            <w:instrText xml:space="preserve"> TOC \o "1-3" \h \z \u </w:instrText>
          </w:r>
          <w:r w:rsidRPr="005D69C6">
            <w:rPr>
              <w:rFonts w:ascii="Arial" w:hAnsi="Arial" w:cs="Arial"/>
              <w:sz w:val="22"/>
              <w:szCs w:val="22"/>
            </w:rPr>
            <w:fldChar w:fldCharType="separate"/>
          </w:r>
          <w:hyperlink w:anchor="_Toc232864048" w:history="1">
            <w:r w:rsidRPr="005D69C6">
              <w:rPr>
                <w:rStyle w:val="Hyperlink"/>
                <w:rFonts w:ascii="Arial" w:hAnsi="Arial" w:cs="Arial"/>
                <w:noProof/>
                <w:sz w:val="22"/>
                <w:szCs w:val="22"/>
              </w:rPr>
              <w:t>Executive Summary</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_Toc232864048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2</w:t>
            </w:r>
            <w:r w:rsidRPr="005D69C6">
              <w:rPr>
                <w:rFonts w:ascii="Arial" w:hAnsi="Arial" w:cs="Arial"/>
                <w:noProof/>
                <w:webHidden/>
                <w:sz w:val="22"/>
                <w:szCs w:val="22"/>
              </w:rPr>
              <w:fldChar w:fldCharType="end"/>
            </w:r>
          </w:hyperlink>
        </w:p>
        <w:p w14:paraId="33C3EBF5" w14:textId="19A2460B" w:rsidR="00BB6A62" w:rsidRPr="005D69C6" w:rsidRDefault="00BB6A62">
          <w:pPr>
            <w:pStyle w:val="TOC1"/>
            <w:tabs>
              <w:tab w:val="right" w:leader="dot" w:pos="9016"/>
            </w:tabs>
            <w:rPr>
              <w:rFonts w:ascii="Arial" w:hAnsi="Arial" w:cs="Arial"/>
              <w:noProof/>
              <w:sz w:val="22"/>
              <w:szCs w:val="22"/>
            </w:rPr>
          </w:pPr>
          <w:hyperlink w:anchor="_Toc232864049" w:history="1">
            <w:r w:rsidRPr="005D69C6">
              <w:rPr>
                <w:rStyle w:val="Hyperlink"/>
                <w:rFonts w:ascii="Arial" w:hAnsi="Arial" w:cs="Arial"/>
                <w:noProof/>
                <w:sz w:val="22"/>
                <w:szCs w:val="22"/>
              </w:rPr>
              <w:t>1. Introduction to Vodafone</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_Toc232864049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4</w:t>
            </w:r>
            <w:r w:rsidRPr="005D69C6">
              <w:rPr>
                <w:rFonts w:ascii="Arial" w:hAnsi="Arial" w:cs="Arial"/>
                <w:noProof/>
                <w:webHidden/>
                <w:sz w:val="22"/>
                <w:szCs w:val="22"/>
              </w:rPr>
              <w:fldChar w:fldCharType="end"/>
            </w:r>
          </w:hyperlink>
        </w:p>
        <w:p w14:paraId="7E3FF622" w14:textId="53802295" w:rsidR="00BB6A62" w:rsidRPr="005D69C6" w:rsidRDefault="00BB6A62">
          <w:pPr>
            <w:pStyle w:val="TOC1"/>
            <w:tabs>
              <w:tab w:val="right" w:leader="dot" w:pos="9016"/>
            </w:tabs>
            <w:rPr>
              <w:rFonts w:ascii="Arial" w:hAnsi="Arial" w:cs="Arial"/>
              <w:noProof/>
              <w:sz w:val="22"/>
              <w:szCs w:val="22"/>
            </w:rPr>
          </w:pPr>
          <w:hyperlink w:anchor="_Toc232864050" w:history="1">
            <w:r w:rsidRPr="005D69C6">
              <w:rPr>
                <w:rStyle w:val="Hyperlink"/>
                <w:rFonts w:ascii="Arial" w:hAnsi="Arial" w:cs="Arial"/>
                <w:noProof/>
                <w:sz w:val="22"/>
                <w:szCs w:val="22"/>
              </w:rPr>
              <w:t>2. Evaluation of current market situation</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_Toc232864050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5</w:t>
            </w:r>
            <w:r w:rsidRPr="005D69C6">
              <w:rPr>
                <w:rFonts w:ascii="Arial" w:hAnsi="Arial" w:cs="Arial"/>
                <w:noProof/>
                <w:webHidden/>
                <w:sz w:val="22"/>
                <w:szCs w:val="22"/>
              </w:rPr>
              <w:fldChar w:fldCharType="end"/>
            </w:r>
          </w:hyperlink>
        </w:p>
        <w:p w14:paraId="76D27846" w14:textId="2618076D" w:rsidR="00BB6A62" w:rsidRPr="005D69C6" w:rsidRDefault="00BB6A62">
          <w:pPr>
            <w:pStyle w:val="TOC2"/>
            <w:tabs>
              <w:tab w:val="right" w:leader="dot" w:pos="9016"/>
            </w:tabs>
            <w:rPr>
              <w:rFonts w:ascii="Arial" w:hAnsi="Arial" w:cs="Arial"/>
              <w:noProof/>
              <w:sz w:val="22"/>
              <w:szCs w:val="22"/>
            </w:rPr>
          </w:pPr>
          <w:hyperlink w:anchor="_Toc232864051" w:history="1">
            <w:r w:rsidRPr="005D69C6">
              <w:rPr>
                <w:rStyle w:val="Hyperlink"/>
                <w:rFonts w:ascii="Arial" w:hAnsi="Arial" w:cs="Arial"/>
                <w:noProof/>
                <w:sz w:val="22"/>
                <w:szCs w:val="22"/>
              </w:rPr>
              <w:t>2.1 SWOT Analysis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_Toc232864051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5</w:t>
            </w:r>
            <w:r w:rsidRPr="005D69C6">
              <w:rPr>
                <w:rFonts w:ascii="Arial" w:hAnsi="Arial" w:cs="Arial"/>
                <w:noProof/>
                <w:webHidden/>
                <w:sz w:val="22"/>
                <w:szCs w:val="22"/>
              </w:rPr>
              <w:fldChar w:fldCharType="end"/>
            </w:r>
          </w:hyperlink>
        </w:p>
        <w:p w14:paraId="035D1470" w14:textId="386ACFE6" w:rsidR="00BB6A62" w:rsidRPr="005D69C6" w:rsidRDefault="00BB6A62">
          <w:pPr>
            <w:pStyle w:val="TOC2"/>
            <w:tabs>
              <w:tab w:val="right" w:leader="dot" w:pos="9016"/>
            </w:tabs>
            <w:rPr>
              <w:rFonts w:ascii="Arial" w:hAnsi="Arial" w:cs="Arial"/>
              <w:noProof/>
              <w:sz w:val="22"/>
              <w:szCs w:val="22"/>
            </w:rPr>
          </w:pPr>
          <w:hyperlink w:anchor="_Toc232864052" w:history="1">
            <w:r w:rsidRPr="005D69C6">
              <w:rPr>
                <w:rStyle w:val="Hyperlink"/>
                <w:rFonts w:ascii="Arial" w:hAnsi="Arial" w:cs="Arial"/>
                <w:noProof/>
                <w:sz w:val="22"/>
                <w:szCs w:val="22"/>
              </w:rPr>
              <w:t>2.2 PESTLE Analysis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_Toc232864052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6</w:t>
            </w:r>
            <w:r w:rsidRPr="005D69C6">
              <w:rPr>
                <w:rFonts w:ascii="Arial" w:hAnsi="Arial" w:cs="Arial"/>
                <w:noProof/>
                <w:webHidden/>
                <w:sz w:val="22"/>
                <w:szCs w:val="22"/>
              </w:rPr>
              <w:fldChar w:fldCharType="end"/>
            </w:r>
          </w:hyperlink>
        </w:p>
        <w:p w14:paraId="24E5BBAB" w14:textId="61CD375C" w:rsidR="00BB6A62" w:rsidRPr="005D69C6" w:rsidRDefault="00BB6A62">
          <w:pPr>
            <w:pStyle w:val="TOC3"/>
            <w:tabs>
              <w:tab w:val="right" w:leader="dot" w:pos="9016"/>
            </w:tabs>
            <w:rPr>
              <w:rFonts w:ascii="Arial" w:hAnsi="Arial" w:cs="Arial"/>
              <w:noProof/>
              <w:sz w:val="22"/>
              <w:szCs w:val="22"/>
            </w:rPr>
          </w:pPr>
          <w:hyperlink w:anchor="_Toc232864053" w:history="1">
            <w:r w:rsidRPr="005D69C6">
              <w:rPr>
                <w:rStyle w:val="Hyperlink"/>
                <w:rFonts w:ascii="Arial" w:hAnsi="Arial" w:cs="Arial"/>
                <w:noProof/>
                <w:sz w:val="22"/>
                <w:szCs w:val="22"/>
              </w:rPr>
              <w:t>2.2.1 Political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_Toc232864053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6</w:t>
            </w:r>
            <w:r w:rsidRPr="005D69C6">
              <w:rPr>
                <w:rFonts w:ascii="Arial" w:hAnsi="Arial" w:cs="Arial"/>
                <w:noProof/>
                <w:webHidden/>
                <w:sz w:val="22"/>
                <w:szCs w:val="22"/>
              </w:rPr>
              <w:fldChar w:fldCharType="end"/>
            </w:r>
          </w:hyperlink>
        </w:p>
        <w:p w14:paraId="1C5D64B1" w14:textId="7B8A9F96" w:rsidR="00BB6A62" w:rsidRPr="005D69C6" w:rsidRDefault="00BB6A62">
          <w:pPr>
            <w:pStyle w:val="TOC3"/>
            <w:tabs>
              <w:tab w:val="right" w:leader="dot" w:pos="9016"/>
            </w:tabs>
            <w:rPr>
              <w:rFonts w:ascii="Arial" w:hAnsi="Arial" w:cs="Arial"/>
              <w:noProof/>
              <w:sz w:val="22"/>
              <w:szCs w:val="22"/>
            </w:rPr>
          </w:pPr>
          <w:hyperlink w:anchor="_Toc232864054" w:history="1">
            <w:r w:rsidRPr="005D69C6">
              <w:rPr>
                <w:rStyle w:val="Hyperlink"/>
                <w:rFonts w:ascii="Arial" w:hAnsi="Arial" w:cs="Arial"/>
                <w:noProof/>
                <w:sz w:val="22"/>
                <w:szCs w:val="22"/>
              </w:rPr>
              <w:t>2.2.2 Economic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_Toc232864054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6</w:t>
            </w:r>
            <w:r w:rsidRPr="005D69C6">
              <w:rPr>
                <w:rFonts w:ascii="Arial" w:hAnsi="Arial" w:cs="Arial"/>
                <w:noProof/>
                <w:webHidden/>
                <w:sz w:val="22"/>
                <w:szCs w:val="22"/>
              </w:rPr>
              <w:fldChar w:fldCharType="end"/>
            </w:r>
          </w:hyperlink>
        </w:p>
        <w:p w14:paraId="45EC9E69" w14:textId="45FE25F3" w:rsidR="00BB6A62" w:rsidRPr="005D69C6" w:rsidRDefault="00BB6A62">
          <w:pPr>
            <w:pStyle w:val="TOC3"/>
            <w:tabs>
              <w:tab w:val="right" w:leader="dot" w:pos="9016"/>
            </w:tabs>
            <w:rPr>
              <w:rFonts w:ascii="Arial" w:hAnsi="Arial" w:cs="Arial"/>
              <w:noProof/>
              <w:sz w:val="22"/>
              <w:szCs w:val="22"/>
            </w:rPr>
          </w:pPr>
          <w:hyperlink w:anchor="_Toc232864055" w:history="1">
            <w:r w:rsidRPr="005D69C6">
              <w:rPr>
                <w:rStyle w:val="Hyperlink"/>
                <w:rFonts w:ascii="Arial" w:hAnsi="Arial" w:cs="Arial"/>
                <w:noProof/>
                <w:sz w:val="22"/>
                <w:szCs w:val="22"/>
              </w:rPr>
              <w:t>2.2.3 Social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_Toc232864055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6</w:t>
            </w:r>
            <w:r w:rsidRPr="005D69C6">
              <w:rPr>
                <w:rFonts w:ascii="Arial" w:hAnsi="Arial" w:cs="Arial"/>
                <w:noProof/>
                <w:webHidden/>
                <w:sz w:val="22"/>
                <w:szCs w:val="22"/>
              </w:rPr>
              <w:fldChar w:fldCharType="end"/>
            </w:r>
          </w:hyperlink>
        </w:p>
        <w:p w14:paraId="21860042" w14:textId="4294228D" w:rsidR="00BB6A62" w:rsidRPr="005D69C6" w:rsidRDefault="00BB6A62">
          <w:pPr>
            <w:pStyle w:val="TOC3"/>
            <w:tabs>
              <w:tab w:val="right" w:leader="dot" w:pos="9016"/>
            </w:tabs>
            <w:rPr>
              <w:rFonts w:ascii="Arial" w:hAnsi="Arial" w:cs="Arial"/>
              <w:noProof/>
              <w:sz w:val="22"/>
              <w:szCs w:val="22"/>
            </w:rPr>
          </w:pPr>
          <w:hyperlink w:anchor="_Toc232864056" w:history="1">
            <w:r w:rsidRPr="005D69C6">
              <w:rPr>
                <w:rStyle w:val="Hyperlink"/>
                <w:rFonts w:ascii="Arial" w:hAnsi="Arial" w:cs="Arial"/>
                <w:noProof/>
                <w:sz w:val="22"/>
                <w:szCs w:val="22"/>
              </w:rPr>
              <w:t>2.2.4 Technological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_Toc232864056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7</w:t>
            </w:r>
            <w:r w:rsidRPr="005D69C6">
              <w:rPr>
                <w:rFonts w:ascii="Arial" w:hAnsi="Arial" w:cs="Arial"/>
                <w:noProof/>
                <w:webHidden/>
                <w:sz w:val="22"/>
                <w:szCs w:val="22"/>
              </w:rPr>
              <w:fldChar w:fldCharType="end"/>
            </w:r>
          </w:hyperlink>
        </w:p>
        <w:p w14:paraId="2CC49CD9" w14:textId="274182DF" w:rsidR="00BB6A62" w:rsidRPr="005D69C6" w:rsidRDefault="00BB6A62">
          <w:pPr>
            <w:pStyle w:val="TOC3"/>
            <w:tabs>
              <w:tab w:val="right" w:leader="dot" w:pos="9016"/>
            </w:tabs>
            <w:rPr>
              <w:rFonts w:ascii="Arial" w:hAnsi="Arial" w:cs="Arial"/>
              <w:noProof/>
              <w:sz w:val="22"/>
              <w:szCs w:val="22"/>
            </w:rPr>
          </w:pPr>
          <w:hyperlink w:anchor="_Toc232864057" w:history="1">
            <w:r w:rsidRPr="005D69C6">
              <w:rPr>
                <w:rStyle w:val="Hyperlink"/>
                <w:rFonts w:ascii="Arial" w:hAnsi="Arial" w:cs="Arial"/>
                <w:noProof/>
                <w:sz w:val="22"/>
                <w:szCs w:val="22"/>
              </w:rPr>
              <w:t>2.2.5 Legal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_Toc232864057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7</w:t>
            </w:r>
            <w:r w:rsidRPr="005D69C6">
              <w:rPr>
                <w:rFonts w:ascii="Arial" w:hAnsi="Arial" w:cs="Arial"/>
                <w:noProof/>
                <w:webHidden/>
                <w:sz w:val="22"/>
                <w:szCs w:val="22"/>
              </w:rPr>
              <w:fldChar w:fldCharType="end"/>
            </w:r>
          </w:hyperlink>
        </w:p>
        <w:p w14:paraId="0DC20581" w14:textId="321E27D1" w:rsidR="00BB6A62" w:rsidRPr="005D69C6" w:rsidRDefault="00BB6A62">
          <w:pPr>
            <w:pStyle w:val="TOC3"/>
            <w:tabs>
              <w:tab w:val="right" w:leader="dot" w:pos="9016"/>
            </w:tabs>
            <w:rPr>
              <w:rFonts w:ascii="Arial" w:hAnsi="Arial" w:cs="Arial"/>
              <w:noProof/>
              <w:sz w:val="22"/>
              <w:szCs w:val="22"/>
            </w:rPr>
          </w:pPr>
          <w:hyperlink w:anchor="_Toc232864058" w:history="1">
            <w:r w:rsidRPr="005D69C6">
              <w:rPr>
                <w:rStyle w:val="Hyperlink"/>
                <w:rFonts w:ascii="Arial" w:hAnsi="Arial" w:cs="Arial"/>
                <w:noProof/>
                <w:sz w:val="22"/>
                <w:szCs w:val="22"/>
              </w:rPr>
              <w:t>2.2.6 Environmental Factors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_Toc232864058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7</w:t>
            </w:r>
            <w:r w:rsidRPr="005D69C6">
              <w:rPr>
                <w:rFonts w:ascii="Arial" w:hAnsi="Arial" w:cs="Arial"/>
                <w:noProof/>
                <w:webHidden/>
                <w:sz w:val="22"/>
                <w:szCs w:val="22"/>
              </w:rPr>
              <w:fldChar w:fldCharType="end"/>
            </w:r>
          </w:hyperlink>
        </w:p>
        <w:p w14:paraId="6759E314" w14:textId="16A55712" w:rsidR="00BB6A62" w:rsidRPr="005D69C6" w:rsidRDefault="00BB6A62">
          <w:pPr>
            <w:pStyle w:val="TOC2"/>
            <w:tabs>
              <w:tab w:val="right" w:leader="dot" w:pos="9016"/>
            </w:tabs>
            <w:rPr>
              <w:rFonts w:ascii="Arial" w:hAnsi="Arial" w:cs="Arial"/>
              <w:noProof/>
              <w:sz w:val="22"/>
              <w:szCs w:val="22"/>
            </w:rPr>
          </w:pPr>
          <w:hyperlink w:anchor="_Toc232864059" w:history="1">
            <w:r w:rsidRPr="005D69C6">
              <w:rPr>
                <w:rStyle w:val="Hyperlink"/>
                <w:rFonts w:ascii="Arial" w:hAnsi="Arial" w:cs="Arial"/>
                <w:noProof/>
                <w:sz w:val="22"/>
                <w:szCs w:val="22"/>
              </w:rPr>
              <w:t>2.3 Porter's Five Forces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_Toc232864059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8</w:t>
            </w:r>
            <w:r w:rsidRPr="005D69C6">
              <w:rPr>
                <w:rFonts w:ascii="Arial" w:hAnsi="Arial" w:cs="Arial"/>
                <w:noProof/>
                <w:webHidden/>
                <w:sz w:val="22"/>
                <w:szCs w:val="22"/>
              </w:rPr>
              <w:fldChar w:fldCharType="end"/>
            </w:r>
          </w:hyperlink>
        </w:p>
        <w:p w14:paraId="7E695F76" w14:textId="45FCB372" w:rsidR="00BB6A62" w:rsidRPr="005D69C6" w:rsidRDefault="00BB6A62">
          <w:pPr>
            <w:pStyle w:val="TOC3"/>
            <w:tabs>
              <w:tab w:val="right" w:leader="dot" w:pos="9016"/>
            </w:tabs>
            <w:rPr>
              <w:rFonts w:ascii="Arial" w:hAnsi="Arial" w:cs="Arial"/>
              <w:noProof/>
              <w:sz w:val="22"/>
              <w:szCs w:val="22"/>
            </w:rPr>
          </w:pPr>
          <w:hyperlink w:anchor="_Toc232864060" w:history="1">
            <w:r w:rsidRPr="005D69C6">
              <w:rPr>
                <w:rStyle w:val="Hyperlink"/>
                <w:rFonts w:ascii="Arial" w:hAnsi="Arial" w:cs="Arial"/>
                <w:noProof/>
                <w:sz w:val="22"/>
                <w:szCs w:val="22"/>
              </w:rPr>
              <w:t>2.3.1 Intensity of Competitive Rivalry (High)</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_Toc232864060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8</w:t>
            </w:r>
            <w:r w:rsidRPr="005D69C6">
              <w:rPr>
                <w:rFonts w:ascii="Arial" w:hAnsi="Arial" w:cs="Arial"/>
                <w:noProof/>
                <w:webHidden/>
                <w:sz w:val="22"/>
                <w:szCs w:val="22"/>
              </w:rPr>
              <w:fldChar w:fldCharType="end"/>
            </w:r>
          </w:hyperlink>
        </w:p>
        <w:p w14:paraId="2B8032F8" w14:textId="4B0234E1" w:rsidR="00BB6A62" w:rsidRPr="005D69C6" w:rsidRDefault="00BB6A62">
          <w:pPr>
            <w:pStyle w:val="TOC3"/>
            <w:tabs>
              <w:tab w:val="right" w:leader="dot" w:pos="9016"/>
            </w:tabs>
            <w:rPr>
              <w:rFonts w:ascii="Arial" w:hAnsi="Arial" w:cs="Arial"/>
              <w:noProof/>
              <w:sz w:val="22"/>
              <w:szCs w:val="22"/>
            </w:rPr>
          </w:pPr>
          <w:hyperlink w:anchor="_Toc232864061" w:history="1">
            <w:r w:rsidRPr="005D69C6">
              <w:rPr>
                <w:rStyle w:val="Hyperlink"/>
                <w:rFonts w:ascii="Arial" w:hAnsi="Arial" w:cs="Arial"/>
                <w:noProof/>
                <w:sz w:val="22"/>
                <w:szCs w:val="22"/>
              </w:rPr>
              <w:t>2.3.2 Threat of New Entrants (Low)</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_Toc232864061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8</w:t>
            </w:r>
            <w:r w:rsidRPr="005D69C6">
              <w:rPr>
                <w:rFonts w:ascii="Arial" w:hAnsi="Arial" w:cs="Arial"/>
                <w:noProof/>
                <w:webHidden/>
                <w:sz w:val="22"/>
                <w:szCs w:val="22"/>
              </w:rPr>
              <w:fldChar w:fldCharType="end"/>
            </w:r>
          </w:hyperlink>
        </w:p>
        <w:p w14:paraId="70302CBB" w14:textId="1474D40C" w:rsidR="00BB6A62" w:rsidRPr="005D69C6" w:rsidRDefault="00BB6A62">
          <w:pPr>
            <w:pStyle w:val="TOC3"/>
            <w:tabs>
              <w:tab w:val="right" w:leader="dot" w:pos="9016"/>
            </w:tabs>
            <w:rPr>
              <w:rFonts w:ascii="Arial" w:hAnsi="Arial" w:cs="Arial"/>
              <w:noProof/>
              <w:sz w:val="22"/>
              <w:szCs w:val="22"/>
            </w:rPr>
          </w:pPr>
          <w:hyperlink w:anchor="_Toc232864062" w:history="1">
            <w:r w:rsidRPr="005D69C6">
              <w:rPr>
                <w:rStyle w:val="Hyperlink"/>
                <w:rFonts w:ascii="Arial" w:hAnsi="Arial" w:cs="Arial"/>
                <w:noProof/>
                <w:sz w:val="22"/>
                <w:szCs w:val="22"/>
              </w:rPr>
              <w:t>2.3.3 Bargaining Power of Buyers (High)</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_Toc232864062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8</w:t>
            </w:r>
            <w:r w:rsidRPr="005D69C6">
              <w:rPr>
                <w:rFonts w:ascii="Arial" w:hAnsi="Arial" w:cs="Arial"/>
                <w:noProof/>
                <w:webHidden/>
                <w:sz w:val="22"/>
                <w:szCs w:val="22"/>
              </w:rPr>
              <w:fldChar w:fldCharType="end"/>
            </w:r>
          </w:hyperlink>
        </w:p>
        <w:p w14:paraId="0330FD92" w14:textId="11E702DB" w:rsidR="00BB6A62" w:rsidRPr="005D69C6" w:rsidRDefault="00BB6A62">
          <w:pPr>
            <w:pStyle w:val="TOC3"/>
            <w:tabs>
              <w:tab w:val="right" w:leader="dot" w:pos="9016"/>
            </w:tabs>
            <w:rPr>
              <w:rFonts w:ascii="Arial" w:hAnsi="Arial" w:cs="Arial"/>
              <w:noProof/>
              <w:sz w:val="22"/>
              <w:szCs w:val="22"/>
            </w:rPr>
          </w:pPr>
          <w:hyperlink w:anchor="_Toc232864063" w:history="1">
            <w:r w:rsidRPr="005D69C6">
              <w:rPr>
                <w:rStyle w:val="Hyperlink"/>
                <w:rFonts w:ascii="Arial" w:hAnsi="Arial" w:cs="Arial"/>
                <w:noProof/>
                <w:sz w:val="22"/>
                <w:szCs w:val="22"/>
              </w:rPr>
              <w:t>2.3.4 Bargaining Power of Suppliers (Moderate)</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_Toc232864063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8</w:t>
            </w:r>
            <w:r w:rsidRPr="005D69C6">
              <w:rPr>
                <w:rFonts w:ascii="Arial" w:hAnsi="Arial" w:cs="Arial"/>
                <w:noProof/>
                <w:webHidden/>
                <w:sz w:val="22"/>
                <w:szCs w:val="22"/>
              </w:rPr>
              <w:fldChar w:fldCharType="end"/>
            </w:r>
          </w:hyperlink>
        </w:p>
        <w:p w14:paraId="097C726E" w14:textId="67FCE758" w:rsidR="00BB6A62" w:rsidRPr="005D69C6" w:rsidRDefault="00BB6A62">
          <w:pPr>
            <w:pStyle w:val="TOC3"/>
            <w:tabs>
              <w:tab w:val="right" w:leader="dot" w:pos="9016"/>
            </w:tabs>
            <w:rPr>
              <w:rFonts w:ascii="Arial" w:hAnsi="Arial" w:cs="Arial"/>
              <w:noProof/>
              <w:sz w:val="22"/>
              <w:szCs w:val="22"/>
            </w:rPr>
          </w:pPr>
          <w:hyperlink w:anchor="_Toc232864064" w:history="1">
            <w:r w:rsidRPr="005D69C6">
              <w:rPr>
                <w:rStyle w:val="Hyperlink"/>
                <w:rFonts w:ascii="Arial" w:hAnsi="Arial" w:cs="Arial"/>
                <w:noProof/>
                <w:sz w:val="22"/>
                <w:szCs w:val="22"/>
              </w:rPr>
              <w:t>2.3.5 Threat of Substitute Products or Services (Moderate)</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_Toc232864064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9</w:t>
            </w:r>
            <w:r w:rsidRPr="005D69C6">
              <w:rPr>
                <w:rFonts w:ascii="Arial" w:hAnsi="Arial" w:cs="Arial"/>
                <w:noProof/>
                <w:webHidden/>
                <w:sz w:val="22"/>
                <w:szCs w:val="22"/>
              </w:rPr>
              <w:fldChar w:fldCharType="end"/>
            </w:r>
          </w:hyperlink>
        </w:p>
        <w:p w14:paraId="063E95C5" w14:textId="424A7590" w:rsidR="00BB6A62" w:rsidRPr="005D69C6" w:rsidRDefault="00BB6A62">
          <w:pPr>
            <w:pStyle w:val="TOC1"/>
            <w:tabs>
              <w:tab w:val="right" w:leader="dot" w:pos="9016"/>
            </w:tabs>
            <w:rPr>
              <w:rFonts w:ascii="Arial" w:hAnsi="Arial" w:cs="Arial"/>
              <w:noProof/>
              <w:sz w:val="22"/>
              <w:szCs w:val="22"/>
            </w:rPr>
          </w:pPr>
          <w:hyperlink w:anchor="_Toc232864065" w:history="1">
            <w:r w:rsidRPr="005D69C6">
              <w:rPr>
                <w:rStyle w:val="Hyperlink"/>
                <w:rFonts w:ascii="Arial" w:hAnsi="Arial" w:cs="Arial"/>
                <w:noProof/>
                <w:sz w:val="22"/>
                <w:szCs w:val="22"/>
              </w:rPr>
              <w:t>3. Strategic Growth Options and Proposed Strategy</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_Toc232864065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10</w:t>
            </w:r>
            <w:r w:rsidRPr="005D69C6">
              <w:rPr>
                <w:rFonts w:ascii="Arial" w:hAnsi="Arial" w:cs="Arial"/>
                <w:noProof/>
                <w:webHidden/>
                <w:sz w:val="22"/>
                <w:szCs w:val="22"/>
              </w:rPr>
              <w:fldChar w:fldCharType="end"/>
            </w:r>
          </w:hyperlink>
        </w:p>
        <w:p w14:paraId="2A046CB1" w14:textId="63FBAD13" w:rsidR="00BB6A62" w:rsidRPr="005D69C6" w:rsidRDefault="00BB6A62">
          <w:pPr>
            <w:pStyle w:val="TOC2"/>
            <w:tabs>
              <w:tab w:val="right" w:leader="dot" w:pos="9016"/>
            </w:tabs>
            <w:rPr>
              <w:rFonts w:ascii="Arial" w:hAnsi="Arial" w:cs="Arial"/>
              <w:noProof/>
              <w:sz w:val="22"/>
              <w:szCs w:val="22"/>
            </w:rPr>
          </w:pPr>
          <w:hyperlink w:anchor="_Toc232864066" w:history="1">
            <w:r w:rsidRPr="005D69C6">
              <w:rPr>
                <w:rStyle w:val="Hyperlink"/>
                <w:rFonts w:ascii="Arial" w:hAnsi="Arial" w:cs="Arial"/>
                <w:noProof/>
                <w:sz w:val="22"/>
                <w:szCs w:val="22"/>
              </w:rPr>
              <w:t>3.1 Strategic Growth Path for Vodafone</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_Toc232864066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10</w:t>
            </w:r>
            <w:r w:rsidRPr="005D69C6">
              <w:rPr>
                <w:rFonts w:ascii="Arial" w:hAnsi="Arial" w:cs="Arial"/>
                <w:noProof/>
                <w:webHidden/>
                <w:sz w:val="22"/>
                <w:szCs w:val="22"/>
              </w:rPr>
              <w:fldChar w:fldCharType="end"/>
            </w:r>
          </w:hyperlink>
        </w:p>
        <w:p w14:paraId="06CA8D7C" w14:textId="7F9D4FAC" w:rsidR="00BB6A62" w:rsidRPr="005D69C6" w:rsidRDefault="00BB6A62">
          <w:pPr>
            <w:pStyle w:val="TOC2"/>
            <w:tabs>
              <w:tab w:val="right" w:leader="dot" w:pos="9016"/>
            </w:tabs>
            <w:rPr>
              <w:rFonts w:ascii="Arial" w:hAnsi="Arial" w:cs="Arial"/>
              <w:noProof/>
              <w:sz w:val="22"/>
              <w:szCs w:val="22"/>
            </w:rPr>
          </w:pPr>
          <w:hyperlink w:anchor="_Toc232864067" w:history="1">
            <w:r w:rsidRPr="005D69C6">
              <w:rPr>
                <w:rStyle w:val="Hyperlink"/>
                <w:rFonts w:ascii="Arial" w:hAnsi="Arial" w:cs="Arial"/>
                <w:noProof/>
                <w:sz w:val="22"/>
                <w:szCs w:val="22"/>
              </w:rPr>
              <w:t>3.2 New Strategy Proposed</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_Toc232864067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10</w:t>
            </w:r>
            <w:r w:rsidRPr="005D69C6">
              <w:rPr>
                <w:rFonts w:ascii="Arial" w:hAnsi="Arial" w:cs="Arial"/>
                <w:noProof/>
                <w:webHidden/>
                <w:sz w:val="22"/>
                <w:szCs w:val="22"/>
              </w:rPr>
              <w:fldChar w:fldCharType="end"/>
            </w:r>
          </w:hyperlink>
        </w:p>
        <w:p w14:paraId="23A29010" w14:textId="56667C58" w:rsidR="00BB6A62" w:rsidRPr="005D69C6" w:rsidRDefault="00BB6A62">
          <w:pPr>
            <w:pStyle w:val="TOC2"/>
            <w:tabs>
              <w:tab w:val="right" w:leader="dot" w:pos="9016"/>
            </w:tabs>
            <w:rPr>
              <w:rFonts w:ascii="Arial" w:hAnsi="Arial" w:cs="Arial"/>
              <w:noProof/>
              <w:sz w:val="22"/>
              <w:szCs w:val="22"/>
            </w:rPr>
          </w:pPr>
          <w:hyperlink w:anchor="_Toc232864068" w:history="1">
            <w:r w:rsidRPr="005D69C6">
              <w:rPr>
                <w:rStyle w:val="Hyperlink"/>
                <w:rFonts w:ascii="Arial" w:hAnsi="Arial" w:cs="Arial"/>
                <w:noProof/>
                <w:sz w:val="22"/>
                <w:szCs w:val="22"/>
              </w:rPr>
              <w:t>3.3 Justification Using Porter's Generic Strategies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_Toc232864068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11</w:t>
            </w:r>
            <w:r w:rsidRPr="005D69C6">
              <w:rPr>
                <w:rFonts w:ascii="Arial" w:hAnsi="Arial" w:cs="Arial"/>
                <w:noProof/>
                <w:webHidden/>
                <w:sz w:val="22"/>
                <w:szCs w:val="22"/>
              </w:rPr>
              <w:fldChar w:fldCharType="end"/>
            </w:r>
          </w:hyperlink>
        </w:p>
        <w:p w14:paraId="2E7D6A44" w14:textId="7C6B7B6C" w:rsidR="00BB6A62" w:rsidRPr="005D69C6" w:rsidRDefault="00BB6A62">
          <w:pPr>
            <w:pStyle w:val="TOC2"/>
            <w:tabs>
              <w:tab w:val="right" w:leader="dot" w:pos="9016"/>
            </w:tabs>
            <w:rPr>
              <w:rFonts w:ascii="Arial" w:hAnsi="Arial" w:cs="Arial"/>
              <w:noProof/>
              <w:sz w:val="22"/>
              <w:szCs w:val="22"/>
            </w:rPr>
          </w:pPr>
          <w:hyperlink w:anchor="_Toc232864069" w:history="1">
            <w:r w:rsidRPr="005D69C6">
              <w:rPr>
                <w:rStyle w:val="Hyperlink"/>
                <w:rFonts w:ascii="Arial" w:hAnsi="Arial" w:cs="Arial"/>
                <w:noProof/>
                <w:sz w:val="22"/>
                <w:szCs w:val="22"/>
              </w:rPr>
              <w:t>3.4 Alignment with Vodafone's Values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_Toc232864069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11</w:t>
            </w:r>
            <w:r w:rsidRPr="005D69C6">
              <w:rPr>
                <w:rFonts w:ascii="Arial" w:hAnsi="Arial" w:cs="Arial"/>
                <w:noProof/>
                <w:webHidden/>
                <w:sz w:val="22"/>
                <w:szCs w:val="22"/>
              </w:rPr>
              <w:fldChar w:fldCharType="end"/>
            </w:r>
          </w:hyperlink>
        </w:p>
        <w:p w14:paraId="1C626BE0" w14:textId="502632F1" w:rsidR="00BB6A62" w:rsidRPr="005D69C6" w:rsidRDefault="00BB6A62">
          <w:pPr>
            <w:pStyle w:val="TOC1"/>
            <w:tabs>
              <w:tab w:val="right" w:leader="dot" w:pos="9016"/>
            </w:tabs>
            <w:rPr>
              <w:rFonts w:ascii="Arial" w:hAnsi="Arial" w:cs="Arial"/>
              <w:noProof/>
              <w:sz w:val="22"/>
              <w:szCs w:val="22"/>
            </w:rPr>
          </w:pPr>
          <w:hyperlink w:anchor="_Toc232864070" w:history="1">
            <w:r w:rsidRPr="005D69C6">
              <w:rPr>
                <w:rStyle w:val="Hyperlink"/>
                <w:rFonts w:ascii="Arial" w:hAnsi="Arial" w:cs="Arial"/>
                <w:noProof/>
                <w:sz w:val="22"/>
                <w:szCs w:val="22"/>
              </w:rPr>
              <w:t>4. Strategy Evaluation (SFA Framework)</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_Toc232864070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13</w:t>
            </w:r>
            <w:r w:rsidRPr="005D69C6">
              <w:rPr>
                <w:rFonts w:ascii="Arial" w:hAnsi="Arial" w:cs="Arial"/>
                <w:noProof/>
                <w:webHidden/>
                <w:sz w:val="22"/>
                <w:szCs w:val="22"/>
              </w:rPr>
              <w:fldChar w:fldCharType="end"/>
            </w:r>
          </w:hyperlink>
        </w:p>
        <w:p w14:paraId="06D13A8F" w14:textId="7AC6AD85" w:rsidR="00BB6A62" w:rsidRPr="005D69C6" w:rsidRDefault="00BB6A62">
          <w:pPr>
            <w:pStyle w:val="TOC1"/>
            <w:tabs>
              <w:tab w:val="right" w:leader="dot" w:pos="9016"/>
            </w:tabs>
            <w:rPr>
              <w:rFonts w:ascii="Arial" w:hAnsi="Arial" w:cs="Arial"/>
              <w:noProof/>
              <w:sz w:val="22"/>
              <w:szCs w:val="22"/>
            </w:rPr>
          </w:pPr>
          <w:hyperlink w:anchor="_Toc232864071" w:history="1">
            <w:r w:rsidRPr="005D69C6">
              <w:rPr>
                <w:rStyle w:val="Hyperlink"/>
                <w:rFonts w:ascii="Arial" w:hAnsi="Arial" w:cs="Arial"/>
                <w:noProof/>
                <w:sz w:val="22"/>
                <w:szCs w:val="22"/>
              </w:rPr>
              <w:t>5. Stakeholder Analysis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_Toc232864071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15</w:t>
            </w:r>
            <w:r w:rsidRPr="005D69C6">
              <w:rPr>
                <w:rFonts w:ascii="Arial" w:hAnsi="Arial" w:cs="Arial"/>
                <w:noProof/>
                <w:webHidden/>
                <w:sz w:val="22"/>
                <w:szCs w:val="22"/>
              </w:rPr>
              <w:fldChar w:fldCharType="end"/>
            </w:r>
          </w:hyperlink>
        </w:p>
        <w:p w14:paraId="23C02CAF" w14:textId="6AA69D87" w:rsidR="00BB6A62" w:rsidRPr="005D69C6" w:rsidRDefault="00BB6A62">
          <w:pPr>
            <w:pStyle w:val="TOC1"/>
            <w:tabs>
              <w:tab w:val="right" w:leader="dot" w:pos="9016"/>
            </w:tabs>
            <w:rPr>
              <w:rFonts w:ascii="Arial" w:hAnsi="Arial" w:cs="Arial"/>
              <w:noProof/>
              <w:sz w:val="22"/>
              <w:szCs w:val="22"/>
            </w:rPr>
          </w:pPr>
          <w:hyperlink w:anchor="_Toc232864072" w:history="1">
            <w:r w:rsidRPr="005D69C6">
              <w:rPr>
                <w:rStyle w:val="Hyperlink"/>
                <w:rFonts w:ascii="Arial" w:hAnsi="Arial" w:cs="Arial"/>
                <w:noProof/>
                <w:sz w:val="22"/>
                <w:szCs w:val="22"/>
              </w:rPr>
              <w:t>6. Implementation and monitoring</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_Toc232864072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17</w:t>
            </w:r>
            <w:r w:rsidRPr="005D69C6">
              <w:rPr>
                <w:rFonts w:ascii="Arial" w:hAnsi="Arial" w:cs="Arial"/>
                <w:noProof/>
                <w:webHidden/>
                <w:sz w:val="22"/>
                <w:szCs w:val="22"/>
              </w:rPr>
              <w:fldChar w:fldCharType="end"/>
            </w:r>
          </w:hyperlink>
        </w:p>
        <w:p w14:paraId="1E7EF9E9" w14:textId="58DB00BD" w:rsidR="00BB6A62" w:rsidRPr="005D69C6" w:rsidRDefault="00BB6A62">
          <w:pPr>
            <w:pStyle w:val="TOC1"/>
            <w:tabs>
              <w:tab w:val="right" w:leader="dot" w:pos="9016"/>
            </w:tabs>
            <w:rPr>
              <w:rFonts w:ascii="Arial" w:hAnsi="Arial" w:cs="Arial"/>
              <w:noProof/>
              <w:sz w:val="22"/>
              <w:szCs w:val="22"/>
            </w:rPr>
          </w:pPr>
          <w:hyperlink w:anchor="_Toc232864073" w:history="1">
            <w:r w:rsidRPr="005D69C6">
              <w:rPr>
                <w:rStyle w:val="Hyperlink"/>
                <w:rFonts w:ascii="Arial" w:hAnsi="Arial" w:cs="Arial"/>
                <w:noProof/>
                <w:sz w:val="22"/>
                <w:szCs w:val="22"/>
              </w:rPr>
              <w:t>7. Conclusion</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_Toc232864073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18</w:t>
            </w:r>
            <w:r w:rsidRPr="005D69C6">
              <w:rPr>
                <w:rFonts w:ascii="Arial" w:hAnsi="Arial" w:cs="Arial"/>
                <w:noProof/>
                <w:webHidden/>
                <w:sz w:val="22"/>
                <w:szCs w:val="22"/>
              </w:rPr>
              <w:fldChar w:fldCharType="end"/>
            </w:r>
          </w:hyperlink>
        </w:p>
        <w:p w14:paraId="08462C4D" w14:textId="37168F93" w:rsidR="00BB6A62" w:rsidRPr="005D69C6" w:rsidRDefault="00BB6A62">
          <w:pPr>
            <w:pStyle w:val="TOC1"/>
            <w:tabs>
              <w:tab w:val="right" w:leader="dot" w:pos="9016"/>
            </w:tabs>
            <w:rPr>
              <w:rFonts w:ascii="Arial" w:hAnsi="Arial" w:cs="Arial"/>
              <w:noProof/>
              <w:sz w:val="22"/>
              <w:szCs w:val="22"/>
            </w:rPr>
          </w:pPr>
          <w:hyperlink w:anchor="_Toc232864074" w:history="1">
            <w:r w:rsidRPr="005D69C6">
              <w:rPr>
                <w:rStyle w:val="Hyperlink"/>
                <w:rFonts w:ascii="Arial" w:hAnsi="Arial" w:cs="Arial"/>
                <w:noProof/>
                <w:sz w:val="22"/>
                <w:szCs w:val="22"/>
              </w:rPr>
              <w:t>References</w:t>
            </w:r>
            <w:r w:rsidRPr="005D69C6">
              <w:rPr>
                <w:rFonts w:ascii="Arial" w:hAnsi="Arial" w:cs="Arial"/>
                <w:noProof/>
                <w:webHidden/>
                <w:sz w:val="22"/>
                <w:szCs w:val="22"/>
              </w:rPr>
              <w:tab/>
            </w:r>
            <w:r w:rsidRPr="005D69C6">
              <w:rPr>
                <w:rFonts w:ascii="Arial" w:hAnsi="Arial" w:cs="Arial"/>
                <w:noProof/>
                <w:webHidden/>
                <w:sz w:val="22"/>
                <w:szCs w:val="22"/>
              </w:rPr>
              <w:fldChar w:fldCharType="begin"/>
            </w:r>
            <w:r w:rsidRPr="005D69C6">
              <w:rPr>
                <w:rFonts w:ascii="Arial" w:hAnsi="Arial" w:cs="Arial"/>
                <w:noProof/>
                <w:webHidden/>
                <w:sz w:val="22"/>
                <w:szCs w:val="22"/>
              </w:rPr>
              <w:instrText xml:space="preserve"> PAGEREF _Toc232864074 \h </w:instrText>
            </w:r>
            <w:r w:rsidRPr="005D69C6">
              <w:rPr>
                <w:rFonts w:ascii="Arial" w:hAnsi="Arial" w:cs="Arial"/>
                <w:noProof/>
                <w:webHidden/>
                <w:sz w:val="22"/>
                <w:szCs w:val="22"/>
              </w:rPr>
            </w:r>
            <w:r w:rsidRPr="005D69C6">
              <w:rPr>
                <w:rFonts w:ascii="Arial" w:hAnsi="Arial" w:cs="Arial"/>
                <w:noProof/>
                <w:webHidden/>
                <w:sz w:val="22"/>
                <w:szCs w:val="22"/>
              </w:rPr>
              <w:fldChar w:fldCharType="separate"/>
            </w:r>
            <w:r w:rsidR="00C11BA4">
              <w:rPr>
                <w:rFonts w:ascii="Arial" w:hAnsi="Arial" w:cs="Arial"/>
                <w:noProof/>
                <w:webHidden/>
                <w:sz w:val="22"/>
                <w:szCs w:val="22"/>
              </w:rPr>
              <w:t>19</w:t>
            </w:r>
            <w:r w:rsidRPr="005D69C6">
              <w:rPr>
                <w:rFonts w:ascii="Arial" w:hAnsi="Arial" w:cs="Arial"/>
                <w:noProof/>
                <w:webHidden/>
                <w:sz w:val="22"/>
                <w:szCs w:val="22"/>
              </w:rPr>
              <w:fldChar w:fldCharType="end"/>
            </w:r>
          </w:hyperlink>
        </w:p>
        <w:p w14:paraId="2E55EF4C" w14:textId="149CA908" w:rsidR="00E10A77" w:rsidRPr="00BB6A62" w:rsidRDefault="00BB6A62" w:rsidP="00BB6A62">
          <w:r w:rsidRPr="005D69C6">
            <w:rPr>
              <w:rFonts w:ascii="Arial" w:hAnsi="Arial" w:cs="Arial"/>
              <w:b/>
              <w:bCs/>
              <w:noProof/>
              <w:sz w:val="22"/>
              <w:szCs w:val="22"/>
            </w:rPr>
            <w:fldChar w:fldCharType="end"/>
          </w:r>
        </w:p>
      </w:sdtContent>
    </w:sdt>
    <w:p w14:paraId="2B42B2DD" w14:textId="77777777" w:rsidR="00E10A77" w:rsidRDefault="00E10A77" w:rsidP="005D69C6"/>
    <w:p w14:paraId="60981D42" w14:textId="77777777" w:rsidR="005D69C6" w:rsidRDefault="005D69C6" w:rsidP="005D69C6"/>
    <w:p w14:paraId="33DDCDA7" w14:textId="77777777" w:rsidR="005D69C6" w:rsidRDefault="005D69C6" w:rsidP="005D69C6"/>
    <w:p w14:paraId="057995F3" w14:textId="32D166C2" w:rsidR="008A04F6" w:rsidRPr="00BB6A62" w:rsidRDefault="00273D7F" w:rsidP="00BB6A62">
      <w:pPr>
        <w:pStyle w:val="Heading1"/>
      </w:pPr>
      <w:bookmarkStart w:id="1" w:name="_Toc232864049"/>
      <w:r w:rsidRPr="00BB6A62">
        <w:lastRenderedPageBreak/>
        <w:t xml:space="preserve">1. </w:t>
      </w:r>
      <w:r w:rsidR="002D588F" w:rsidRPr="00BB6A62">
        <w:t>Introduction to Vodafone</w:t>
      </w:r>
      <w:bookmarkEnd w:id="1"/>
      <w:r w:rsidR="002D588F" w:rsidRPr="00BB6A62">
        <w:t xml:space="preserve"> </w:t>
      </w:r>
    </w:p>
    <w:p w14:paraId="7011D64F" w14:textId="47C021AB" w:rsidR="009774A0" w:rsidRPr="009774A0" w:rsidRDefault="009774A0" w:rsidP="009774A0">
      <w:pPr>
        <w:spacing w:line="360" w:lineRule="auto"/>
        <w:jc w:val="both"/>
        <w:rPr>
          <w:rFonts w:ascii="Arial" w:hAnsi="Arial" w:cs="Arial"/>
          <w:sz w:val="22"/>
          <w:szCs w:val="22"/>
        </w:rPr>
      </w:pPr>
      <w:r w:rsidRPr="009774A0">
        <w:rPr>
          <w:rFonts w:ascii="Arial" w:hAnsi="Arial" w:cs="Arial"/>
          <w:sz w:val="22"/>
          <w:szCs w:val="22"/>
        </w:rPr>
        <w:t>The Vodafone Group plc was established in 1984 with its headquarters in the United Kingdom and it has now grown into one of the biggest telecommunications companies in the world via internal growth acquisitions and strategic alliances (da Silva Coutinho, 2021). The company operates in Europe and Africa offering mobile and fixed connectivity, cloud, cyber security, Internet of Things (IoT), and financial services to businesses and customers (Vodafone, 2026).</w:t>
      </w:r>
    </w:p>
    <w:p w14:paraId="77579187" w14:textId="77777777" w:rsidR="009774A0" w:rsidRPr="009774A0" w:rsidRDefault="009774A0" w:rsidP="009774A0">
      <w:pPr>
        <w:spacing w:line="360" w:lineRule="auto"/>
        <w:jc w:val="both"/>
        <w:rPr>
          <w:rFonts w:ascii="Arial" w:hAnsi="Arial" w:cs="Arial"/>
          <w:sz w:val="22"/>
          <w:szCs w:val="22"/>
        </w:rPr>
      </w:pPr>
      <w:r w:rsidRPr="009774A0">
        <w:rPr>
          <w:rFonts w:ascii="Arial" w:hAnsi="Arial" w:cs="Arial"/>
          <w:sz w:val="22"/>
          <w:szCs w:val="22"/>
        </w:rPr>
        <w:t xml:space="preserve">According to Vodafone’s mission statement the company is committed to bringing people together and to creating a digital society that is more sustainable and trusted by everyone. To achieve this mission, the organisation uses technology and innovations to empower people, companies and communities for thriving in a progressively digital world. The vision of Vodafone is to be a leading telecommunication company shaping the future of connectivity (Vodafone, 2026). </w:t>
      </w:r>
    </w:p>
    <w:p w14:paraId="7576D98E" w14:textId="77777777" w:rsidR="009774A0" w:rsidRPr="009774A0" w:rsidRDefault="009774A0" w:rsidP="009774A0">
      <w:pPr>
        <w:spacing w:line="360" w:lineRule="auto"/>
        <w:jc w:val="both"/>
        <w:rPr>
          <w:rFonts w:ascii="Arial" w:hAnsi="Arial" w:cs="Arial"/>
          <w:sz w:val="22"/>
          <w:szCs w:val="22"/>
        </w:rPr>
      </w:pPr>
      <w:r w:rsidRPr="009774A0">
        <w:rPr>
          <w:rFonts w:ascii="Arial" w:hAnsi="Arial" w:cs="Arial"/>
          <w:sz w:val="22"/>
          <w:szCs w:val="22"/>
        </w:rPr>
        <w:t>Vodafone key pillars of strategy include the following three areas: customers, simplicity, and growth. These pillars are underpinned with core values that centre customer focus, trust, innovation and sustainability. Furthermore, Vodafone also work with partners from the tech field including Google and Microsoft to enhance customers' experience by leveraging cloud computing and artificial intelligence solutions and capabilities (Vodafone, 2026).</w:t>
      </w:r>
    </w:p>
    <w:p w14:paraId="6B8523FB" w14:textId="77777777" w:rsidR="009774A0" w:rsidRPr="009774A0" w:rsidRDefault="009774A0" w:rsidP="009774A0">
      <w:pPr>
        <w:spacing w:line="360" w:lineRule="auto"/>
        <w:jc w:val="both"/>
        <w:rPr>
          <w:rFonts w:ascii="Arial" w:hAnsi="Arial" w:cs="Arial"/>
          <w:sz w:val="22"/>
          <w:szCs w:val="22"/>
        </w:rPr>
      </w:pPr>
      <w:r w:rsidRPr="009774A0">
        <w:rPr>
          <w:rFonts w:ascii="Arial" w:hAnsi="Arial" w:cs="Arial"/>
          <w:sz w:val="22"/>
          <w:szCs w:val="22"/>
        </w:rPr>
        <w:t xml:space="preserve">The recent merging of Vodafone UK and Three UK is regarded as a significant milestone in the transition of the company. The merger with the capitalisation of £16.5 billion resulted in the creation of VodafoneThree, Britain’s largest mobile network operator with over 27 million subscribers and an £11 billion investment plan to construct the most modern 5G network. Using technologies such as internet of Things (IoT), self-driving cars, smart cities solutions, the merger allows Vodafone to obtain a competitive advantage in the market and continue network expansion and growth (VodafoneThree, 2026). </w:t>
      </w:r>
    </w:p>
    <w:p w14:paraId="6DC236B6" w14:textId="77777777" w:rsidR="009774A0" w:rsidRPr="009774A0" w:rsidRDefault="009774A0" w:rsidP="009774A0">
      <w:pPr>
        <w:spacing w:line="360" w:lineRule="auto"/>
        <w:jc w:val="both"/>
        <w:rPr>
          <w:rFonts w:ascii="Arial" w:hAnsi="Arial" w:cs="Arial"/>
          <w:sz w:val="22"/>
          <w:szCs w:val="22"/>
        </w:rPr>
      </w:pPr>
      <w:r w:rsidRPr="009774A0">
        <w:rPr>
          <w:rFonts w:ascii="Arial" w:hAnsi="Arial" w:cs="Arial"/>
          <w:sz w:val="22"/>
          <w:szCs w:val="22"/>
        </w:rPr>
        <w:t>The aim of this report is to analyse the current strategic position of Vodafone and propose some suggestions on growth strategies for Vodafone to support long-term competitive advantage and long run business success.</w:t>
      </w:r>
    </w:p>
    <w:p w14:paraId="576093CE" w14:textId="4EB9DEED" w:rsidR="00280B10" w:rsidRPr="00BB6A62" w:rsidRDefault="00280B10" w:rsidP="009774A0">
      <w:pPr>
        <w:spacing w:line="360" w:lineRule="auto"/>
        <w:jc w:val="both"/>
        <w:rPr>
          <w:rFonts w:ascii="Arial" w:hAnsi="Arial" w:cs="Arial"/>
          <w:sz w:val="22"/>
          <w:szCs w:val="22"/>
        </w:rPr>
      </w:pPr>
    </w:p>
    <w:p w14:paraId="6FFEEF5E" w14:textId="77777777" w:rsidR="00F91C55" w:rsidRDefault="00F91C55" w:rsidP="0019017D">
      <w:pPr>
        <w:spacing w:line="360" w:lineRule="auto"/>
        <w:jc w:val="both"/>
        <w:rPr>
          <w:rFonts w:ascii="Times New Roman" w:hAnsi="Times New Roman" w:cs="Times New Roman"/>
          <w:b/>
          <w:bCs/>
        </w:rPr>
      </w:pPr>
    </w:p>
    <w:p w14:paraId="6E8A422F" w14:textId="77777777" w:rsidR="00F91C55" w:rsidRDefault="00F91C55" w:rsidP="0019017D">
      <w:pPr>
        <w:spacing w:line="360" w:lineRule="auto"/>
        <w:jc w:val="both"/>
        <w:rPr>
          <w:rFonts w:ascii="Times New Roman" w:hAnsi="Times New Roman" w:cs="Times New Roman"/>
          <w:b/>
          <w:bCs/>
        </w:rPr>
      </w:pPr>
    </w:p>
    <w:p w14:paraId="02EDCD23" w14:textId="77777777" w:rsidR="00F91C55" w:rsidRDefault="00F91C55" w:rsidP="0019017D">
      <w:pPr>
        <w:spacing w:line="360" w:lineRule="auto"/>
        <w:jc w:val="both"/>
        <w:rPr>
          <w:rFonts w:ascii="Times New Roman" w:hAnsi="Times New Roman" w:cs="Times New Roman"/>
          <w:b/>
          <w:bCs/>
        </w:rPr>
      </w:pPr>
    </w:p>
    <w:p w14:paraId="2B438F99" w14:textId="4919EEDF" w:rsidR="00E804EF" w:rsidRPr="00BB6A62" w:rsidRDefault="00273D7F" w:rsidP="00BB6A62">
      <w:pPr>
        <w:pStyle w:val="Heading1"/>
        <w:rPr>
          <w:rFonts w:cs="Arial"/>
        </w:rPr>
      </w:pPr>
      <w:bookmarkStart w:id="2" w:name="_Toc232864050"/>
      <w:r w:rsidRPr="00BB6A62">
        <w:rPr>
          <w:rFonts w:cs="Arial"/>
        </w:rPr>
        <w:lastRenderedPageBreak/>
        <w:t xml:space="preserve">2. </w:t>
      </w:r>
      <w:r w:rsidR="002D588F" w:rsidRPr="00BB6A62">
        <w:rPr>
          <w:rFonts w:cs="Arial"/>
        </w:rPr>
        <w:t>Evaluation of current market situation</w:t>
      </w:r>
      <w:bookmarkEnd w:id="2"/>
      <w:r w:rsidR="002D588F" w:rsidRPr="00BB6A62">
        <w:rPr>
          <w:rFonts w:cs="Arial"/>
        </w:rPr>
        <w:t xml:space="preserve"> </w:t>
      </w:r>
    </w:p>
    <w:p w14:paraId="16ABE128" w14:textId="00E96E3E" w:rsidR="00E264F9" w:rsidRPr="00BB6A62" w:rsidRDefault="00441A9B" w:rsidP="00BB6A62">
      <w:pPr>
        <w:pStyle w:val="Heading2"/>
      </w:pPr>
      <w:bookmarkStart w:id="3" w:name="_Toc232864051"/>
      <w:r w:rsidRPr="00BB6A62">
        <w:t xml:space="preserve">2.1 </w:t>
      </w:r>
      <w:r w:rsidR="00BC6C91" w:rsidRPr="00BB6A62">
        <w:t>SWOT Analysis</w:t>
      </w:r>
      <w:bookmarkEnd w:id="3"/>
      <w:r w:rsidR="00E264F9" w:rsidRPr="00BB6A62">
        <w:t xml:space="preserve"> </w:t>
      </w:r>
    </w:p>
    <w:p w14:paraId="5DFDC97F" w14:textId="36A949A2" w:rsidR="00012D4D" w:rsidRPr="00BB6A62" w:rsidRDefault="00012D4D" w:rsidP="0019017D">
      <w:pPr>
        <w:spacing w:line="360" w:lineRule="auto"/>
        <w:jc w:val="both"/>
        <w:rPr>
          <w:rFonts w:ascii="Arial" w:hAnsi="Arial" w:cs="Arial"/>
          <w:sz w:val="22"/>
          <w:szCs w:val="22"/>
        </w:rPr>
      </w:pPr>
      <w:r w:rsidRPr="00012D4D">
        <w:rPr>
          <w:rFonts w:ascii="Arial" w:hAnsi="Arial" w:cs="Arial"/>
          <w:sz w:val="22"/>
          <w:szCs w:val="22"/>
        </w:rPr>
        <w:t>SWOT analysis is one of the most popularly used tools for strategic analysis because through this tool, an organization can analyse its strengths and weaknesses along with opportunities and threats in the business environment (Al-Sunna, 2017). The SWOT analysis of Vodafone is presented in the fallowing table:</w:t>
      </w:r>
    </w:p>
    <w:p w14:paraId="62E4694C" w14:textId="41C8975D" w:rsidR="003B24F4" w:rsidRPr="00BB6A62" w:rsidRDefault="009A5C77" w:rsidP="0019017D">
      <w:pPr>
        <w:spacing w:line="360" w:lineRule="auto"/>
        <w:jc w:val="both"/>
        <w:rPr>
          <w:rFonts w:ascii="Arial" w:hAnsi="Arial" w:cs="Arial"/>
          <w:b/>
          <w:bCs/>
          <w:sz w:val="22"/>
          <w:szCs w:val="22"/>
        </w:rPr>
      </w:pPr>
      <w:r w:rsidRPr="00BB6A62">
        <w:rPr>
          <w:rFonts w:ascii="Arial" w:hAnsi="Arial" w:cs="Arial"/>
          <w:b/>
          <w:bCs/>
          <w:sz w:val="22"/>
          <w:szCs w:val="22"/>
        </w:rPr>
        <w:t xml:space="preserve">Table 1: SWOT analysis of Vodafone </w:t>
      </w:r>
    </w:p>
    <w:tbl>
      <w:tblPr>
        <w:tblStyle w:val="TableGrid"/>
        <w:tblW w:w="0" w:type="auto"/>
        <w:tblLook w:val="04A0" w:firstRow="1" w:lastRow="0" w:firstColumn="1" w:lastColumn="0" w:noHBand="0" w:noVBand="1"/>
      </w:tblPr>
      <w:tblGrid>
        <w:gridCol w:w="5234"/>
        <w:gridCol w:w="3782"/>
      </w:tblGrid>
      <w:tr w:rsidR="00B5160E" w:rsidRPr="00BB6A62" w14:paraId="1F97AAD8" w14:textId="77777777" w:rsidTr="00B5160E">
        <w:tc>
          <w:tcPr>
            <w:tcW w:w="0" w:type="auto"/>
            <w:hideMark/>
          </w:tcPr>
          <w:p w14:paraId="2EA62F12" w14:textId="77777777" w:rsidR="00B5160E" w:rsidRPr="00BB6A62" w:rsidRDefault="00B5160E" w:rsidP="00343933">
            <w:pPr>
              <w:spacing w:after="160" w:line="276" w:lineRule="auto"/>
              <w:jc w:val="both"/>
              <w:rPr>
                <w:rFonts w:ascii="Arial" w:hAnsi="Arial" w:cs="Arial"/>
                <w:b/>
                <w:bCs/>
                <w:sz w:val="22"/>
                <w:szCs w:val="22"/>
              </w:rPr>
            </w:pPr>
            <w:r w:rsidRPr="00BB6A62">
              <w:rPr>
                <w:rFonts w:ascii="Arial" w:hAnsi="Arial" w:cs="Arial"/>
                <w:b/>
                <w:bCs/>
                <w:sz w:val="22"/>
                <w:szCs w:val="22"/>
              </w:rPr>
              <w:t>Strengths</w:t>
            </w:r>
          </w:p>
        </w:tc>
        <w:tc>
          <w:tcPr>
            <w:tcW w:w="0" w:type="auto"/>
            <w:hideMark/>
          </w:tcPr>
          <w:p w14:paraId="386897E3" w14:textId="77777777" w:rsidR="00B5160E" w:rsidRPr="00BB6A62" w:rsidRDefault="00B5160E" w:rsidP="00343933">
            <w:pPr>
              <w:spacing w:after="160" w:line="276" w:lineRule="auto"/>
              <w:jc w:val="both"/>
              <w:rPr>
                <w:rFonts w:ascii="Arial" w:hAnsi="Arial" w:cs="Arial"/>
                <w:b/>
                <w:bCs/>
                <w:sz w:val="22"/>
                <w:szCs w:val="22"/>
              </w:rPr>
            </w:pPr>
            <w:r w:rsidRPr="00BB6A62">
              <w:rPr>
                <w:rFonts w:ascii="Arial" w:hAnsi="Arial" w:cs="Arial"/>
                <w:b/>
                <w:bCs/>
                <w:sz w:val="22"/>
                <w:szCs w:val="22"/>
              </w:rPr>
              <w:t>Weaknesses</w:t>
            </w:r>
          </w:p>
        </w:tc>
      </w:tr>
      <w:tr w:rsidR="00B5160E" w:rsidRPr="00BB6A62" w14:paraId="63AA52FD" w14:textId="77777777" w:rsidTr="00B5160E">
        <w:tc>
          <w:tcPr>
            <w:tcW w:w="0" w:type="auto"/>
            <w:hideMark/>
          </w:tcPr>
          <w:p w14:paraId="1881EFF8"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Strong global brand recognition</w:t>
            </w:r>
          </w:p>
        </w:tc>
        <w:tc>
          <w:tcPr>
            <w:tcW w:w="0" w:type="auto"/>
            <w:hideMark/>
          </w:tcPr>
          <w:p w14:paraId="4BDFCC38"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Complex VodafoneThree integration process</w:t>
            </w:r>
          </w:p>
        </w:tc>
      </w:tr>
      <w:tr w:rsidR="00B5160E" w:rsidRPr="00BB6A62" w14:paraId="2B14A30E" w14:textId="77777777" w:rsidTr="00B5160E">
        <w:tc>
          <w:tcPr>
            <w:tcW w:w="0" w:type="auto"/>
            <w:hideMark/>
          </w:tcPr>
          <w:p w14:paraId="183E9B2A"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Largest UK mobile operator following the merger</w:t>
            </w:r>
          </w:p>
        </w:tc>
        <w:tc>
          <w:tcPr>
            <w:tcW w:w="0" w:type="auto"/>
            <w:hideMark/>
          </w:tcPr>
          <w:p w14:paraId="34D35946"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High capital expenditure requirements</w:t>
            </w:r>
          </w:p>
        </w:tc>
      </w:tr>
      <w:tr w:rsidR="00B5160E" w:rsidRPr="00BB6A62" w14:paraId="775EF801" w14:textId="77777777" w:rsidTr="00B5160E">
        <w:tc>
          <w:tcPr>
            <w:tcW w:w="0" w:type="auto"/>
            <w:hideMark/>
          </w:tcPr>
          <w:p w14:paraId="51C014A5"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£11 billion investment in 5G infrastructure</w:t>
            </w:r>
          </w:p>
        </w:tc>
        <w:tc>
          <w:tcPr>
            <w:tcW w:w="0" w:type="auto"/>
            <w:hideMark/>
          </w:tcPr>
          <w:p w14:paraId="50E4DF7F"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Dependence on regulated markets</w:t>
            </w:r>
          </w:p>
        </w:tc>
      </w:tr>
      <w:tr w:rsidR="00B5160E" w:rsidRPr="00BB6A62" w14:paraId="05B097FD" w14:textId="77777777" w:rsidTr="00B5160E">
        <w:tc>
          <w:tcPr>
            <w:tcW w:w="0" w:type="auto"/>
            <w:hideMark/>
          </w:tcPr>
          <w:p w14:paraId="115D3BA6"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Extensive IoT capabilities (244 million connections) and technology partnerships</w:t>
            </w:r>
          </w:p>
        </w:tc>
        <w:tc>
          <w:tcPr>
            <w:tcW w:w="0" w:type="auto"/>
            <w:hideMark/>
          </w:tcPr>
          <w:p w14:paraId="40C5F764" w14:textId="77777777" w:rsidR="00B5160E" w:rsidRPr="00BB6A62" w:rsidRDefault="00B5160E" w:rsidP="00343933">
            <w:pPr>
              <w:spacing w:after="160" w:line="276" w:lineRule="auto"/>
              <w:jc w:val="both"/>
              <w:rPr>
                <w:rFonts w:ascii="Arial" w:hAnsi="Arial" w:cs="Arial"/>
                <w:sz w:val="22"/>
                <w:szCs w:val="22"/>
              </w:rPr>
            </w:pPr>
            <w:r w:rsidRPr="00BB6A62">
              <w:rPr>
                <w:rFonts w:ascii="Arial" w:hAnsi="Arial" w:cs="Arial"/>
                <w:sz w:val="22"/>
                <w:szCs w:val="22"/>
              </w:rPr>
              <w:t>Complex multinational operations</w:t>
            </w:r>
          </w:p>
        </w:tc>
      </w:tr>
      <w:tr w:rsidR="008C72EA" w:rsidRPr="00BB6A62" w14:paraId="2F96DB89" w14:textId="77777777" w:rsidTr="008C72EA">
        <w:tc>
          <w:tcPr>
            <w:tcW w:w="0" w:type="auto"/>
            <w:hideMark/>
          </w:tcPr>
          <w:p w14:paraId="45AF5DD5" w14:textId="77777777" w:rsidR="008C72EA" w:rsidRPr="00BB6A62" w:rsidRDefault="008C72EA" w:rsidP="00343933">
            <w:pPr>
              <w:spacing w:after="160" w:line="276" w:lineRule="auto"/>
              <w:jc w:val="both"/>
              <w:rPr>
                <w:rFonts w:ascii="Arial" w:hAnsi="Arial" w:cs="Arial"/>
                <w:b/>
                <w:bCs/>
                <w:sz w:val="22"/>
                <w:szCs w:val="22"/>
              </w:rPr>
            </w:pPr>
            <w:r w:rsidRPr="00BB6A62">
              <w:rPr>
                <w:rFonts w:ascii="Arial" w:hAnsi="Arial" w:cs="Arial"/>
                <w:b/>
                <w:bCs/>
                <w:sz w:val="22"/>
                <w:szCs w:val="22"/>
              </w:rPr>
              <w:t>Opportunities</w:t>
            </w:r>
          </w:p>
        </w:tc>
        <w:tc>
          <w:tcPr>
            <w:tcW w:w="0" w:type="auto"/>
            <w:hideMark/>
          </w:tcPr>
          <w:p w14:paraId="73AF8539" w14:textId="77777777" w:rsidR="008C72EA" w:rsidRPr="00BB6A62" w:rsidRDefault="008C72EA" w:rsidP="00343933">
            <w:pPr>
              <w:spacing w:after="160" w:line="276" w:lineRule="auto"/>
              <w:jc w:val="both"/>
              <w:rPr>
                <w:rFonts w:ascii="Arial" w:hAnsi="Arial" w:cs="Arial"/>
                <w:b/>
                <w:bCs/>
                <w:sz w:val="22"/>
                <w:szCs w:val="22"/>
              </w:rPr>
            </w:pPr>
            <w:r w:rsidRPr="00BB6A62">
              <w:rPr>
                <w:rFonts w:ascii="Arial" w:hAnsi="Arial" w:cs="Arial"/>
                <w:b/>
                <w:bCs/>
                <w:sz w:val="22"/>
                <w:szCs w:val="22"/>
              </w:rPr>
              <w:t>Threats</w:t>
            </w:r>
          </w:p>
        </w:tc>
      </w:tr>
      <w:tr w:rsidR="008C72EA" w:rsidRPr="00BB6A62" w14:paraId="1907D1EC" w14:textId="77777777" w:rsidTr="008C72EA">
        <w:tc>
          <w:tcPr>
            <w:tcW w:w="0" w:type="auto"/>
            <w:hideMark/>
          </w:tcPr>
          <w:p w14:paraId="4970EC1D"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Expansion of IoT and smart city solutions</w:t>
            </w:r>
          </w:p>
        </w:tc>
        <w:tc>
          <w:tcPr>
            <w:tcW w:w="0" w:type="auto"/>
            <w:hideMark/>
          </w:tcPr>
          <w:p w14:paraId="0C1EEA1B"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Intense competition from BT/EE and Virgin Media O2</w:t>
            </w:r>
          </w:p>
        </w:tc>
      </w:tr>
      <w:tr w:rsidR="008C72EA" w:rsidRPr="00BB6A62" w14:paraId="79AD9709" w14:textId="77777777" w:rsidTr="008C72EA">
        <w:tc>
          <w:tcPr>
            <w:tcW w:w="0" w:type="auto"/>
            <w:hideMark/>
          </w:tcPr>
          <w:p w14:paraId="5C0D027B"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Growth in AI, cloud and digital services</w:t>
            </w:r>
          </w:p>
        </w:tc>
        <w:tc>
          <w:tcPr>
            <w:tcW w:w="0" w:type="auto"/>
            <w:hideMark/>
          </w:tcPr>
          <w:p w14:paraId="7A2507EA"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Regulatory intervention</w:t>
            </w:r>
          </w:p>
        </w:tc>
      </w:tr>
      <w:tr w:rsidR="008C72EA" w:rsidRPr="00BB6A62" w14:paraId="1A1B8E52" w14:textId="77777777" w:rsidTr="008C72EA">
        <w:tc>
          <w:tcPr>
            <w:tcW w:w="0" w:type="auto"/>
            <w:hideMark/>
          </w:tcPr>
          <w:p w14:paraId="13883E5E"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Rural connectivity and 5G expansion</w:t>
            </w:r>
          </w:p>
        </w:tc>
        <w:tc>
          <w:tcPr>
            <w:tcW w:w="0" w:type="auto"/>
            <w:hideMark/>
          </w:tcPr>
          <w:p w14:paraId="6CCD46A1"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Cybersecurity risks</w:t>
            </w:r>
          </w:p>
        </w:tc>
      </w:tr>
      <w:tr w:rsidR="008C72EA" w:rsidRPr="00BB6A62" w14:paraId="14238FD4" w14:textId="77777777" w:rsidTr="008C72EA">
        <w:tc>
          <w:tcPr>
            <w:tcW w:w="0" w:type="auto"/>
            <w:hideMark/>
          </w:tcPr>
          <w:p w14:paraId="2E2F8EC5"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Digital payments and FinTech growth</w:t>
            </w:r>
          </w:p>
        </w:tc>
        <w:tc>
          <w:tcPr>
            <w:tcW w:w="0" w:type="auto"/>
            <w:hideMark/>
          </w:tcPr>
          <w:p w14:paraId="7184F122" w14:textId="77777777" w:rsidR="008C72EA" w:rsidRPr="00BB6A62" w:rsidRDefault="008C72EA" w:rsidP="00343933">
            <w:pPr>
              <w:spacing w:after="160" w:line="276" w:lineRule="auto"/>
              <w:jc w:val="both"/>
              <w:rPr>
                <w:rFonts w:ascii="Arial" w:hAnsi="Arial" w:cs="Arial"/>
                <w:sz w:val="22"/>
                <w:szCs w:val="22"/>
              </w:rPr>
            </w:pPr>
            <w:r w:rsidRPr="00BB6A62">
              <w:rPr>
                <w:rFonts w:ascii="Arial" w:hAnsi="Arial" w:cs="Arial"/>
                <w:sz w:val="22"/>
                <w:szCs w:val="22"/>
              </w:rPr>
              <w:t>Rapid technological change</w:t>
            </w:r>
          </w:p>
        </w:tc>
      </w:tr>
    </w:tbl>
    <w:p w14:paraId="1037FB05" w14:textId="77777777" w:rsidR="00343933" w:rsidRPr="00BB6A62" w:rsidRDefault="00343933" w:rsidP="0019017D">
      <w:pPr>
        <w:spacing w:line="360" w:lineRule="auto"/>
        <w:jc w:val="both"/>
        <w:rPr>
          <w:rFonts w:ascii="Arial" w:hAnsi="Arial" w:cs="Arial"/>
          <w:sz w:val="22"/>
          <w:szCs w:val="22"/>
        </w:rPr>
      </w:pPr>
    </w:p>
    <w:p w14:paraId="7B1595E8" w14:textId="4535FBD9" w:rsidR="0060526C" w:rsidRPr="0060526C" w:rsidRDefault="0060526C" w:rsidP="0060526C">
      <w:pPr>
        <w:spacing w:line="360" w:lineRule="auto"/>
        <w:jc w:val="both"/>
        <w:rPr>
          <w:rFonts w:ascii="Arial" w:hAnsi="Arial" w:cs="Arial"/>
          <w:sz w:val="22"/>
          <w:szCs w:val="22"/>
        </w:rPr>
      </w:pPr>
      <w:r w:rsidRPr="0060526C">
        <w:rPr>
          <w:rFonts w:ascii="Arial" w:hAnsi="Arial" w:cs="Arial"/>
          <w:sz w:val="22"/>
          <w:szCs w:val="22"/>
        </w:rPr>
        <w:t>The SWOT analysis of Vodafone highlights the strengths of Vodafone, which include its strong market position due to the VodafoneThree merge, supported by extensive investments in 5G technology and the IoT capability. These strengths support a solid foundation for future growth and innovation. Opportunities in the use of AI, cloud computing, digital payments, rural connectivity and smart cities solutions will be useful in driving future growth potential. However, the successful merge of VodafoneThree and the massive capital investment required may pose some challenges, while competitive rivalry and regulatory oversight are one of the main threats that the company faces (Vodafone Group Plc 2026; Vodafone 2026; VodafoneThree 2026).</w:t>
      </w:r>
    </w:p>
    <w:p w14:paraId="6E7BE07D" w14:textId="0624E629" w:rsidR="00301C1E" w:rsidRPr="00BB6A62" w:rsidRDefault="00301C1E" w:rsidP="0019017D">
      <w:pPr>
        <w:spacing w:line="360" w:lineRule="auto"/>
        <w:jc w:val="both"/>
        <w:rPr>
          <w:rFonts w:ascii="Arial" w:hAnsi="Arial" w:cs="Arial"/>
          <w:sz w:val="22"/>
          <w:szCs w:val="22"/>
        </w:rPr>
      </w:pPr>
    </w:p>
    <w:p w14:paraId="372F7C74" w14:textId="77777777" w:rsidR="00BB6A62" w:rsidRPr="00BB6A62" w:rsidRDefault="00BB6A62" w:rsidP="0019017D">
      <w:pPr>
        <w:spacing w:line="360" w:lineRule="auto"/>
        <w:jc w:val="both"/>
        <w:rPr>
          <w:rFonts w:ascii="Times New Roman" w:hAnsi="Times New Roman" w:cs="Times New Roman"/>
          <w:sz w:val="22"/>
          <w:szCs w:val="22"/>
        </w:rPr>
      </w:pPr>
    </w:p>
    <w:p w14:paraId="409A0EF6" w14:textId="79CD360D" w:rsidR="00BC6C91" w:rsidRDefault="00441A9B" w:rsidP="005D69C6">
      <w:pPr>
        <w:pStyle w:val="Heading2"/>
      </w:pPr>
      <w:bookmarkStart w:id="4" w:name="_Toc232864052"/>
      <w:r>
        <w:lastRenderedPageBreak/>
        <w:t xml:space="preserve">2.2 </w:t>
      </w:r>
      <w:r w:rsidR="00BC6C91" w:rsidRPr="005D69C6">
        <w:t>PESTL</w:t>
      </w:r>
      <w:r w:rsidR="009F644F" w:rsidRPr="005D69C6">
        <w:t>E</w:t>
      </w:r>
      <w:r w:rsidR="009F644F">
        <w:t xml:space="preserve"> </w:t>
      </w:r>
      <w:r w:rsidR="00BC6C91" w:rsidRPr="0019017D">
        <w:t>Analysis</w:t>
      </w:r>
      <w:bookmarkEnd w:id="4"/>
    </w:p>
    <w:p w14:paraId="397387AC" w14:textId="7E134FBB" w:rsidR="00BB6A62" w:rsidRDefault="008A38C9" w:rsidP="0019017D">
      <w:pPr>
        <w:spacing w:line="360" w:lineRule="auto"/>
        <w:jc w:val="both"/>
        <w:rPr>
          <w:rFonts w:ascii="Arial" w:hAnsi="Arial" w:cs="Arial"/>
          <w:sz w:val="22"/>
          <w:szCs w:val="22"/>
        </w:rPr>
      </w:pPr>
      <w:r w:rsidRPr="008A38C9">
        <w:rPr>
          <w:rFonts w:ascii="Arial" w:hAnsi="Arial" w:cs="Arial"/>
          <w:sz w:val="22"/>
          <w:szCs w:val="22"/>
        </w:rPr>
        <w:t>PESTLE analysis is a strategic tool that enables organisations to evaluate their external environment. It examines Political, Economic, Social, Technological, Legal and Environmental factors that impact business performance and strategic decisions (Al-Sunna, 2017). PESTLE analysis of Vodafone is as following:</w:t>
      </w:r>
    </w:p>
    <w:p w14:paraId="420B0FF2" w14:textId="77777777" w:rsidR="00646180" w:rsidRPr="00BB6A62" w:rsidRDefault="00646180" w:rsidP="0019017D">
      <w:pPr>
        <w:spacing w:line="360" w:lineRule="auto"/>
        <w:jc w:val="both"/>
        <w:rPr>
          <w:rFonts w:ascii="Arial" w:hAnsi="Arial" w:cs="Arial"/>
          <w:sz w:val="22"/>
          <w:szCs w:val="22"/>
        </w:rPr>
      </w:pPr>
    </w:p>
    <w:p w14:paraId="08F59FE1" w14:textId="227A395B" w:rsidR="0019017D" w:rsidRPr="00BB6A62" w:rsidRDefault="00151E93" w:rsidP="005D69C6">
      <w:pPr>
        <w:pStyle w:val="Heading3"/>
      </w:pPr>
      <w:bookmarkStart w:id="5" w:name="_Toc232864053"/>
      <w:r w:rsidRPr="00BB6A62">
        <w:t xml:space="preserve">2.2.1 </w:t>
      </w:r>
      <w:r w:rsidR="0019017D" w:rsidRPr="00BB6A62">
        <w:t xml:space="preserve">Political </w:t>
      </w:r>
      <w:r w:rsidR="0019017D" w:rsidRPr="005D69C6">
        <w:t>Factors</w:t>
      </w:r>
      <w:bookmarkEnd w:id="5"/>
    </w:p>
    <w:p w14:paraId="69920898" w14:textId="22AA4860" w:rsidR="00B94E92" w:rsidRPr="00BB6A62" w:rsidRDefault="00361557" w:rsidP="0019017D">
      <w:pPr>
        <w:spacing w:line="360" w:lineRule="auto"/>
        <w:jc w:val="both"/>
        <w:rPr>
          <w:rFonts w:ascii="Arial" w:hAnsi="Arial" w:cs="Arial"/>
          <w:sz w:val="22"/>
          <w:szCs w:val="22"/>
        </w:rPr>
      </w:pPr>
      <w:r w:rsidRPr="00361557">
        <w:rPr>
          <w:rFonts w:ascii="Arial" w:hAnsi="Arial" w:cs="Arial"/>
          <w:sz w:val="22"/>
          <w:szCs w:val="22"/>
        </w:rPr>
        <w:t>The telecommunications industry is heavily impacted by government policy via the way the government regulates competition, spectrum licensing, network security requirements and consumer protection legislation (Crasta, 2021). Vodafone need to comply with these regulations across its operations markets.  In the UK, the approval of Vodafone UK and Three UK merger demonstrates how important role play regulatory authorities in shaping strategic decisions. Moreover, the UK government’s support for 5G technology and digital transformation puts VodafoneThree in a good position for future success (Vodafone Group Plc, 2026; VodafoneThree, 2026).</w:t>
      </w:r>
    </w:p>
    <w:p w14:paraId="75986C0D" w14:textId="77777777" w:rsidR="00F91C55" w:rsidRDefault="00F91C55" w:rsidP="0019017D">
      <w:pPr>
        <w:spacing w:line="360" w:lineRule="auto"/>
        <w:jc w:val="both"/>
        <w:rPr>
          <w:rFonts w:ascii="Times New Roman" w:hAnsi="Times New Roman" w:cs="Times New Roman"/>
        </w:rPr>
      </w:pPr>
    </w:p>
    <w:p w14:paraId="5FC5DD81" w14:textId="2FF00129" w:rsidR="0019017D" w:rsidRPr="00BB6A62" w:rsidRDefault="00151E93" w:rsidP="00BB6A62">
      <w:pPr>
        <w:pStyle w:val="Heading3"/>
      </w:pPr>
      <w:bookmarkStart w:id="6" w:name="_Toc232864054"/>
      <w:r w:rsidRPr="00BB6A62">
        <w:t xml:space="preserve">2.2.2 </w:t>
      </w:r>
      <w:r w:rsidR="0019017D" w:rsidRPr="00BB6A62">
        <w:t>Economic Factors</w:t>
      </w:r>
      <w:bookmarkEnd w:id="6"/>
    </w:p>
    <w:p w14:paraId="4954790C" w14:textId="1E9D6A2B" w:rsidR="00267C43" w:rsidRPr="00BB6A62" w:rsidRDefault="00882454" w:rsidP="0019017D">
      <w:pPr>
        <w:spacing w:line="360" w:lineRule="auto"/>
        <w:jc w:val="both"/>
        <w:rPr>
          <w:rFonts w:ascii="Arial" w:hAnsi="Arial" w:cs="Arial"/>
          <w:sz w:val="22"/>
          <w:szCs w:val="22"/>
        </w:rPr>
      </w:pPr>
      <w:r w:rsidRPr="00882454">
        <w:rPr>
          <w:rFonts w:ascii="Arial" w:hAnsi="Arial" w:cs="Arial"/>
          <w:sz w:val="22"/>
          <w:szCs w:val="22"/>
        </w:rPr>
        <w:t>The demand for high-quality mobile and broadband services could be weakened by high inflation, increasing operating costs and economic uncertainty. Being a multinational company, Vodafone is highly vulnerable in the currency fluctuations among its markets (Crasta, 2021). The VodafoneThree merger is expected to generate about approximately £700 million a year in average cost synergies and to enhance Vodafone's service network infrastructure for an increased competitive edge (VodafoneThree, 2026).</w:t>
      </w:r>
    </w:p>
    <w:p w14:paraId="13DF9AB8" w14:textId="77777777" w:rsidR="00F91C55" w:rsidRPr="00BB6A62" w:rsidRDefault="00F91C55" w:rsidP="0019017D">
      <w:pPr>
        <w:spacing w:line="360" w:lineRule="auto"/>
        <w:jc w:val="both"/>
        <w:rPr>
          <w:rFonts w:ascii="Arial" w:hAnsi="Arial" w:cs="Arial"/>
          <w:sz w:val="22"/>
          <w:szCs w:val="22"/>
        </w:rPr>
      </w:pPr>
    </w:p>
    <w:p w14:paraId="087A2ADA" w14:textId="1040CF2D" w:rsidR="0019017D" w:rsidRPr="00BB6A62" w:rsidRDefault="00151E93" w:rsidP="00BB6A62">
      <w:pPr>
        <w:pStyle w:val="Heading3"/>
      </w:pPr>
      <w:bookmarkStart w:id="7" w:name="_Toc232864055"/>
      <w:r w:rsidRPr="00BB6A62">
        <w:t xml:space="preserve">2.2.3 </w:t>
      </w:r>
      <w:r w:rsidR="0019017D" w:rsidRPr="00BB6A62">
        <w:t>Social Factors</w:t>
      </w:r>
      <w:bookmarkEnd w:id="7"/>
    </w:p>
    <w:p w14:paraId="008299BE" w14:textId="32E668BC" w:rsidR="00987240" w:rsidRPr="00BB6A62" w:rsidRDefault="00D97E0C" w:rsidP="0019017D">
      <w:pPr>
        <w:spacing w:line="360" w:lineRule="auto"/>
        <w:jc w:val="both"/>
        <w:rPr>
          <w:rFonts w:ascii="Arial" w:hAnsi="Arial" w:cs="Arial"/>
          <w:sz w:val="22"/>
          <w:szCs w:val="22"/>
        </w:rPr>
      </w:pPr>
      <w:r w:rsidRPr="00D97E0C">
        <w:rPr>
          <w:rFonts w:ascii="Arial" w:hAnsi="Arial" w:cs="Arial"/>
          <w:sz w:val="22"/>
          <w:szCs w:val="22"/>
        </w:rPr>
        <w:t>As individuals and businesses become increasingly dependent on mobile communications, broadband and online services, demand for digital connectiveness continue to grow. Vodafone offers mobile and fixed services to approximately 300 million customers and supports over 59 million FinTech users across its markets. This means there is a need for Vodafone to serve more customers by increasing digital inclusion and offering innovative solutions to respond to these changes (Vodafone Group Plc, 2026).</w:t>
      </w:r>
    </w:p>
    <w:p w14:paraId="08497480" w14:textId="77777777" w:rsidR="00F91C55" w:rsidRPr="00BB6A62" w:rsidRDefault="00F91C55" w:rsidP="0019017D">
      <w:pPr>
        <w:spacing w:line="360" w:lineRule="auto"/>
        <w:jc w:val="both"/>
        <w:rPr>
          <w:rFonts w:ascii="Arial" w:hAnsi="Arial" w:cs="Arial"/>
          <w:sz w:val="22"/>
          <w:szCs w:val="22"/>
        </w:rPr>
      </w:pPr>
    </w:p>
    <w:p w14:paraId="57DE9F7D" w14:textId="0F3D2BA2" w:rsidR="00AB529F" w:rsidRPr="00BB6A62" w:rsidRDefault="00EC095C" w:rsidP="00BB6A62">
      <w:pPr>
        <w:pStyle w:val="Heading3"/>
      </w:pPr>
      <w:bookmarkStart w:id="8" w:name="_Toc232864056"/>
      <w:r w:rsidRPr="00BB6A62">
        <w:lastRenderedPageBreak/>
        <w:t xml:space="preserve">2.2.4 </w:t>
      </w:r>
      <w:r w:rsidR="0019017D" w:rsidRPr="00BB6A62">
        <w:t>Technological Factors</w:t>
      </w:r>
      <w:bookmarkEnd w:id="8"/>
    </w:p>
    <w:p w14:paraId="2C28A19B" w14:textId="6193573F" w:rsidR="00762303" w:rsidRPr="00BB6A62" w:rsidRDefault="001B07A2" w:rsidP="0019017D">
      <w:pPr>
        <w:spacing w:line="360" w:lineRule="auto"/>
        <w:jc w:val="both"/>
        <w:rPr>
          <w:rFonts w:ascii="Arial" w:hAnsi="Arial" w:cs="Arial"/>
          <w:sz w:val="22"/>
          <w:szCs w:val="22"/>
        </w:rPr>
      </w:pPr>
      <w:r w:rsidRPr="001B07A2">
        <w:rPr>
          <w:rFonts w:ascii="Arial" w:hAnsi="Arial" w:cs="Arial"/>
          <w:sz w:val="22"/>
          <w:szCs w:val="22"/>
        </w:rPr>
        <w:t>Vodafone identifies connected devices, artificial intelligence (AI), digital payments and cloud technology as core trends shaping market opportunities in the future. The company runs one of the world’s largest IoT platforms with approximately 244 million connections and works with technology partners like Microsoft, Google and Amazon. Consistent investment in 5G networks, AI, and digital services is crucial to staying ahead of the competition and ensuring customer satisfaction and long-term growth for the company (Vodafone Group Plc, 2026).</w:t>
      </w:r>
    </w:p>
    <w:p w14:paraId="789CE394" w14:textId="77777777" w:rsidR="00F91C55" w:rsidRPr="00BB6A62" w:rsidRDefault="00F91C55" w:rsidP="0019017D">
      <w:pPr>
        <w:spacing w:line="360" w:lineRule="auto"/>
        <w:jc w:val="both"/>
        <w:rPr>
          <w:rFonts w:ascii="Arial" w:hAnsi="Arial" w:cs="Arial"/>
          <w:sz w:val="22"/>
          <w:szCs w:val="22"/>
        </w:rPr>
      </w:pPr>
    </w:p>
    <w:p w14:paraId="27D05C4A" w14:textId="7817EDE8" w:rsidR="0019017D" w:rsidRPr="00BB6A62" w:rsidRDefault="00EC095C" w:rsidP="00BB6A62">
      <w:pPr>
        <w:pStyle w:val="Heading3"/>
      </w:pPr>
      <w:bookmarkStart w:id="9" w:name="_Toc232864057"/>
      <w:r w:rsidRPr="00BB6A62">
        <w:t xml:space="preserve">2.2.5 </w:t>
      </w:r>
      <w:r w:rsidR="0019017D" w:rsidRPr="00BB6A62">
        <w:t>Legal Factors</w:t>
      </w:r>
      <w:bookmarkEnd w:id="9"/>
    </w:p>
    <w:p w14:paraId="474910B7" w14:textId="795F13F1" w:rsidR="00B10DD8" w:rsidRPr="00BB6A62" w:rsidRDefault="005772F0" w:rsidP="000704DD">
      <w:pPr>
        <w:spacing w:line="360" w:lineRule="auto"/>
        <w:jc w:val="both"/>
        <w:rPr>
          <w:rFonts w:ascii="Arial" w:hAnsi="Arial" w:cs="Arial"/>
          <w:sz w:val="22"/>
          <w:szCs w:val="22"/>
        </w:rPr>
      </w:pPr>
      <w:r w:rsidRPr="005772F0">
        <w:rPr>
          <w:rFonts w:ascii="Arial" w:hAnsi="Arial" w:cs="Arial"/>
          <w:sz w:val="22"/>
          <w:szCs w:val="22"/>
        </w:rPr>
        <w:t>Vodafone operates in an environment that is highly governed by law in terms of telecommunications, cybersecurity, data protection. Since the firm is providing a vital national infrastructure, compliance is crucial to protect customer data, build trust and avoid any penalties or reputation risk. The laws are important for the long-term success of the firm. The firm needs to comply with various regulations including the UK General Data Protection Regulation (UK GDPR) and cybersecurity requirements while monitoring changes in digital network regulation and telecommunications laws (Vodafone Group Plc, 2026).</w:t>
      </w:r>
    </w:p>
    <w:p w14:paraId="0FC939BF" w14:textId="77777777" w:rsidR="00F91C55" w:rsidRPr="00BB6A62" w:rsidRDefault="00F91C55" w:rsidP="000704DD">
      <w:pPr>
        <w:spacing w:line="360" w:lineRule="auto"/>
        <w:jc w:val="both"/>
        <w:rPr>
          <w:rFonts w:ascii="Arial" w:hAnsi="Arial" w:cs="Arial"/>
          <w:sz w:val="22"/>
          <w:szCs w:val="22"/>
        </w:rPr>
      </w:pPr>
    </w:p>
    <w:p w14:paraId="64540475" w14:textId="0FD2F679" w:rsidR="000704DD" w:rsidRPr="00BB6A62" w:rsidRDefault="00EC095C" w:rsidP="00BB6A62">
      <w:pPr>
        <w:pStyle w:val="Heading3"/>
      </w:pPr>
      <w:bookmarkStart w:id="10" w:name="_Toc232864058"/>
      <w:r w:rsidRPr="00BB6A62">
        <w:t xml:space="preserve">2.2.6 </w:t>
      </w:r>
      <w:r w:rsidR="000704DD" w:rsidRPr="00BB6A62">
        <w:t>Environmental Factors</w:t>
      </w:r>
      <w:bookmarkEnd w:id="10"/>
    </w:p>
    <w:p w14:paraId="0C32F6D6" w14:textId="6D6F54BD" w:rsidR="00F91C55" w:rsidRPr="00BB6A62" w:rsidRDefault="00A5142C" w:rsidP="0019017D">
      <w:pPr>
        <w:spacing w:line="360" w:lineRule="auto"/>
        <w:jc w:val="both"/>
        <w:rPr>
          <w:rFonts w:ascii="Arial" w:hAnsi="Arial" w:cs="Arial"/>
          <w:sz w:val="22"/>
          <w:szCs w:val="22"/>
        </w:rPr>
      </w:pPr>
      <w:r w:rsidRPr="00A5142C">
        <w:rPr>
          <w:rFonts w:ascii="Arial" w:hAnsi="Arial" w:cs="Arial"/>
          <w:sz w:val="22"/>
          <w:szCs w:val="22"/>
        </w:rPr>
        <w:t>The importance of environmental sustainability in the telecommunication industry continues to rise throughout the industry. Vodafone has taken measures to reduce the effect on the environment, such as achieving net zero emissions (in Europe by 2028, and Africa by 2035) and its value chain on net zero by 2040. The company also 100% purchases grid energy from renewable sources, while reducing greenhouse gas emissions by 31% since 2020. Such initiatives strengthen an organisation’s reputation, stakeholders’ trust, and its long-term business sustainability (Vodafone Group Plc, 2026).</w:t>
      </w:r>
    </w:p>
    <w:p w14:paraId="4ECFB8DC" w14:textId="77777777" w:rsidR="00F91C55" w:rsidRDefault="00F91C55" w:rsidP="0019017D">
      <w:pPr>
        <w:spacing w:line="360" w:lineRule="auto"/>
        <w:jc w:val="both"/>
        <w:rPr>
          <w:rFonts w:ascii="Arial" w:hAnsi="Arial" w:cs="Arial"/>
          <w:sz w:val="22"/>
          <w:szCs w:val="22"/>
        </w:rPr>
      </w:pPr>
    </w:p>
    <w:p w14:paraId="044B2498" w14:textId="77777777" w:rsidR="00BB6A62" w:rsidRDefault="00BB6A62" w:rsidP="0019017D">
      <w:pPr>
        <w:spacing w:line="360" w:lineRule="auto"/>
        <w:jc w:val="both"/>
        <w:rPr>
          <w:rFonts w:ascii="Arial" w:hAnsi="Arial" w:cs="Arial"/>
          <w:sz w:val="22"/>
          <w:szCs w:val="22"/>
        </w:rPr>
      </w:pPr>
    </w:p>
    <w:p w14:paraId="70BCC8B2" w14:textId="77777777" w:rsidR="00BB6A62" w:rsidRDefault="00BB6A62" w:rsidP="0019017D">
      <w:pPr>
        <w:spacing w:line="360" w:lineRule="auto"/>
        <w:jc w:val="both"/>
        <w:rPr>
          <w:rFonts w:ascii="Arial" w:hAnsi="Arial" w:cs="Arial"/>
          <w:sz w:val="22"/>
          <w:szCs w:val="22"/>
        </w:rPr>
      </w:pPr>
    </w:p>
    <w:p w14:paraId="74184766" w14:textId="77777777" w:rsidR="00BB6A62" w:rsidRDefault="00BB6A62" w:rsidP="0019017D">
      <w:pPr>
        <w:spacing w:line="360" w:lineRule="auto"/>
        <w:jc w:val="both"/>
        <w:rPr>
          <w:rFonts w:ascii="Arial" w:hAnsi="Arial" w:cs="Arial"/>
          <w:sz w:val="22"/>
          <w:szCs w:val="22"/>
        </w:rPr>
      </w:pPr>
    </w:p>
    <w:p w14:paraId="311BB76A" w14:textId="77777777" w:rsidR="00BB6A62" w:rsidRDefault="00BB6A62" w:rsidP="0019017D">
      <w:pPr>
        <w:spacing w:line="360" w:lineRule="auto"/>
        <w:jc w:val="both"/>
        <w:rPr>
          <w:rFonts w:ascii="Arial" w:hAnsi="Arial" w:cs="Arial"/>
          <w:sz w:val="22"/>
          <w:szCs w:val="22"/>
        </w:rPr>
      </w:pPr>
    </w:p>
    <w:p w14:paraId="5A9741D7" w14:textId="7CD692EE" w:rsidR="0019017D" w:rsidRPr="00BB6A62" w:rsidRDefault="00441A9B" w:rsidP="00BB6A62">
      <w:pPr>
        <w:pStyle w:val="Heading2"/>
      </w:pPr>
      <w:bookmarkStart w:id="11" w:name="_Toc232864059"/>
      <w:r w:rsidRPr="00BB6A62">
        <w:lastRenderedPageBreak/>
        <w:t xml:space="preserve">2.3 </w:t>
      </w:r>
      <w:r w:rsidR="0019017D" w:rsidRPr="00BB6A62">
        <w:t>Porter's Five Forces</w:t>
      </w:r>
      <w:bookmarkEnd w:id="11"/>
    </w:p>
    <w:p w14:paraId="7036A363" w14:textId="5DB149AF" w:rsidR="006E4947" w:rsidRPr="006E4947" w:rsidRDefault="006E4947" w:rsidP="006E4947">
      <w:pPr>
        <w:spacing w:line="360" w:lineRule="auto"/>
        <w:jc w:val="both"/>
        <w:rPr>
          <w:rFonts w:ascii="Arial" w:hAnsi="Arial" w:cs="Arial"/>
          <w:sz w:val="22"/>
          <w:szCs w:val="22"/>
        </w:rPr>
      </w:pPr>
      <w:r w:rsidRPr="006E4947">
        <w:rPr>
          <w:rFonts w:ascii="Arial" w:hAnsi="Arial" w:cs="Arial"/>
          <w:sz w:val="22"/>
          <w:szCs w:val="22"/>
        </w:rPr>
        <w:t>Porter's Five Forces Model is a strategic approach that is applied in evaluating competitive forces operating in a certain business or industry, together with their influence on profitability and competitiveness (Porter, 1980). Porter's Five Forces Model for Vodafone Company is as follows:</w:t>
      </w:r>
    </w:p>
    <w:p w14:paraId="7AC95C86" w14:textId="77777777" w:rsidR="00646180" w:rsidRPr="00BB6A62" w:rsidRDefault="00646180" w:rsidP="00C47E35">
      <w:pPr>
        <w:spacing w:line="360" w:lineRule="auto"/>
        <w:jc w:val="both"/>
        <w:rPr>
          <w:rFonts w:ascii="Arial" w:hAnsi="Arial" w:cs="Arial"/>
          <w:sz w:val="22"/>
          <w:szCs w:val="22"/>
        </w:rPr>
      </w:pPr>
    </w:p>
    <w:p w14:paraId="62CE8670" w14:textId="68FE3933" w:rsidR="00C47E35" w:rsidRPr="00BB6A62" w:rsidRDefault="00EC095C" w:rsidP="00BB6A62">
      <w:pPr>
        <w:pStyle w:val="Heading3"/>
      </w:pPr>
      <w:bookmarkStart w:id="12" w:name="_Toc232864060"/>
      <w:r w:rsidRPr="00BB6A62">
        <w:t xml:space="preserve">2.3.1 </w:t>
      </w:r>
      <w:r w:rsidR="00C47E35" w:rsidRPr="00BB6A62">
        <w:t>Intensity of Competitive Rivalry (High)</w:t>
      </w:r>
      <w:bookmarkEnd w:id="12"/>
    </w:p>
    <w:p w14:paraId="28085C38" w14:textId="1F43B808" w:rsidR="00C47E35" w:rsidRPr="00BB6A62" w:rsidRDefault="00110E25" w:rsidP="00C47E35">
      <w:pPr>
        <w:spacing w:line="360" w:lineRule="auto"/>
        <w:jc w:val="both"/>
        <w:rPr>
          <w:rFonts w:ascii="Arial" w:hAnsi="Arial" w:cs="Arial"/>
          <w:sz w:val="22"/>
          <w:szCs w:val="22"/>
        </w:rPr>
      </w:pPr>
      <w:r w:rsidRPr="00110E25">
        <w:rPr>
          <w:rFonts w:ascii="Arial" w:hAnsi="Arial" w:cs="Arial"/>
          <w:sz w:val="22"/>
          <w:szCs w:val="22"/>
        </w:rPr>
        <w:t>This force evaluates the level of competition in the industry among the existing businesses and its effect on profitability (Porter, 1980). The level of rivalry in the United Kingdom telecommunications industry is high since VodafoneThree competes against BT/EE and Virgin Media O2 on customer service, price, network quality and bundle service (VodafoneThree, 2026).</w:t>
      </w:r>
    </w:p>
    <w:p w14:paraId="2EDE8885" w14:textId="77777777" w:rsidR="00F91C55" w:rsidRPr="00BB6A62" w:rsidRDefault="00F91C55" w:rsidP="00C47E35">
      <w:pPr>
        <w:spacing w:line="360" w:lineRule="auto"/>
        <w:jc w:val="both"/>
        <w:rPr>
          <w:rFonts w:ascii="Arial" w:hAnsi="Arial" w:cs="Arial"/>
          <w:sz w:val="22"/>
          <w:szCs w:val="22"/>
        </w:rPr>
      </w:pPr>
    </w:p>
    <w:p w14:paraId="63C6888A" w14:textId="187B57DE" w:rsidR="00C47E35" w:rsidRPr="00BB6A62" w:rsidRDefault="00C47E35" w:rsidP="00BB6A62">
      <w:pPr>
        <w:pStyle w:val="Heading3"/>
      </w:pPr>
      <w:bookmarkStart w:id="13" w:name="_Toc232864061"/>
      <w:r w:rsidRPr="00BB6A62">
        <w:t>2.</w:t>
      </w:r>
      <w:r w:rsidR="00EC095C" w:rsidRPr="00BB6A62">
        <w:t xml:space="preserve">3.2 </w:t>
      </w:r>
      <w:r w:rsidRPr="00BB6A62">
        <w:t>Threat of New Entrants (Low)</w:t>
      </w:r>
      <w:bookmarkEnd w:id="13"/>
    </w:p>
    <w:p w14:paraId="5270F8D0" w14:textId="74C9FC9C" w:rsidR="00C47E35" w:rsidRPr="00BB6A62" w:rsidRDefault="007B6E67" w:rsidP="00C47E35">
      <w:pPr>
        <w:spacing w:line="360" w:lineRule="auto"/>
        <w:jc w:val="both"/>
        <w:rPr>
          <w:rFonts w:ascii="Arial" w:hAnsi="Arial" w:cs="Arial"/>
          <w:sz w:val="22"/>
          <w:szCs w:val="22"/>
        </w:rPr>
      </w:pPr>
      <w:r w:rsidRPr="007B6E67">
        <w:rPr>
          <w:rFonts w:ascii="Arial" w:hAnsi="Arial" w:cs="Arial"/>
          <w:sz w:val="22"/>
          <w:szCs w:val="22"/>
        </w:rPr>
        <w:t>This force measures the level to which new entrants can fast enter the sector and compromise established companies (Porter, 1980). In telecommunications, the expensive infrastructure, licensing of spectrum usage, regulation, and investments act as a major barrier for entry (Vodafone Group Plc, 2026).</w:t>
      </w:r>
    </w:p>
    <w:p w14:paraId="4396C4F1" w14:textId="77777777" w:rsidR="00F91C55" w:rsidRPr="00BB6A62" w:rsidRDefault="00F91C55" w:rsidP="00C47E35">
      <w:pPr>
        <w:spacing w:line="360" w:lineRule="auto"/>
        <w:jc w:val="both"/>
        <w:rPr>
          <w:rFonts w:ascii="Arial" w:hAnsi="Arial" w:cs="Arial"/>
          <w:sz w:val="22"/>
          <w:szCs w:val="22"/>
        </w:rPr>
      </w:pPr>
    </w:p>
    <w:p w14:paraId="530625DE" w14:textId="1D897354" w:rsidR="00C47E35" w:rsidRPr="00BB6A62" w:rsidRDefault="00EC095C" w:rsidP="00BB6A62">
      <w:pPr>
        <w:pStyle w:val="Heading3"/>
      </w:pPr>
      <w:bookmarkStart w:id="14" w:name="_Toc232864062"/>
      <w:r w:rsidRPr="00BB6A62">
        <w:t>2.</w:t>
      </w:r>
      <w:r w:rsidR="00C47E35" w:rsidRPr="00BB6A62">
        <w:t>3.</w:t>
      </w:r>
      <w:r w:rsidRPr="00BB6A62">
        <w:t>3</w:t>
      </w:r>
      <w:r w:rsidR="00C47E35" w:rsidRPr="00BB6A62">
        <w:t xml:space="preserve"> Bargaining Power of Buyers (High)</w:t>
      </w:r>
      <w:bookmarkEnd w:id="14"/>
    </w:p>
    <w:p w14:paraId="2DE79B7A" w14:textId="54D9F098" w:rsidR="00C47E35" w:rsidRPr="00BB6A62" w:rsidRDefault="003B2C6C" w:rsidP="00C47E35">
      <w:pPr>
        <w:spacing w:line="360" w:lineRule="auto"/>
        <w:jc w:val="both"/>
        <w:rPr>
          <w:rFonts w:ascii="Arial" w:hAnsi="Arial" w:cs="Arial"/>
          <w:sz w:val="22"/>
          <w:szCs w:val="22"/>
        </w:rPr>
      </w:pPr>
      <w:r w:rsidRPr="003B2C6C">
        <w:rPr>
          <w:rFonts w:ascii="Arial" w:hAnsi="Arial" w:cs="Arial"/>
          <w:sz w:val="22"/>
          <w:szCs w:val="22"/>
        </w:rPr>
        <w:t>This force takes into account the bargaining power of customers in terms of pricing, services, and competitiveness (Porter, 1980).With ease of number portability, customers can easily compare providers and switch networks which creates more power for the customer and puts pressure on operators to maintain competitive prices and better service quality.</w:t>
      </w:r>
    </w:p>
    <w:p w14:paraId="5A590762" w14:textId="77777777" w:rsidR="00F91C55" w:rsidRPr="00BB6A62" w:rsidRDefault="00F91C55" w:rsidP="00C47E35">
      <w:pPr>
        <w:spacing w:line="360" w:lineRule="auto"/>
        <w:jc w:val="both"/>
        <w:rPr>
          <w:rFonts w:ascii="Arial" w:hAnsi="Arial" w:cs="Arial"/>
          <w:sz w:val="22"/>
          <w:szCs w:val="22"/>
        </w:rPr>
      </w:pPr>
    </w:p>
    <w:p w14:paraId="29446B64" w14:textId="7105462E" w:rsidR="00C47E35" w:rsidRPr="00BB6A62" w:rsidRDefault="00EC095C" w:rsidP="00BB6A62">
      <w:pPr>
        <w:pStyle w:val="Heading3"/>
      </w:pPr>
      <w:bookmarkStart w:id="15" w:name="_Toc232864063"/>
      <w:r w:rsidRPr="00BB6A62">
        <w:t>2.3.4</w:t>
      </w:r>
      <w:r w:rsidR="00C47E35" w:rsidRPr="00BB6A62">
        <w:t xml:space="preserve"> Bargaining Power of Suppliers (Moderate)</w:t>
      </w:r>
      <w:bookmarkEnd w:id="15"/>
    </w:p>
    <w:p w14:paraId="40D8AD86" w14:textId="5E5178CA" w:rsidR="00C47E35" w:rsidRPr="00BB6A62" w:rsidRDefault="00523FE2" w:rsidP="00C47E35">
      <w:pPr>
        <w:spacing w:line="360" w:lineRule="auto"/>
        <w:jc w:val="both"/>
        <w:rPr>
          <w:rFonts w:ascii="Arial" w:hAnsi="Arial" w:cs="Arial"/>
          <w:sz w:val="22"/>
          <w:szCs w:val="22"/>
        </w:rPr>
      </w:pPr>
      <w:r w:rsidRPr="00523FE2">
        <w:rPr>
          <w:rFonts w:ascii="Arial" w:hAnsi="Arial" w:cs="Arial"/>
          <w:sz w:val="22"/>
          <w:szCs w:val="22"/>
        </w:rPr>
        <w:t>This force focuses on the influence suppliers may have on the costs, quality and access to resources required by firms in an industry (Porter, 1980). Vodafone relies on technology vendors, as well as network equipment manufacturers and infrastructure providers. Nevertheless, because of the size of the company and its purchasing power, supplier bargaining power becomes lower (Vodafone Group Plc, 2026).</w:t>
      </w:r>
    </w:p>
    <w:p w14:paraId="3FAF5810" w14:textId="77777777" w:rsidR="00F91C55" w:rsidRPr="00BB6A62" w:rsidRDefault="00F91C55" w:rsidP="00C47E35">
      <w:pPr>
        <w:spacing w:line="360" w:lineRule="auto"/>
        <w:jc w:val="both"/>
        <w:rPr>
          <w:rFonts w:ascii="Arial" w:hAnsi="Arial" w:cs="Arial"/>
          <w:sz w:val="22"/>
          <w:szCs w:val="22"/>
        </w:rPr>
      </w:pPr>
    </w:p>
    <w:p w14:paraId="5385D17C" w14:textId="5F0FF117" w:rsidR="00C47E35" w:rsidRPr="00BB6A62" w:rsidRDefault="00EC095C" w:rsidP="00BB6A62">
      <w:pPr>
        <w:pStyle w:val="Heading3"/>
      </w:pPr>
      <w:bookmarkStart w:id="16" w:name="_Toc232864064"/>
      <w:r w:rsidRPr="00BB6A62">
        <w:lastRenderedPageBreak/>
        <w:t>2.3.</w:t>
      </w:r>
      <w:r w:rsidR="00C47E35" w:rsidRPr="00BB6A62">
        <w:t>5 Threat of Substitute Products or Services (Moderate)</w:t>
      </w:r>
      <w:bookmarkEnd w:id="16"/>
    </w:p>
    <w:p w14:paraId="2092CAE4" w14:textId="023E0C5C" w:rsidR="00F91C55" w:rsidRDefault="00EE69BF" w:rsidP="00C47E35">
      <w:pPr>
        <w:spacing w:line="360" w:lineRule="auto"/>
        <w:jc w:val="both"/>
        <w:rPr>
          <w:rFonts w:ascii="Arial" w:hAnsi="Arial" w:cs="Arial"/>
          <w:sz w:val="22"/>
          <w:szCs w:val="22"/>
        </w:rPr>
      </w:pPr>
      <w:r w:rsidRPr="00EE69BF">
        <w:rPr>
          <w:rFonts w:ascii="Arial" w:hAnsi="Arial" w:cs="Arial"/>
          <w:sz w:val="22"/>
          <w:szCs w:val="22"/>
        </w:rPr>
        <w:t>This force considers the ability to which substitute services/products can fulfil the demands of the customers and act as a substitute for existing offerings (Porter, 1980). Substitutes such as internet messaging applications, Wi-Fi calling and video conferencing services can reduce demand for traditional telecommunications services. Meanwhile, mobile connectivity still stands as one of the basic services essential to consumers and companies.</w:t>
      </w:r>
    </w:p>
    <w:p w14:paraId="4F06663E" w14:textId="77777777" w:rsidR="00BB6A62" w:rsidRPr="00BB6A62" w:rsidRDefault="00BB6A62" w:rsidP="00C47E35">
      <w:pPr>
        <w:spacing w:line="360" w:lineRule="auto"/>
        <w:jc w:val="both"/>
        <w:rPr>
          <w:rFonts w:ascii="Arial" w:hAnsi="Arial" w:cs="Arial"/>
          <w:sz w:val="22"/>
          <w:szCs w:val="22"/>
        </w:rPr>
      </w:pPr>
    </w:p>
    <w:p w14:paraId="6E6653EC" w14:textId="47665AF4" w:rsidR="007C5D42" w:rsidRPr="007C5D42" w:rsidRDefault="007C5D42" w:rsidP="007C5D42">
      <w:pPr>
        <w:spacing w:line="360" w:lineRule="auto"/>
        <w:jc w:val="both"/>
        <w:rPr>
          <w:rFonts w:ascii="Arial" w:hAnsi="Arial" w:cs="Arial"/>
          <w:sz w:val="22"/>
          <w:szCs w:val="22"/>
        </w:rPr>
      </w:pPr>
      <w:r w:rsidRPr="007C5D42">
        <w:rPr>
          <w:rFonts w:ascii="Arial" w:hAnsi="Arial" w:cs="Arial"/>
          <w:sz w:val="22"/>
          <w:szCs w:val="22"/>
        </w:rPr>
        <w:t>Based on the Five Forces analysis</w:t>
      </w:r>
      <w:r>
        <w:rPr>
          <w:rFonts w:ascii="Arial" w:hAnsi="Arial" w:cs="Arial"/>
          <w:sz w:val="22"/>
          <w:szCs w:val="22"/>
        </w:rPr>
        <w:t>,</w:t>
      </w:r>
      <w:r w:rsidRPr="007C5D42">
        <w:rPr>
          <w:rFonts w:ascii="Arial" w:hAnsi="Arial" w:cs="Arial"/>
          <w:sz w:val="22"/>
          <w:szCs w:val="22"/>
        </w:rPr>
        <w:t xml:space="preserve"> it </w:t>
      </w:r>
      <w:r>
        <w:rPr>
          <w:rFonts w:ascii="Arial" w:hAnsi="Arial" w:cs="Arial"/>
          <w:sz w:val="22"/>
          <w:szCs w:val="22"/>
        </w:rPr>
        <w:t xml:space="preserve">is </w:t>
      </w:r>
      <w:r w:rsidRPr="007C5D42">
        <w:rPr>
          <w:rFonts w:ascii="Arial" w:hAnsi="Arial" w:cs="Arial"/>
          <w:sz w:val="22"/>
          <w:szCs w:val="22"/>
        </w:rPr>
        <w:t>indicate</w:t>
      </w:r>
      <w:r>
        <w:rPr>
          <w:rFonts w:ascii="Arial" w:hAnsi="Arial" w:cs="Arial"/>
          <w:sz w:val="22"/>
          <w:szCs w:val="22"/>
        </w:rPr>
        <w:t>d</w:t>
      </w:r>
      <w:r w:rsidRPr="007C5D42">
        <w:rPr>
          <w:rFonts w:ascii="Arial" w:hAnsi="Arial" w:cs="Arial"/>
          <w:sz w:val="22"/>
          <w:szCs w:val="22"/>
        </w:rPr>
        <w:t xml:space="preserve"> the industry in which Vodafone operates is a very competitive market with high buyer power and strong rivalry. High entry barriers protect traditional players; however, rapid technological progress and substitution systems have continued to challenge the market power of the existing operators. VodafoneThree merger is beneficial to Vodafone in terms of scale and network, but competition and regulation are major risks.</w:t>
      </w:r>
    </w:p>
    <w:p w14:paraId="467E113D" w14:textId="66AE74AD" w:rsidR="00542D2D" w:rsidRPr="00BB6A62" w:rsidRDefault="00542D2D" w:rsidP="008A04F6">
      <w:pPr>
        <w:spacing w:line="360" w:lineRule="auto"/>
        <w:jc w:val="both"/>
        <w:rPr>
          <w:rFonts w:ascii="Arial" w:hAnsi="Arial" w:cs="Arial"/>
          <w:sz w:val="22"/>
          <w:szCs w:val="22"/>
        </w:rPr>
      </w:pPr>
    </w:p>
    <w:p w14:paraId="1E9905C8" w14:textId="77777777" w:rsidR="00C32FC9" w:rsidRPr="00BB6A62" w:rsidRDefault="00C32FC9" w:rsidP="008A04F6">
      <w:pPr>
        <w:spacing w:line="360" w:lineRule="auto"/>
        <w:jc w:val="both"/>
        <w:rPr>
          <w:rFonts w:ascii="Arial" w:hAnsi="Arial" w:cs="Arial"/>
          <w:sz w:val="22"/>
          <w:szCs w:val="22"/>
        </w:rPr>
      </w:pPr>
    </w:p>
    <w:p w14:paraId="214C929A" w14:textId="77777777" w:rsidR="00C32FC9" w:rsidRPr="00BB6A62" w:rsidRDefault="00C32FC9" w:rsidP="008A04F6">
      <w:pPr>
        <w:spacing w:line="360" w:lineRule="auto"/>
        <w:jc w:val="both"/>
        <w:rPr>
          <w:rFonts w:ascii="Arial" w:hAnsi="Arial" w:cs="Arial"/>
          <w:sz w:val="22"/>
          <w:szCs w:val="22"/>
        </w:rPr>
      </w:pPr>
    </w:p>
    <w:p w14:paraId="16C6E48A" w14:textId="77777777" w:rsidR="00EC095C" w:rsidRPr="00BB6A62" w:rsidRDefault="00EC095C" w:rsidP="00542D2D">
      <w:pPr>
        <w:spacing w:line="360" w:lineRule="auto"/>
        <w:jc w:val="both"/>
        <w:rPr>
          <w:rFonts w:ascii="Arial" w:hAnsi="Arial" w:cs="Arial"/>
          <w:b/>
          <w:bCs/>
          <w:sz w:val="22"/>
          <w:szCs w:val="22"/>
        </w:rPr>
      </w:pPr>
    </w:p>
    <w:p w14:paraId="26D9AAE8" w14:textId="77777777" w:rsidR="00343933" w:rsidRPr="00BB6A62" w:rsidRDefault="00343933" w:rsidP="00542D2D">
      <w:pPr>
        <w:spacing w:line="360" w:lineRule="auto"/>
        <w:jc w:val="both"/>
        <w:rPr>
          <w:rFonts w:ascii="Arial" w:hAnsi="Arial" w:cs="Arial"/>
          <w:b/>
          <w:bCs/>
          <w:sz w:val="22"/>
          <w:szCs w:val="22"/>
        </w:rPr>
      </w:pPr>
    </w:p>
    <w:p w14:paraId="136E9724" w14:textId="77777777" w:rsidR="00343933" w:rsidRPr="00BB6A62" w:rsidRDefault="00343933" w:rsidP="00542D2D">
      <w:pPr>
        <w:spacing w:line="360" w:lineRule="auto"/>
        <w:jc w:val="both"/>
        <w:rPr>
          <w:rFonts w:ascii="Arial" w:hAnsi="Arial" w:cs="Arial"/>
          <w:b/>
          <w:bCs/>
          <w:sz w:val="22"/>
          <w:szCs w:val="22"/>
        </w:rPr>
      </w:pPr>
    </w:p>
    <w:p w14:paraId="2F1051B8" w14:textId="77777777" w:rsidR="00343933" w:rsidRPr="00BB6A62" w:rsidRDefault="00343933" w:rsidP="00542D2D">
      <w:pPr>
        <w:spacing w:line="360" w:lineRule="auto"/>
        <w:jc w:val="both"/>
        <w:rPr>
          <w:rFonts w:ascii="Arial" w:hAnsi="Arial" w:cs="Arial"/>
          <w:b/>
          <w:bCs/>
          <w:sz w:val="22"/>
          <w:szCs w:val="22"/>
        </w:rPr>
      </w:pPr>
    </w:p>
    <w:p w14:paraId="648CA200" w14:textId="77777777" w:rsidR="00343933" w:rsidRPr="00BB6A62" w:rsidRDefault="00343933" w:rsidP="00542D2D">
      <w:pPr>
        <w:spacing w:line="360" w:lineRule="auto"/>
        <w:jc w:val="both"/>
        <w:rPr>
          <w:rFonts w:ascii="Arial" w:hAnsi="Arial" w:cs="Arial"/>
          <w:b/>
          <w:bCs/>
          <w:sz w:val="22"/>
          <w:szCs w:val="22"/>
        </w:rPr>
      </w:pPr>
    </w:p>
    <w:p w14:paraId="7B386F18" w14:textId="77777777" w:rsidR="00343933" w:rsidRPr="00BB6A62" w:rsidRDefault="00343933" w:rsidP="00542D2D">
      <w:pPr>
        <w:spacing w:line="360" w:lineRule="auto"/>
        <w:jc w:val="both"/>
        <w:rPr>
          <w:rFonts w:ascii="Arial" w:hAnsi="Arial" w:cs="Arial"/>
          <w:b/>
          <w:bCs/>
          <w:sz w:val="22"/>
          <w:szCs w:val="22"/>
        </w:rPr>
      </w:pPr>
    </w:p>
    <w:p w14:paraId="1EB0E084" w14:textId="77777777" w:rsidR="00343933" w:rsidRPr="00BB6A62" w:rsidRDefault="00343933" w:rsidP="00542D2D">
      <w:pPr>
        <w:spacing w:line="360" w:lineRule="auto"/>
        <w:jc w:val="both"/>
        <w:rPr>
          <w:rFonts w:ascii="Arial" w:hAnsi="Arial" w:cs="Arial"/>
          <w:b/>
          <w:bCs/>
          <w:sz w:val="22"/>
          <w:szCs w:val="22"/>
        </w:rPr>
      </w:pPr>
    </w:p>
    <w:p w14:paraId="18A22329" w14:textId="77777777" w:rsidR="00343933" w:rsidRPr="00BB6A62" w:rsidRDefault="00343933" w:rsidP="00542D2D">
      <w:pPr>
        <w:spacing w:line="360" w:lineRule="auto"/>
        <w:jc w:val="both"/>
        <w:rPr>
          <w:rFonts w:ascii="Arial" w:hAnsi="Arial" w:cs="Arial"/>
          <w:b/>
          <w:bCs/>
          <w:sz w:val="22"/>
          <w:szCs w:val="22"/>
        </w:rPr>
      </w:pPr>
    </w:p>
    <w:p w14:paraId="71B335DD" w14:textId="77777777" w:rsidR="00F91C55" w:rsidRPr="00BB6A62" w:rsidRDefault="00F91C55" w:rsidP="00542D2D">
      <w:pPr>
        <w:spacing w:line="360" w:lineRule="auto"/>
        <w:jc w:val="both"/>
        <w:rPr>
          <w:rFonts w:ascii="Arial" w:hAnsi="Arial" w:cs="Arial"/>
          <w:b/>
          <w:bCs/>
          <w:sz w:val="22"/>
          <w:szCs w:val="22"/>
        </w:rPr>
      </w:pPr>
    </w:p>
    <w:p w14:paraId="1BCC0035" w14:textId="77777777" w:rsidR="00BB6A62" w:rsidRDefault="00BB6A62" w:rsidP="00542D2D">
      <w:pPr>
        <w:spacing w:line="360" w:lineRule="auto"/>
        <w:jc w:val="both"/>
        <w:rPr>
          <w:rFonts w:ascii="Arial" w:hAnsi="Arial" w:cs="Arial"/>
          <w:b/>
          <w:bCs/>
          <w:sz w:val="22"/>
          <w:szCs w:val="22"/>
        </w:rPr>
      </w:pPr>
    </w:p>
    <w:p w14:paraId="74DE210E" w14:textId="77777777" w:rsidR="00BB6A62" w:rsidRDefault="00BB6A62" w:rsidP="00542D2D">
      <w:pPr>
        <w:spacing w:line="360" w:lineRule="auto"/>
        <w:jc w:val="both"/>
        <w:rPr>
          <w:rFonts w:ascii="Arial" w:hAnsi="Arial" w:cs="Arial"/>
          <w:b/>
          <w:bCs/>
          <w:sz w:val="22"/>
          <w:szCs w:val="22"/>
        </w:rPr>
      </w:pPr>
    </w:p>
    <w:p w14:paraId="0B097DE9" w14:textId="77777777" w:rsidR="00BB6A62" w:rsidRDefault="00BB6A62" w:rsidP="00542D2D">
      <w:pPr>
        <w:spacing w:line="360" w:lineRule="auto"/>
        <w:jc w:val="both"/>
        <w:rPr>
          <w:rFonts w:ascii="Arial" w:hAnsi="Arial" w:cs="Arial"/>
          <w:b/>
          <w:bCs/>
          <w:sz w:val="22"/>
          <w:szCs w:val="22"/>
        </w:rPr>
      </w:pPr>
    </w:p>
    <w:p w14:paraId="7E76806F" w14:textId="77777777" w:rsidR="00BB6A62" w:rsidRDefault="00BB6A62" w:rsidP="00542D2D">
      <w:pPr>
        <w:spacing w:line="360" w:lineRule="auto"/>
        <w:jc w:val="both"/>
        <w:rPr>
          <w:rFonts w:ascii="Arial" w:hAnsi="Arial" w:cs="Arial"/>
          <w:b/>
          <w:bCs/>
          <w:sz w:val="22"/>
          <w:szCs w:val="22"/>
        </w:rPr>
      </w:pPr>
    </w:p>
    <w:p w14:paraId="236FBBB9" w14:textId="77777777" w:rsidR="00BB6A62" w:rsidRDefault="00BB6A62" w:rsidP="00542D2D">
      <w:pPr>
        <w:spacing w:line="360" w:lineRule="auto"/>
        <w:jc w:val="both"/>
        <w:rPr>
          <w:rFonts w:ascii="Arial" w:hAnsi="Arial" w:cs="Arial"/>
          <w:b/>
          <w:bCs/>
          <w:sz w:val="22"/>
          <w:szCs w:val="22"/>
        </w:rPr>
      </w:pPr>
    </w:p>
    <w:p w14:paraId="0C42F825" w14:textId="10817C94" w:rsidR="008A04F6" w:rsidRPr="00BB6A62" w:rsidRDefault="00273D7F" w:rsidP="00BB6A62">
      <w:pPr>
        <w:pStyle w:val="Heading1"/>
      </w:pPr>
      <w:bookmarkStart w:id="17" w:name="_Toc232864065"/>
      <w:r w:rsidRPr="00BB6A62">
        <w:t>3</w:t>
      </w:r>
      <w:r w:rsidR="00542D2D" w:rsidRPr="00BB6A62">
        <w:t xml:space="preserve">. </w:t>
      </w:r>
      <w:r w:rsidR="002D588F" w:rsidRPr="00BB6A62">
        <w:t>Strategic Growth Options and Proposed Strategy</w:t>
      </w:r>
      <w:bookmarkEnd w:id="17"/>
      <w:r w:rsidR="002D588F" w:rsidRPr="00BB6A62">
        <w:t xml:space="preserve"> </w:t>
      </w:r>
    </w:p>
    <w:p w14:paraId="058794BA" w14:textId="3FF40642" w:rsidR="008B02EA" w:rsidRPr="00BB6A62" w:rsidRDefault="00BE5E6D" w:rsidP="00BB6A62">
      <w:pPr>
        <w:pStyle w:val="Heading2"/>
      </w:pPr>
      <w:bookmarkStart w:id="18" w:name="_Toc232864066"/>
      <w:r w:rsidRPr="00BB6A62">
        <w:t xml:space="preserve">3.1 Strategic Growth </w:t>
      </w:r>
      <w:r w:rsidR="00302853" w:rsidRPr="00BB6A62">
        <w:t>Path for Vodafone</w:t>
      </w:r>
      <w:bookmarkEnd w:id="18"/>
    </w:p>
    <w:p w14:paraId="1806C9C8" w14:textId="0F1901CE" w:rsidR="00541B71" w:rsidRPr="00BB6A62" w:rsidRDefault="00541B71" w:rsidP="008A04F6">
      <w:pPr>
        <w:spacing w:line="360" w:lineRule="auto"/>
        <w:jc w:val="both"/>
        <w:rPr>
          <w:rFonts w:ascii="Arial" w:hAnsi="Arial" w:cs="Arial"/>
          <w:sz w:val="22"/>
          <w:szCs w:val="22"/>
        </w:rPr>
      </w:pPr>
      <w:r w:rsidRPr="00BB6A62">
        <w:rPr>
          <w:rFonts w:ascii="Arial" w:hAnsi="Arial" w:cs="Arial"/>
          <w:sz w:val="22"/>
          <w:szCs w:val="22"/>
        </w:rPr>
        <w:t xml:space="preserve">The </w:t>
      </w:r>
      <w:r w:rsidR="008F1232" w:rsidRPr="008F1232">
        <w:rPr>
          <w:rFonts w:ascii="Arial" w:hAnsi="Arial" w:cs="Arial"/>
          <w:sz w:val="22"/>
          <w:szCs w:val="22"/>
        </w:rPr>
        <w:t>Ansoff Matrix is a strategic planning tools created by Ansoff (1957) to assess growth opportunities of a business. Ansoff Matrix assists in determining strategies of an organisation depending upon its products and markets using four methods: Market Penetration, Market Development, Product Development and Diversification. This approach is extensively used in decision making regarding corporate growth strategy and risk assessment. Ansoff matrix for Vodafone is developed as fallowing:</w:t>
      </w:r>
    </w:p>
    <w:p w14:paraId="556167B7" w14:textId="5DA2C2F0" w:rsidR="0063508F" w:rsidRPr="00BB6A62" w:rsidRDefault="009A5C77" w:rsidP="008A04F6">
      <w:pPr>
        <w:spacing w:line="360" w:lineRule="auto"/>
        <w:jc w:val="both"/>
        <w:rPr>
          <w:rFonts w:ascii="Arial" w:hAnsi="Arial" w:cs="Arial"/>
          <w:b/>
          <w:bCs/>
          <w:sz w:val="22"/>
          <w:szCs w:val="22"/>
        </w:rPr>
      </w:pPr>
      <w:r w:rsidRPr="00BB6A62">
        <w:rPr>
          <w:rFonts w:ascii="Arial" w:hAnsi="Arial" w:cs="Arial"/>
          <w:b/>
          <w:bCs/>
          <w:sz w:val="22"/>
          <w:szCs w:val="22"/>
        </w:rPr>
        <w:t>Table 2: Ansoff Matrix analysis of Vodafone</w:t>
      </w:r>
    </w:p>
    <w:tbl>
      <w:tblPr>
        <w:tblStyle w:val="TableGridLight"/>
        <w:tblW w:w="0" w:type="auto"/>
        <w:tblLook w:val="04A0" w:firstRow="1" w:lastRow="0" w:firstColumn="1" w:lastColumn="0" w:noHBand="0" w:noVBand="1"/>
      </w:tblPr>
      <w:tblGrid>
        <w:gridCol w:w="2218"/>
        <w:gridCol w:w="6798"/>
      </w:tblGrid>
      <w:tr w:rsidR="008B02EA" w:rsidRPr="00BB6A62" w14:paraId="332B1675" w14:textId="77777777" w:rsidTr="00CF1567">
        <w:tc>
          <w:tcPr>
            <w:tcW w:w="0" w:type="auto"/>
            <w:hideMark/>
          </w:tcPr>
          <w:p w14:paraId="05A5B519"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Strategy</w:t>
            </w:r>
          </w:p>
        </w:tc>
        <w:tc>
          <w:tcPr>
            <w:tcW w:w="0" w:type="auto"/>
            <w:hideMark/>
          </w:tcPr>
          <w:p w14:paraId="41213CED"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Application to Vodafone</w:t>
            </w:r>
          </w:p>
        </w:tc>
      </w:tr>
      <w:tr w:rsidR="008B02EA" w:rsidRPr="00BB6A62" w14:paraId="06171892" w14:textId="77777777" w:rsidTr="00CF1567">
        <w:tc>
          <w:tcPr>
            <w:tcW w:w="0" w:type="auto"/>
            <w:hideMark/>
          </w:tcPr>
          <w:p w14:paraId="17094F7D"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Market Penetration</w:t>
            </w:r>
          </w:p>
        </w:tc>
        <w:tc>
          <w:tcPr>
            <w:tcW w:w="0" w:type="auto"/>
            <w:hideMark/>
          </w:tcPr>
          <w:p w14:paraId="5B3B1EBD" w14:textId="77777777" w:rsidR="008B02EA" w:rsidRPr="00BB6A62" w:rsidRDefault="008B02EA" w:rsidP="00C11BA4">
            <w:pPr>
              <w:spacing w:after="160" w:line="276" w:lineRule="auto"/>
              <w:jc w:val="both"/>
              <w:rPr>
                <w:rFonts w:ascii="Arial" w:hAnsi="Arial" w:cs="Arial"/>
                <w:sz w:val="22"/>
                <w:szCs w:val="22"/>
              </w:rPr>
            </w:pPr>
            <w:r w:rsidRPr="00BB6A62">
              <w:rPr>
                <w:rFonts w:ascii="Arial" w:hAnsi="Arial" w:cs="Arial"/>
                <w:sz w:val="22"/>
                <w:szCs w:val="22"/>
              </w:rPr>
              <w:t>Increase market share in existing markets through improved 5G coverage and customer retention.</w:t>
            </w:r>
          </w:p>
        </w:tc>
      </w:tr>
      <w:tr w:rsidR="008B02EA" w:rsidRPr="00BB6A62" w14:paraId="45B9F886" w14:textId="77777777" w:rsidTr="00CF1567">
        <w:tc>
          <w:tcPr>
            <w:tcW w:w="0" w:type="auto"/>
            <w:hideMark/>
          </w:tcPr>
          <w:p w14:paraId="3F165FB2"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Market Development</w:t>
            </w:r>
          </w:p>
        </w:tc>
        <w:tc>
          <w:tcPr>
            <w:tcW w:w="0" w:type="auto"/>
            <w:hideMark/>
          </w:tcPr>
          <w:p w14:paraId="58621484" w14:textId="77777777" w:rsidR="008B02EA" w:rsidRPr="00BB6A62" w:rsidRDefault="008B02EA" w:rsidP="00C11BA4">
            <w:pPr>
              <w:spacing w:after="160" w:line="276" w:lineRule="auto"/>
              <w:jc w:val="both"/>
              <w:rPr>
                <w:rFonts w:ascii="Arial" w:hAnsi="Arial" w:cs="Arial"/>
                <w:sz w:val="22"/>
                <w:szCs w:val="22"/>
              </w:rPr>
            </w:pPr>
            <w:r w:rsidRPr="00BB6A62">
              <w:rPr>
                <w:rFonts w:ascii="Arial" w:hAnsi="Arial" w:cs="Arial"/>
                <w:sz w:val="22"/>
                <w:szCs w:val="22"/>
              </w:rPr>
              <w:t>Expand services into new geographical markets or underserved rural areas.</w:t>
            </w:r>
          </w:p>
        </w:tc>
      </w:tr>
      <w:tr w:rsidR="008B02EA" w:rsidRPr="00BB6A62" w14:paraId="112CA343" w14:textId="77777777" w:rsidTr="00CF1567">
        <w:tc>
          <w:tcPr>
            <w:tcW w:w="0" w:type="auto"/>
            <w:hideMark/>
          </w:tcPr>
          <w:p w14:paraId="0A800E17"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Product Development</w:t>
            </w:r>
          </w:p>
        </w:tc>
        <w:tc>
          <w:tcPr>
            <w:tcW w:w="0" w:type="auto"/>
            <w:hideMark/>
          </w:tcPr>
          <w:p w14:paraId="6DA940ED" w14:textId="77777777" w:rsidR="008B02EA" w:rsidRPr="00BB6A62" w:rsidRDefault="008B02EA" w:rsidP="00C11BA4">
            <w:pPr>
              <w:spacing w:after="160" w:line="276" w:lineRule="auto"/>
              <w:jc w:val="both"/>
              <w:rPr>
                <w:rFonts w:ascii="Arial" w:hAnsi="Arial" w:cs="Arial"/>
                <w:sz w:val="22"/>
                <w:szCs w:val="22"/>
              </w:rPr>
            </w:pPr>
            <w:r w:rsidRPr="00BB6A62">
              <w:rPr>
                <w:rFonts w:ascii="Arial" w:hAnsi="Arial" w:cs="Arial"/>
                <w:sz w:val="22"/>
                <w:szCs w:val="22"/>
              </w:rPr>
              <w:t>Introduce new AI, cloud, IoT and cybersecurity services.</w:t>
            </w:r>
          </w:p>
        </w:tc>
      </w:tr>
      <w:tr w:rsidR="008B02EA" w:rsidRPr="00BB6A62" w14:paraId="3AF6E39E" w14:textId="77777777" w:rsidTr="00CF1567">
        <w:tc>
          <w:tcPr>
            <w:tcW w:w="0" w:type="auto"/>
            <w:hideMark/>
          </w:tcPr>
          <w:p w14:paraId="787FE8D3" w14:textId="77777777" w:rsidR="008B02EA" w:rsidRPr="00BB6A62" w:rsidRDefault="008B02EA" w:rsidP="00C11BA4">
            <w:pPr>
              <w:spacing w:after="160" w:line="276" w:lineRule="auto"/>
              <w:jc w:val="both"/>
              <w:rPr>
                <w:rFonts w:ascii="Arial" w:hAnsi="Arial" w:cs="Arial"/>
                <w:b/>
                <w:bCs/>
                <w:sz w:val="22"/>
                <w:szCs w:val="22"/>
              </w:rPr>
            </w:pPr>
            <w:r w:rsidRPr="00BB6A62">
              <w:rPr>
                <w:rFonts w:ascii="Arial" w:hAnsi="Arial" w:cs="Arial"/>
                <w:b/>
                <w:bCs/>
                <w:sz w:val="22"/>
                <w:szCs w:val="22"/>
              </w:rPr>
              <w:t>Diversification</w:t>
            </w:r>
          </w:p>
        </w:tc>
        <w:tc>
          <w:tcPr>
            <w:tcW w:w="0" w:type="auto"/>
            <w:hideMark/>
          </w:tcPr>
          <w:p w14:paraId="5E13DC4A" w14:textId="77777777" w:rsidR="008B02EA" w:rsidRPr="00BB6A62" w:rsidRDefault="008B02EA" w:rsidP="00C11BA4">
            <w:pPr>
              <w:spacing w:after="160" w:line="276" w:lineRule="auto"/>
              <w:jc w:val="both"/>
              <w:rPr>
                <w:rFonts w:ascii="Arial" w:hAnsi="Arial" w:cs="Arial"/>
                <w:sz w:val="22"/>
                <w:szCs w:val="22"/>
              </w:rPr>
            </w:pPr>
            <w:r w:rsidRPr="00BB6A62">
              <w:rPr>
                <w:rFonts w:ascii="Arial" w:hAnsi="Arial" w:cs="Arial"/>
                <w:sz w:val="22"/>
                <w:szCs w:val="22"/>
              </w:rPr>
              <w:t>Expand further into digital payments, FinTech and smart city solutions.</w:t>
            </w:r>
          </w:p>
        </w:tc>
      </w:tr>
    </w:tbl>
    <w:p w14:paraId="3DDF334A" w14:textId="77777777" w:rsidR="00EC1508" w:rsidRPr="00BB6A62" w:rsidRDefault="00EC1508" w:rsidP="008A04F6">
      <w:pPr>
        <w:spacing w:line="360" w:lineRule="auto"/>
        <w:jc w:val="both"/>
        <w:rPr>
          <w:rFonts w:ascii="Arial" w:hAnsi="Arial" w:cs="Arial"/>
          <w:sz w:val="22"/>
          <w:szCs w:val="22"/>
        </w:rPr>
      </w:pPr>
    </w:p>
    <w:p w14:paraId="04A993F3" w14:textId="5DC4E792" w:rsidR="0063508F" w:rsidRDefault="00824C53" w:rsidP="008A04F6">
      <w:pPr>
        <w:spacing w:line="360" w:lineRule="auto"/>
        <w:jc w:val="both"/>
        <w:rPr>
          <w:rFonts w:ascii="Arial" w:hAnsi="Arial" w:cs="Arial"/>
          <w:sz w:val="22"/>
          <w:szCs w:val="22"/>
        </w:rPr>
      </w:pPr>
      <w:r w:rsidRPr="00824C53">
        <w:rPr>
          <w:rFonts w:ascii="Arial" w:hAnsi="Arial" w:cs="Arial"/>
          <w:sz w:val="22"/>
          <w:szCs w:val="22"/>
        </w:rPr>
        <w:t>From the SWOT analysis and PESTLE analysis conducted for Vodafone, Product Development and Diversification would be two business strategies that could result in maximum growth. Ther rising demand for AI, cloud computing, and IoT, presents an opportunity for Vodafone to earn new revenue from these emerging technological areas.</w:t>
      </w:r>
    </w:p>
    <w:p w14:paraId="28A55600" w14:textId="77777777" w:rsidR="00824C53" w:rsidRPr="00BB6A62" w:rsidRDefault="00824C53" w:rsidP="008A04F6">
      <w:pPr>
        <w:spacing w:line="360" w:lineRule="auto"/>
        <w:jc w:val="both"/>
        <w:rPr>
          <w:rFonts w:ascii="Arial" w:hAnsi="Arial" w:cs="Arial"/>
          <w:sz w:val="22"/>
          <w:szCs w:val="22"/>
        </w:rPr>
      </w:pPr>
    </w:p>
    <w:p w14:paraId="27704271" w14:textId="67FDF0F3" w:rsidR="008742AF" w:rsidRPr="00BB6A62" w:rsidRDefault="00A7143B" w:rsidP="00BB6A62">
      <w:pPr>
        <w:pStyle w:val="Heading2"/>
      </w:pPr>
      <w:bookmarkStart w:id="19" w:name="_Toc232864067"/>
      <w:r w:rsidRPr="00BB6A62">
        <w:t xml:space="preserve">3.2 </w:t>
      </w:r>
      <w:r w:rsidR="005D5AEE" w:rsidRPr="00BB6A62">
        <w:t>New</w:t>
      </w:r>
      <w:r w:rsidRPr="00BB6A62">
        <w:t xml:space="preserve"> Strategy</w:t>
      </w:r>
      <w:r w:rsidR="005D5AEE" w:rsidRPr="00BB6A62">
        <w:t xml:space="preserve"> Proposed</w:t>
      </w:r>
      <w:bookmarkEnd w:id="19"/>
    </w:p>
    <w:p w14:paraId="741F61E0" w14:textId="3B8F3C06" w:rsidR="00B23B53" w:rsidRPr="00860B62" w:rsidRDefault="00860B62" w:rsidP="00542D2D">
      <w:pPr>
        <w:spacing w:line="360" w:lineRule="auto"/>
        <w:jc w:val="both"/>
        <w:rPr>
          <w:rFonts w:ascii="Arial" w:hAnsi="Arial" w:cs="Arial"/>
          <w:bCs/>
          <w:sz w:val="22"/>
          <w:szCs w:val="22"/>
        </w:rPr>
      </w:pPr>
      <w:r w:rsidRPr="00860B62">
        <w:rPr>
          <w:rFonts w:ascii="Arial" w:hAnsi="Arial" w:cs="Arial"/>
          <w:bCs/>
          <w:sz w:val="22"/>
          <w:szCs w:val="22"/>
        </w:rPr>
        <w:t xml:space="preserve">The Product Development strategy in combination with selective diversification into related digital service areas is strongly suggested for implementation at Vodafone. This includes, for example, expanding Vodafone AI services, IoT applications, cloud services, cybersecurity solutions, and smart cities technologies. The company should also focus on selective development of digital payment and FinTech services. Thus, Vodafone will be able to utilize its powerful customer base, network facilities and partnerships, generating additional sources of revenues in the dynamic digital segment. Through this strategy, Vodafone will be able to </w:t>
      </w:r>
      <w:r w:rsidRPr="00860B62">
        <w:rPr>
          <w:rFonts w:ascii="Arial" w:hAnsi="Arial" w:cs="Arial"/>
          <w:bCs/>
          <w:sz w:val="22"/>
          <w:szCs w:val="22"/>
        </w:rPr>
        <w:lastRenderedPageBreak/>
        <w:t>meet the demands of the evolving digital ecosystem that includes products for consumers as well as for business purposes. This will enable the company to utilize its strength of adaptability to changes and being flexible in the evolving technological world. Moreover, this will also result in income diversification in the future and lower dependence on traditional connectivity solutions.</w:t>
      </w:r>
    </w:p>
    <w:p w14:paraId="57B498E8" w14:textId="77777777" w:rsidR="008742AF" w:rsidRPr="00BB6A62" w:rsidRDefault="008742AF" w:rsidP="00542D2D">
      <w:pPr>
        <w:spacing w:line="360" w:lineRule="auto"/>
        <w:jc w:val="both"/>
        <w:rPr>
          <w:rFonts w:ascii="Arial" w:hAnsi="Arial" w:cs="Arial"/>
          <w:sz w:val="22"/>
          <w:szCs w:val="22"/>
        </w:rPr>
      </w:pPr>
    </w:p>
    <w:p w14:paraId="6D5D5DBF" w14:textId="22865723" w:rsidR="00102BAF" w:rsidRPr="00BB6A62" w:rsidRDefault="008213D2" w:rsidP="00BB6A62">
      <w:pPr>
        <w:pStyle w:val="Heading2"/>
      </w:pPr>
      <w:bookmarkStart w:id="20" w:name="_Toc232864068"/>
      <w:r w:rsidRPr="00BB6A62">
        <w:t>3.3 Justification Using Porter's Generic Strategies</w:t>
      </w:r>
      <w:bookmarkEnd w:id="20"/>
    </w:p>
    <w:p w14:paraId="21F0420E" w14:textId="4C31C466" w:rsidR="00212405" w:rsidRPr="00212405" w:rsidRDefault="00212405" w:rsidP="00212405">
      <w:pPr>
        <w:spacing w:line="360" w:lineRule="auto"/>
        <w:jc w:val="both"/>
        <w:rPr>
          <w:rFonts w:ascii="Arial" w:hAnsi="Arial" w:cs="Arial"/>
          <w:sz w:val="22"/>
          <w:szCs w:val="22"/>
        </w:rPr>
      </w:pPr>
      <w:r w:rsidRPr="00212405">
        <w:rPr>
          <w:rFonts w:ascii="Arial" w:hAnsi="Arial" w:cs="Arial"/>
          <w:sz w:val="22"/>
          <w:szCs w:val="22"/>
        </w:rPr>
        <w:t>According to Porter's Generic Strategies (Porter, 1980), an organisation can achieve competitive advantage by cost leadership, differentiation, or focus. This is one of the most used frameworks that is used in the analysis of how organizations position themselves within the competitive environment to remain profitable (Manyeki et al., 2018).</w:t>
      </w:r>
    </w:p>
    <w:p w14:paraId="1922E296" w14:textId="77777777" w:rsidR="00212405" w:rsidRPr="00212405" w:rsidRDefault="00212405" w:rsidP="00212405">
      <w:pPr>
        <w:spacing w:line="360" w:lineRule="auto"/>
        <w:jc w:val="both"/>
        <w:rPr>
          <w:rFonts w:ascii="Arial" w:hAnsi="Arial" w:cs="Arial"/>
          <w:sz w:val="22"/>
          <w:szCs w:val="22"/>
        </w:rPr>
      </w:pPr>
      <w:r w:rsidRPr="00212405">
        <w:rPr>
          <w:rFonts w:ascii="Arial" w:hAnsi="Arial" w:cs="Arial"/>
          <w:sz w:val="22"/>
          <w:szCs w:val="22"/>
        </w:rPr>
        <w:t>The differentiation approach would be the most appropriate strategy for Vodafone's growth. Instead of just relying on competition based on prices, Vodafone can adopt a differentiation strategy and provide innovative and advanced digital services. By making investment in the areas of 5G technology, artificial intelligence, IoT, and cloud computing, Vodafone will be able to provide higher-level integrated services to its customers without having to rely on prices (Vodafone, 2026).</w:t>
      </w:r>
    </w:p>
    <w:p w14:paraId="1DD38C0F" w14:textId="6A5B639D" w:rsidR="004B0036" w:rsidRPr="00BB6A62" w:rsidRDefault="00212405" w:rsidP="00212405">
      <w:pPr>
        <w:spacing w:line="360" w:lineRule="auto"/>
        <w:jc w:val="both"/>
        <w:rPr>
          <w:rFonts w:ascii="Arial" w:hAnsi="Arial" w:cs="Arial"/>
          <w:sz w:val="22"/>
          <w:szCs w:val="22"/>
        </w:rPr>
      </w:pPr>
      <w:r w:rsidRPr="00212405">
        <w:rPr>
          <w:rFonts w:ascii="Arial" w:hAnsi="Arial" w:cs="Arial"/>
          <w:sz w:val="22"/>
          <w:szCs w:val="22"/>
        </w:rPr>
        <w:t>Differentiation can be achieved by improving the customer experience and brand loyalty. This requires continuous market research, which identifies and understands evolving consumer needs and helps firms keep their services relevant. Value-added digital services and premium network performance provide Vodafone with strong capabilities to compete in high-value market segments, and thus, premium pricing strategies (Mwaniki and Anene, 2023). This strategy also helps Vodafone mitigate customer switching and increase customer lifetime value in fiercely competitive telecom markets.</w:t>
      </w:r>
    </w:p>
    <w:p w14:paraId="1D4B8DEE" w14:textId="77777777" w:rsidR="00AD53EA" w:rsidRPr="00BB6A62" w:rsidRDefault="00AD53EA" w:rsidP="008213D2">
      <w:pPr>
        <w:spacing w:line="360" w:lineRule="auto"/>
        <w:jc w:val="both"/>
        <w:rPr>
          <w:rFonts w:ascii="Arial" w:hAnsi="Arial" w:cs="Arial"/>
          <w:sz w:val="22"/>
          <w:szCs w:val="22"/>
        </w:rPr>
      </w:pPr>
    </w:p>
    <w:p w14:paraId="7CAE1D82" w14:textId="7FCAE0EA" w:rsidR="008213D2" w:rsidRPr="00BB6A62" w:rsidRDefault="00DF0F65" w:rsidP="00BB6A62">
      <w:pPr>
        <w:pStyle w:val="Heading2"/>
      </w:pPr>
      <w:bookmarkStart w:id="21" w:name="_Toc232864069"/>
      <w:r w:rsidRPr="00BB6A62">
        <w:t>3.4 Alignment with Vodafone's Values</w:t>
      </w:r>
      <w:bookmarkEnd w:id="21"/>
    </w:p>
    <w:p w14:paraId="0304597A" w14:textId="1712B8E2" w:rsidR="00D335BF" w:rsidRPr="00D335BF" w:rsidRDefault="00D335BF" w:rsidP="00D335BF">
      <w:pPr>
        <w:spacing w:line="360" w:lineRule="auto"/>
        <w:jc w:val="both"/>
        <w:rPr>
          <w:rFonts w:ascii="Arial" w:hAnsi="Arial" w:cs="Arial"/>
          <w:sz w:val="22"/>
          <w:szCs w:val="22"/>
        </w:rPr>
      </w:pPr>
      <w:r w:rsidRPr="00D335BF">
        <w:rPr>
          <w:rFonts w:ascii="Arial" w:hAnsi="Arial" w:cs="Arial"/>
          <w:sz w:val="22"/>
          <w:szCs w:val="22"/>
        </w:rPr>
        <w:t>The proposed strategy aligns with Vodafone agenda of connecting people and making a digital society inclusive. It aligns with the company’s commitment to innovation, digital transformation and sustainable growth. Furthermore, expanding AI, IoT and cloud-based services provides an ideal complement to the strategic objectives of the business and the long-term trends within the sector that are clearly visible in FY26 Annual Report of this organisation (Vodafone Group Plc, 2026). It is also consistent with Vodafone’s digital inclusion vision by delivering services and connectivity to rural and urban communities.</w:t>
      </w:r>
    </w:p>
    <w:p w14:paraId="5AE8F062" w14:textId="58E95152" w:rsidR="004C3D73" w:rsidRPr="00BB6A62" w:rsidRDefault="00D335BF" w:rsidP="00D335BF">
      <w:pPr>
        <w:spacing w:line="360" w:lineRule="auto"/>
        <w:jc w:val="both"/>
        <w:rPr>
          <w:rFonts w:ascii="Arial" w:hAnsi="Arial" w:cs="Arial"/>
          <w:sz w:val="22"/>
          <w:szCs w:val="22"/>
        </w:rPr>
      </w:pPr>
      <w:r w:rsidRPr="00D335BF">
        <w:rPr>
          <w:rFonts w:ascii="Arial" w:hAnsi="Arial" w:cs="Arial"/>
          <w:sz w:val="22"/>
          <w:szCs w:val="22"/>
        </w:rPr>
        <w:lastRenderedPageBreak/>
        <w:t>This strategy also enhances Vodafone’s sustainability objectives via management of digital technologies and their power to control the networks which will make it more resource efficient and lessen the level of dependence on the traditional type of infrastructure. By concentrating on innovation and cooperation and working alongside technology partners throughout the world, Vodafone maintains its position as a responsible digital leader. More broadly, this strategy balances between long-term business growth and customer value creation in service of environmental and social objectives.</w:t>
      </w:r>
    </w:p>
    <w:p w14:paraId="42866741" w14:textId="77777777" w:rsidR="004C3D73" w:rsidRPr="00BB6A62" w:rsidRDefault="004C3D73" w:rsidP="00542D2D">
      <w:pPr>
        <w:spacing w:line="360" w:lineRule="auto"/>
        <w:jc w:val="both"/>
        <w:rPr>
          <w:rFonts w:ascii="Arial" w:hAnsi="Arial" w:cs="Arial"/>
          <w:sz w:val="22"/>
          <w:szCs w:val="22"/>
        </w:rPr>
      </w:pPr>
    </w:p>
    <w:p w14:paraId="03B9AD6D" w14:textId="77777777" w:rsidR="00A52F7B" w:rsidRPr="00BB6A62" w:rsidRDefault="00A52F7B" w:rsidP="00542D2D">
      <w:pPr>
        <w:spacing w:line="360" w:lineRule="auto"/>
        <w:jc w:val="both"/>
        <w:rPr>
          <w:rFonts w:ascii="Arial" w:hAnsi="Arial" w:cs="Arial"/>
          <w:sz w:val="22"/>
          <w:szCs w:val="22"/>
        </w:rPr>
      </w:pPr>
    </w:p>
    <w:p w14:paraId="5715145A" w14:textId="77777777" w:rsidR="00A52F7B" w:rsidRPr="00BB6A62" w:rsidRDefault="00A52F7B" w:rsidP="00542D2D">
      <w:pPr>
        <w:spacing w:line="360" w:lineRule="auto"/>
        <w:jc w:val="both"/>
        <w:rPr>
          <w:rFonts w:ascii="Arial" w:hAnsi="Arial" w:cs="Arial"/>
          <w:sz w:val="22"/>
          <w:szCs w:val="22"/>
        </w:rPr>
      </w:pPr>
    </w:p>
    <w:p w14:paraId="10C5FA8B" w14:textId="77777777" w:rsidR="00343933" w:rsidRPr="00BB6A62" w:rsidRDefault="00343933" w:rsidP="00C11BA4"/>
    <w:p w14:paraId="4EFCAE22" w14:textId="77777777" w:rsidR="00343933" w:rsidRPr="00BB6A62" w:rsidRDefault="00343933" w:rsidP="00C11BA4"/>
    <w:p w14:paraId="7D00D5BD" w14:textId="77777777" w:rsidR="00343933" w:rsidRPr="00BB6A62" w:rsidRDefault="00343933" w:rsidP="00C11BA4"/>
    <w:p w14:paraId="4695F5DE" w14:textId="77777777" w:rsidR="00343933" w:rsidRPr="00BB6A62" w:rsidRDefault="00343933" w:rsidP="00C11BA4"/>
    <w:p w14:paraId="3E018675" w14:textId="77777777" w:rsidR="00343933" w:rsidRPr="00BB6A62" w:rsidRDefault="00343933" w:rsidP="00C11BA4"/>
    <w:p w14:paraId="3E5A64F7" w14:textId="77777777" w:rsidR="00343933" w:rsidRPr="00BB6A62" w:rsidRDefault="00343933" w:rsidP="00C11BA4"/>
    <w:p w14:paraId="3172AD59" w14:textId="77777777" w:rsidR="00343933" w:rsidRPr="00BB6A62" w:rsidRDefault="00343933" w:rsidP="00C11BA4"/>
    <w:p w14:paraId="64F2C03E" w14:textId="77777777" w:rsidR="00343933" w:rsidRPr="00BB6A62" w:rsidRDefault="00343933" w:rsidP="00C11BA4"/>
    <w:p w14:paraId="79462DE1" w14:textId="77777777" w:rsidR="00343933" w:rsidRPr="00BB6A62" w:rsidRDefault="00343933" w:rsidP="00C11BA4"/>
    <w:p w14:paraId="0552378B" w14:textId="77777777" w:rsidR="00343933" w:rsidRPr="00BB6A62" w:rsidRDefault="00343933" w:rsidP="00C11BA4"/>
    <w:p w14:paraId="43E437B7" w14:textId="77777777" w:rsidR="00343933" w:rsidRPr="00BB6A62" w:rsidRDefault="00343933" w:rsidP="00C11BA4"/>
    <w:p w14:paraId="7DCE45E6" w14:textId="77777777" w:rsidR="00D779B9" w:rsidRPr="00BB6A62" w:rsidRDefault="00D779B9" w:rsidP="00C11BA4"/>
    <w:p w14:paraId="0F314C18" w14:textId="77777777" w:rsidR="00D779B9" w:rsidRPr="00BB6A62" w:rsidRDefault="00D779B9" w:rsidP="00C11BA4"/>
    <w:p w14:paraId="1EBD9A6B" w14:textId="77777777" w:rsidR="00BB6A62" w:rsidRDefault="00BB6A62" w:rsidP="00C11BA4"/>
    <w:p w14:paraId="3F132633" w14:textId="77777777" w:rsidR="00BB6A62" w:rsidRDefault="00BB6A62" w:rsidP="00C11BA4"/>
    <w:p w14:paraId="093AB033" w14:textId="77777777" w:rsidR="00C11BA4" w:rsidRDefault="00C11BA4" w:rsidP="00C11BA4">
      <w:bookmarkStart w:id="22" w:name="_Toc232864070"/>
    </w:p>
    <w:p w14:paraId="79B48A34" w14:textId="77777777" w:rsidR="00C11BA4" w:rsidRDefault="00C11BA4" w:rsidP="00C11BA4"/>
    <w:p w14:paraId="3B9EDBC3" w14:textId="6A0FC2E4" w:rsidR="000B7BA5" w:rsidRPr="00BB6A62" w:rsidRDefault="000B7BA5" w:rsidP="00BB6A62">
      <w:pPr>
        <w:pStyle w:val="Heading1"/>
      </w:pPr>
      <w:r w:rsidRPr="00BB6A62">
        <w:lastRenderedPageBreak/>
        <w:t>4. Strategy Evaluation (SFA Framework)</w:t>
      </w:r>
      <w:bookmarkEnd w:id="22"/>
    </w:p>
    <w:p w14:paraId="5861917E" w14:textId="4C2018F8" w:rsidR="000B7BA5" w:rsidRPr="00BB6A62" w:rsidRDefault="005339DB" w:rsidP="000B7BA5">
      <w:pPr>
        <w:spacing w:line="360" w:lineRule="auto"/>
        <w:jc w:val="both"/>
        <w:rPr>
          <w:rFonts w:ascii="Arial" w:hAnsi="Arial" w:cs="Arial"/>
          <w:sz w:val="22"/>
          <w:szCs w:val="22"/>
        </w:rPr>
      </w:pPr>
      <w:r w:rsidRPr="005339DB">
        <w:rPr>
          <w:rFonts w:ascii="Arial" w:hAnsi="Arial" w:cs="Arial"/>
          <w:sz w:val="22"/>
          <w:szCs w:val="22"/>
        </w:rPr>
        <w:t>The proposed strategy of Product Development supported by selective diversification into digital services is assessed in terms of the SFA (Suitability, Feasibility and Acceptability) framework to check if it is appropriate for Vodafone’s long-term objectives. The SFA framework, developed by Johnson et al. (2011), is a strategic tool used to assess whether a strategy fits the external environment (suitability), can be implemented with available resources (feasibility), and is acceptable to key stakeholders (acceptability).</w:t>
      </w:r>
    </w:p>
    <w:p w14:paraId="32177DD1" w14:textId="37315600" w:rsidR="000B7BA5" w:rsidRPr="00BB6A62" w:rsidRDefault="000B7BA5" w:rsidP="000B7BA5">
      <w:pPr>
        <w:spacing w:line="360" w:lineRule="auto"/>
        <w:jc w:val="both"/>
        <w:rPr>
          <w:rFonts w:ascii="Arial" w:hAnsi="Arial" w:cs="Arial"/>
          <w:b/>
          <w:bCs/>
          <w:sz w:val="22"/>
          <w:szCs w:val="22"/>
        </w:rPr>
      </w:pPr>
    </w:p>
    <w:p w14:paraId="4A429C1C" w14:textId="77777777" w:rsidR="000B7BA5" w:rsidRPr="00BB6A62" w:rsidRDefault="000B7BA5" w:rsidP="000B7BA5">
      <w:pPr>
        <w:spacing w:line="360" w:lineRule="auto"/>
        <w:jc w:val="both"/>
        <w:rPr>
          <w:rFonts w:ascii="Arial" w:hAnsi="Arial" w:cs="Arial"/>
          <w:b/>
          <w:bCs/>
          <w:sz w:val="22"/>
          <w:szCs w:val="22"/>
        </w:rPr>
      </w:pPr>
      <w:r w:rsidRPr="00BB6A62">
        <w:rPr>
          <w:rFonts w:ascii="Arial" w:hAnsi="Arial" w:cs="Arial"/>
          <w:b/>
          <w:bCs/>
          <w:sz w:val="22"/>
          <w:szCs w:val="22"/>
        </w:rPr>
        <w:t>Suitability</w:t>
      </w:r>
    </w:p>
    <w:p w14:paraId="66768F5C" w14:textId="4A2B2E51" w:rsidR="001C736B" w:rsidRPr="001C736B" w:rsidRDefault="001C736B" w:rsidP="001C736B">
      <w:pPr>
        <w:spacing w:line="360" w:lineRule="auto"/>
        <w:jc w:val="both"/>
        <w:rPr>
          <w:rFonts w:ascii="Arial" w:hAnsi="Arial" w:cs="Arial"/>
          <w:sz w:val="22"/>
          <w:szCs w:val="22"/>
        </w:rPr>
      </w:pPr>
      <w:r w:rsidRPr="001C736B">
        <w:rPr>
          <w:rFonts w:ascii="Arial" w:hAnsi="Arial" w:cs="Arial"/>
          <w:sz w:val="22"/>
          <w:szCs w:val="22"/>
        </w:rPr>
        <w:t>Based on Vodafone’s existing competitive advantage and developments within the industry, the strategy is particularly suitable for the company. The telecom industry is growing very quickly with the demand for AI powered services, cloud offerings, Internet of Things (IoT) and integrated digital solutions. These areas align with Vodafone's current advantages such as strong network capabilities, large customer base and recognised technology partnerships (Vodafone Group Plc, 2026)</w:t>
      </w:r>
    </w:p>
    <w:p w14:paraId="5520980C" w14:textId="6D66AE03" w:rsidR="000B7BA5" w:rsidRPr="00BB6A62" w:rsidRDefault="001C736B" w:rsidP="001C736B">
      <w:pPr>
        <w:spacing w:line="360" w:lineRule="auto"/>
        <w:jc w:val="both"/>
        <w:rPr>
          <w:rFonts w:ascii="Arial" w:hAnsi="Arial" w:cs="Arial"/>
          <w:sz w:val="22"/>
          <w:szCs w:val="22"/>
        </w:rPr>
      </w:pPr>
      <w:r w:rsidRPr="001C736B">
        <w:rPr>
          <w:rFonts w:ascii="Arial" w:hAnsi="Arial" w:cs="Arial"/>
          <w:sz w:val="22"/>
          <w:szCs w:val="22"/>
        </w:rPr>
        <w:t>The strategy also directly responds to opportunities revealed by the SWOT and PESTLE analyses, such as digital transformation and expansion into high-growth technology markets. Also, it assists Vodafone with the post-merger position to make the most of synergies resulting from VodafoneThree and enhance Vodafone's competitive edge in the UK market (VodafoneThree, 2026; Vodafone Group Plc, 2026; 2025).</w:t>
      </w:r>
    </w:p>
    <w:p w14:paraId="5E75F75F" w14:textId="3D6331C7" w:rsidR="000B7BA5" w:rsidRPr="00BB6A62" w:rsidRDefault="000B7BA5" w:rsidP="000B7BA5">
      <w:pPr>
        <w:spacing w:line="360" w:lineRule="auto"/>
        <w:jc w:val="both"/>
        <w:rPr>
          <w:rFonts w:ascii="Arial" w:hAnsi="Arial" w:cs="Arial"/>
          <w:sz w:val="22"/>
          <w:szCs w:val="22"/>
        </w:rPr>
      </w:pPr>
    </w:p>
    <w:p w14:paraId="6E9FF0BE" w14:textId="77777777" w:rsidR="000B7BA5" w:rsidRPr="00BB6A62" w:rsidRDefault="000B7BA5" w:rsidP="000B7BA5">
      <w:pPr>
        <w:spacing w:line="360" w:lineRule="auto"/>
        <w:jc w:val="both"/>
        <w:rPr>
          <w:rFonts w:ascii="Arial" w:hAnsi="Arial" w:cs="Arial"/>
          <w:b/>
          <w:bCs/>
          <w:sz w:val="22"/>
          <w:szCs w:val="22"/>
        </w:rPr>
      </w:pPr>
      <w:r w:rsidRPr="00BB6A62">
        <w:rPr>
          <w:rFonts w:ascii="Arial" w:hAnsi="Arial" w:cs="Arial"/>
          <w:b/>
          <w:bCs/>
          <w:sz w:val="22"/>
          <w:szCs w:val="22"/>
        </w:rPr>
        <w:t>Feasibility</w:t>
      </w:r>
    </w:p>
    <w:p w14:paraId="223E8961" w14:textId="0F3430CB" w:rsidR="0020438F" w:rsidRPr="0020438F" w:rsidRDefault="0020438F" w:rsidP="0020438F">
      <w:pPr>
        <w:spacing w:line="360" w:lineRule="auto"/>
        <w:jc w:val="both"/>
        <w:rPr>
          <w:rFonts w:ascii="Arial" w:hAnsi="Arial" w:cs="Arial"/>
          <w:sz w:val="22"/>
          <w:szCs w:val="22"/>
        </w:rPr>
      </w:pPr>
      <w:r w:rsidRPr="0020438F">
        <w:rPr>
          <w:rFonts w:ascii="Arial" w:hAnsi="Arial" w:cs="Arial"/>
          <w:sz w:val="22"/>
          <w:szCs w:val="22"/>
        </w:rPr>
        <w:t xml:space="preserve">This strategy is feasible given the strong financial and operational capabilities of Vodafone. It has considerable investment potential, as indicated by its £11 billion network investment programme and predicted £700 million of annual cost synergies after the merger of VodafoneThree (VodafoneThree, 2026). </w:t>
      </w:r>
    </w:p>
    <w:p w14:paraId="542910EC" w14:textId="77777777" w:rsidR="0020438F" w:rsidRPr="0020438F" w:rsidRDefault="0020438F" w:rsidP="0020438F">
      <w:pPr>
        <w:spacing w:line="360" w:lineRule="auto"/>
        <w:jc w:val="both"/>
        <w:rPr>
          <w:rFonts w:ascii="Arial" w:hAnsi="Arial" w:cs="Arial"/>
          <w:sz w:val="22"/>
          <w:szCs w:val="22"/>
        </w:rPr>
      </w:pPr>
      <w:r w:rsidRPr="0020438F">
        <w:rPr>
          <w:rFonts w:ascii="Arial" w:hAnsi="Arial" w:cs="Arial"/>
          <w:sz w:val="22"/>
          <w:szCs w:val="22"/>
        </w:rPr>
        <w:t>Similarly, Vodafone has already achieved strategic partnerships with global tech companies, including Microsoft, Google and Amazon, to enable it to support new kinds of technology development (Vodafone Group Plc, 2026). In addition, its infrastructure it already has given it the ability to scale up AI, IoT, and cloud-based services without needing to fully re-enter the market.</w:t>
      </w:r>
    </w:p>
    <w:p w14:paraId="05F2C731" w14:textId="467B20E6" w:rsidR="000B7BA5" w:rsidRPr="00BB6A62" w:rsidRDefault="0020438F" w:rsidP="0020438F">
      <w:pPr>
        <w:spacing w:line="360" w:lineRule="auto"/>
        <w:jc w:val="both"/>
        <w:rPr>
          <w:rFonts w:ascii="Arial" w:hAnsi="Arial" w:cs="Arial"/>
          <w:sz w:val="22"/>
          <w:szCs w:val="22"/>
        </w:rPr>
      </w:pPr>
      <w:r w:rsidRPr="0020438F">
        <w:rPr>
          <w:rFonts w:ascii="Arial" w:hAnsi="Arial" w:cs="Arial"/>
          <w:sz w:val="22"/>
          <w:szCs w:val="22"/>
        </w:rPr>
        <w:t>Assumption: It is assumed that Vodafone will continue to allocate capital towards digital transformation and to maintain strategic partnerships with key technology providers.</w:t>
      </w:r>
    </w:p>
    <w:p w14:paraId="4CE6AF53" w14:textId="77777777" w:rsidR="000B7BA5" w:rsidRPr="00BB6A62" w:rsidRDefault="000B7BA5" w:rsidP="000B7BA5">
      <w:pPr>
        <w:spacing w:line="360" w:lineRule="auto"/>
        <w:jc w:val="both"/>
        <w:rPr>
          <w:rFonts w:ascii="Arial" w:hAnsi="Arial" w:cs="Arial"/>
          <w:b/>
          <w:bCs/>
          <w:sz w:val="22"/>
          <w:szCs w:val="22"/>
        </w:rPr>
      </w:pPr>
      <w:r w:rsidRPr="00BB6A62">
        <w:rPr>
          <w:rFonts w:ascii="Arial" w:hAnsi="Arial" w:cs="Arial"/>
          <w:b/>
          <w:bCs/>
          <w:sz w:val="22"/>
          <w:szCs w:val="22"/>
        </w:rPr>
        <w:lastRenderedPageBreak/>
        <w:t>Acceptability</w:t>
      </w:r>
    </w:p>
    <w:p w14:paraId="68ADAA00" w14:textId="20101D0C" w:rsidR="00A46A9D" w:rsidRDefault="00A46A9D" w:rsidP="00A46A9D">
      <w:pPr>
        <w:spacing w:line="360" w:lineRule="auto"/>
        <w:jc w:val="both"/>
        <w:rPr>
          <w:rFonts w:ascii="Arial" w:hAnsi="Arial" w:cs="Arial"/>
          <w:sz w:val="22"/>
          <w:szCs w:val="22"/>
        </w:rPr>
      </w:pPr>
      <w:r>
        <w:rPr>
          <w:rFonts w:ascii="Arial" w:hAnsi="Arial" w:cs="Arial"/>
          <w:sz w:val="22"/>
          <w:szCs w:val="22"/>
        </w:rPr>
        <w:t xml:space="preserve">This </w:t>
      </w:r>
      <w:r w:rsidRPr="00A46A9D">
        <w:rPr>
          <w:rFonts w:ascii="Arial" w:hAnsi="Arial" w:cs="Arial"/>
          <w:sz w:val="22"/>
          <w:szCs w:val="22"/>
        </w:rPr>
        <w:t xml:space="preserve">approach is suitable for key stakeholders, such as customers, investors, and regulators. To customers, it is an addition of value using more integrated and advanced digital services. The investors will benefit from a long-term diversified source of income, and dependence on traditional mobile network infrastructure will be reduced. This strategy is consistent with other objectives of regulators concerning digital infrastructure creation, innovation, and economic development. However, the risks include high costly investments, as well as problems with integration of new digital services with current operations. These risks can be manged through strong governance structures and phased implementation. </w:t>
      </w:r>
    </w:p>
    <w:p w14:paraId="4FFDF600" w14:textId="77777777" w:rsidR="00A46A9D" w:rsidRPr="00A46A9D" w:rsidRDefault="00A46A9D" w:rsidP="00A46A9D">
      <w:pPr>
        <w:spacing w:line="360" w:lineRule="auto"/>
        <w:jc w:val="both"/>
        <w:rPr>
          <w:rFonts w:ascii="Arial" w:hAnsi="Arial" w:cs="Arial"/>
          <w:sz w:val="22"/>
          <w:szCs w:val="22"/>
        </w:rPr>
      </w:pPr>
    </w:p>
    <w:p w14:paraId="54C309FE" w14:textId="695FB3F7" w:rsidR="000B7BA5" w:rsidRPr="00BB6A62" w:rsidRDefault="00A46A9D" w:rsidP="00A46A9D">
      <w:pPr>
        <w:spacing w:line="360" w:lineRule="auto"/>
        <w:jc w:val="both"/>
        <w:rPr>
          <w:rFonts w:ascii="Arial" w:hAnsi="Arial" w:cs="Arial"/>
          <w:sz w:val="22"/>
          <w:szCs w:val="22"/>
        </w:rPr>
      </w:pPr>
      <w:r w:rsidRPr="00A46A9D">
        <w:rPr>
          <w:rFonts w:ascii="Arial" w:hAnsi="Arial" w:cs="Arial"/>
          <w:sz w:val="22"/>
          <w:szCs w:val="22"/>
        </w:rPr>
        <w:t>Overall, the strategy is suitable, feasible, and acceptable within that context for Vodafone. It builds upon existing strengths, aligns with industry trends, and supports long-term competitive advantage in an increasingly digital telecommunications environment (Johnson et al., 2011).</w:t>
      </w:r>
    </w:p>
    <w:p w14:paraId="1CD2EA22" w14:textId="77777777" w:rsidR="00FA01AE" w:rsidRPr="00BB6A62" w:rsidRDefault="00FA01AE" w:rsidP="00542D2D">
      <w:pPr>
        <w:spacing w:line="360" w:lineRule="auto"/>
        <w:jc w:val="both"/>
        <w:rPr>
          <w:rFonts w:ascii="Arial" w:hAnsi="Arial" w:cs="Arial"/>
          <w:b/>
          <w:bCs/>
          <w:sz w:val="22"/>
          <w:szCs w:val="22"/>
        </w:rPr>
      </w:pPr>
    </w:p>
    <w:p w14:paraId="07C71A26" w14:textId="77777777" w:rsidR="00FA01AE" w:rsidRPr="00BB6A62" w:rsidRDefault="00FA01AE" w:rsidP="00542D2D">
      <w:pPr>
        <w:spacing w:line="360" w:lineRule="auto"/>
        <w:jc w:val="both"/>
        <w:rPr>
          <w:rFonts w:ascii="Arial" w:hAnsi="Arial" w:cs="Arial"/>
          <w:b/>
          <w:bCs/>
          <w:sz w:val="22"/>
          <w:szCs w:val="22"/>
        </w:rPr>
      </w:pPr>
    </w:p>
    <w:p w14:paraId="2E4094B0" w14:textId="77777777" w:rsidR="00FA01AE" w:rsidRPr="00BB6A62" w:rsidRDefault="00FA01AE" w:rsidP="00542D2D">
      <w:pPr>
        <w:spacing w:line="360" w:lineRule="auto"/>
        <w:jc w:val="both"/>
        <w:rPr>
          <w:rFonts w:ascii="Arial" w:hAnsi="Arial" w:cs="Arial"/>
          <w:b/>
          <w:bCs/>
          <w:sz w:val="22"/>
          <w:szCs w:val="22"/>
        </w:rPr>
      </w:pPr>
    </w:p>
    <w:p w14:paraId="32BC2547" w14:textId="77777777" w:rsidR="00FA01AE" w:rsidRPr="00BB6A62" w:rsidRDefault="00FA01AE" w:rsidP="00542D2D">
      <w:pPr>
        <w:spacing w:line="360" w:lineRule="auto"/>
        <w:jc w:val="both"/>
        <w:rPr>
          <w:rFonts w:ascii="Arial" w:hAnsi="Arial" w:cs="Arial"/>
          <w:b/>
          <w:bCs/>
          <w:sz w:val="22"/>
          <w:szCs w:val="22"/>
        </w:rPr>
      </w:pPr>
    </w:p>
    <w:p w14:paraId="4859821C" w14:textId="77777777" w:rsidR="00FA01AE" w:rsidRPr="00BB6A62" w:rsidRDefault="00FA01AE" w:rsidP="00542D2D">
      <w:pPr>
        <w:spacing w:line="360" w:lineRule="auto"/>
        <w:jc w:val="both"/>
        <w:rPr>
          <w:rFonts w:ascii="Arial" w:hAnsi="Arial" w:cs="Arial"/>
          <w:b/>
          <w:bCs/>
          <w:sz w:val="22"/>
          <w:szCs w:val="22"/>
        </w:rPr>
      </w:pPr>
    </w:p>
    <w:p w14:paraId="577047F8" w14:textId="77777777" w:rsidR="00FA01AE" w:rsidRPr="00BB6A62" w:rsidRDefault="00FA01AE" w:rsidP="00542D2D">
      <w:pPr>
        <w:spacing w:line="360" w:lineRule="auto"/>
        <w:jc w:val="both"/>
        <w:rPr>
          <w:rFonts w:ascii="Arial" w:hAnsi="Arial" w:cs="Arial"/>
          <w:b/>
          <w:bCs/>
          <w:sz w:val="22"/>
          <w:szCs w:val="22"/>
        </w:rPr>
      </w:pPr>
    </w:p>
    <w:p w14:paraId="70DB9067" w14:textId="77777777" w:rsidR="00FA01AE" w:rsidRPr="00BB6A62" w:rsidRDefault="00FA01AE" w:rsidP="00542D2D">
      <w:pPr>
        <w:spacing w:line="360" w:lineRule="auto"/>
        <w:jc w:val="both"/>
        <w:rPr>
          <w:rFonts w:ascii="Arial" w:hAnsi="Arial" w:cs="Arial"/>
          <w:b/>
          <w:bCs/>
          <w:sz w:val="22"/>
          <w:szCs w:val="22"/>
        </w:rPr>
      </w:pPr>
    </w:p>
    <w:p w14:paraId="129FF746" w14:textId="77777777" w:rsidR="00AF0011" w:rsidRPr="00BB6A62" w:rsidRDefault="00AF0011" w:rsidP="00542D2D">
      <w:pPr>
        <w:spacing w:line="360" w:lineRule="auto"/>
        <w:jc w:val="both"/>
        <w:rPr>
          <w:rFonts w:ascii="Arial" w:hAnsi="Arial" w:cs="Arial"/>
          <w:b/>
          <w:bCs/>
          <w:sz w:val="22"/>
          <w:szCs w:val="22"/>
        </w:rPr>
      </w:pPr>
    </w:p>
    <w:p w14:paraId="699847F2" w14:textId="77777777" w:rsidR="00AF0011" w:rsidRPr="00BB6A62" w:rsidRDefault="00AF0011" w:rsidP="00542D2D">
      <w:pPr>
        <w:spacing w:line="360" w:lineRule="auto"/>
        <w:jc w:val="both"/>
        <w:rPr>
          <w:rFonts w:ascii="Arial" w:hAnsi="Arial" w:cs="Arial"/>
          <w:b/>
          <w:bCs/>
          <w:sz w:val="22"/>
          <w:szCs w:val="22"/>
        </w:rPr>
      </w:pPr>
    </w:p>
    <w:p w14:paraId="17C51DB2" w14:textId="77777777" w:rsidR="00AF0011" w:rsidRDefault="00AF0011" w:rsidP="00542D2D">
      <w:pPr>
        <w:spacing w:line="360" w:lineRule="auto"/>
        <w:jc w:val="both"/>
        <w:rPr>
          <w:rFonts w:ascii="Arial" w:hAnsi="Arial" w:cs="Arial"/>
          <w:b/>
          <w:bCs/>
          <w:sz w:val="22"/>
          <w:szCs w:val="22"/>
        </w:rPr>
      </w:pPr>
    </w:p>
    <w:p w14:paraId="78C2F2FE" w14:textId="77777777" w:rsidR="003D74CB" w:rsidRDefault="003D74CB" w:rsidP="00542D2D">
      <w:pPr>
        <w:spacing w:line="360" w:lineRule="auto"/>
        <w:jc w:val="both"/>
        <w:rPr>
          <w:rFonts w:ascii="Arial" w:hAnsi="Arial" w:cs="Arial"/>
          <w:b/>
          <w:bCs/>
          <w:sz w:val="22"/>
          <w:szCs w:val="22"/>
        </w:rPr>
      </w:pPr>
    </w:p>
    <w:p w14:paraId="7F91A766" w14:textId="77777777" w:rsidR="003D74CB" w:rsidRDefault="003D74CB" w:rsidP="00542D2D">
      <w:pPr>
        <w:spacing w:line="360" w:lineRule="auto"/>
        <w:jc w:val="both"/>
        <w:rPr>
          <w:rFonts w:ascii="Arial" w:hAnsi="Arial" w:cs="Arial"/>
          <w:b/>
          <w:bCs/>
          <w:sz w:val="22"/>
          <w:szCs w:val="22"/>
        </w:rPr>
      </w:pPr>
    </w:p>
    <w:p w14:paraId="752205A1" w14:textId="77777777" w:rsidR="003D74CB" w:rsidRDefault="003D74CB" w:rsidP="00542D2D">
      <w:pPr>
        <w:spacing w:line="360" w:lineRule="auto"/>
        <w:jc w:val="both"/>
        <w:rPr>
          <w:rFonts w:ascii="Arial" w:hAnsi="Arial" w:cs="Arial"/>
          <w:b/>
          <w:bCs/>
          <w:sz w:val="22"/>
          <w:szCs w:val="22"/>
        </w:rPr>
      </w:pPr>
    </w:p>
    <w:p w14:paraId="3E3247B4" w14:textId="77777777" w:rsidR="003D74CB" w:rsidRDefault="003D74CB" w:rsidP="00542D2D">
      <w:pPr>
        <w:spacing w:line="360" w:lineRule="auto"/>
        <w:jc w:val="both"/>
        <w:rPr>
          <w:rFonts w:ascii="Arial" w:hAnsi="Arial" w:cs="Arial"/>
          <w:b/>
          <w:bCs/>
          <w:sz w:val="22"/>
          <w:szCs w:val="22"/>
        </w:rPr>
      </w:pPr>
    </w:p>
    <w:p w14:paraId="5EFF4CF5" w14:textId="6C364C35" w:rsidR="008A04F6" w:rsidRPr="00BB6A62" w:rsidRDefault="00273D7F" w:rsidP="00BB6A62">
      <w:pPr>
        <w:pStyle w:val="Heading1"/>
      </w:pPr>
      <w:bookmarkStart w:id="23" w:name="_Toc232864071"/>
      <w:r w:rsidRPr="00BB6A62">
        <w:lastRenderedPageBreak/>
        <w:t>5</w:t>
      </w:r>
      <w:r w:rsidR="00542D2D" w:rsidRPr="00BB6A62">
        <w:t xml:space="preserve">. </w:t>
      </w:r>
      <w:r w:rsidR="002D588F" w:rsidRPr="00BB6A62">
        <w:t>Stakeholder Analysis</w:t>
      </w:r>
      <w:bookmarkEnd w:id="23"/>
      <w:r w:rsidR="002D588F" w:rsidRPr="00BB6A62">
        <w:t xml:space="preserve"> </w:t>
      </w:r>
    </w:p>
    <w:p w14:paraId="0E48E580" w14:textId="6BFC1ED9" w:rsidR="005E3153" w:rsidRPr="005E3153" w:rsidRDefault="005E3153" w:rsidP="005E3153">
      <w:pPr>
        <w:spacing w:line="360" w:lineRule="auto"/>
        <w:jc w:val="both"/>
        <w:rPr>
          <w:rFonts w:ascii="Arial" w:hAnsi="Arial" w:cs="Arial"/>
          <w:sz w:val="22"/>
          <w:szCs w:val="22"/>
        </w:rPr>
      </w:pPr>
      <w:r w:rsidRPr="005E3153">
        <w:rPr>
          <w:rFonts w:ascii="Arial" w:hAnsi="Arial" w:cs="Arial"/>
          <w:sz w:val="22"/>
          <w:szCs w:val="22"/>
        </w:rPr>
        <w:t xml:space="preserve">The proposed growth strategy will impact multiple stakeholders. Stakeholder Theory states that organisations must manage and balance the interests of all stakeholders who affect or are affected by business activities, rather than focusing only on shareholders (Freeman, 1984). Key stakeholder groups identified by Vodafone include governments and regulators, investors, suppliers, technology partners, customers, employees, and local communities and NGOs (Vodafone Group Plc, 2026). Since the proposed strategy focuses digital innovation and service expansion, effective </w:t>
      </w:r>
      <w:r w:rsidRPr="005E3153">
        <w:rPr>
          <w:rFonts w:ascii="Arial" w:hAnsi="Arial" w:cs="Arial"/>
          <w:sz w:val="22"/>
          <w:szCs w:val="22"/>
        </w:rPr>
        <w:t>stakeholders’</w:t>
      </w:r>
      <w:r w:rsidRPr="005E3153">
        <w:rPr>
          <w:rFonts w:ascii="Arial" w:hAnsi="Arial" w:cs="Arial"/>
          <w:sz w:val="22"/>
          <w:szCs w:val="22"/>
        </w:rPr>
        <w:t xml:space="preserve"> engagement will be critical to support successful implementation.  </w:t>
      </w:r>
    </w:p>
    <w:p w14:paraId="21BBDBD7" w14:textId="63C8F9F1" w:rsidR="005E3153" w:rsidRDefault="005E3153" w:rsidP="0043284C">
      <w:pPr>
        <w:spacing w:line="360" w:lineRule="auto"/>
        <w:jc w:val="both"/>
        <w:rPr>
          <w:rFonts w:ascii="Arial" w:hAnsi="Arial" w:cs="Arial"/>
          <w:sz w:val="22"/>
          <w:szCs w:val="22"/>
        </w:rPr>
      </w:pPr>
      <w:r w:rsidRPr="005E3153">
        <w:rPr>
          <w:rFonts w:ascii="Arial" w:hAnsi="Arial" w:cs="Arial"/>
          <w:sz w:val="22"/>
          <w:szCs w:val="22"/>
        </w:rPr>
        <w:t>Mendelow’s Matrix is the stakeholder mapping framework that organizes stakeholders in terms of their relative level of power and interest and provides organizations with a way of deciding on the best way of engaging with each stakeholder group (Mendelow, 1991). Mendelow's Matrix is used to classify Vodafone's key stakeholders as follows:</w:t>
      </w:r>
    </w:p>
    <w:p w14:paraId="2977C540" w14:textId="77777777" w:rsidR="00E5124E" w:rsidRDefault="00E5124E" w:rsidP="0043284C">
      <w:pPr>
        <w:spacing w:line="360" w:lineRule="auto"/>
        <w:jc w:val="both"/>
        <w:rPr>
          <w:rFonts w:ascii="Arial" w:hAnsi="Arial" w:cs="Arial"/>
          <w:sz w:val="22"/>
          <w:szCs w:val="22"/>
        </w:rPr>
      </w:pPr>
    </w:p>
    <w:p w14:paraId="777E732B" w14:textId="1A7841AE" w:rsidR="00344AD3" w:rsidRPr="00BB6A62" w:rsidRDefault="009A5C77" w:rsidP="0043284C">
      <w:pPr>
        <w:spacing w:line="360" w:lineRule="auto"/>
        <w:jc w:val="both"/>
        <w:rPr>
          <w:rFonts w:ascii="Arial" w:hAnsi="Arial" w:cs="Arial"/>
          <w:b/>
          <w:bCs/>
          <w:sz w:val="22"/>
          <w:szCs w:val="22"/>
        </w:rPr>
      </w:pPr>
      <w:r w:rsidRPr="00BB6A62">
        <w:rPr>
          <w:rFonts w:ascii="Arial" w:hAnsi="Arial" w:cs="Arial"/>
          <w:b/>
          <w:bCs/>
          <w:sz w:val="22"/>
          <w:szCs w:val="22"/>
        </w:rPr>
        <w:t xml:space="preserve">Table 3: </w:t>
      </w:r>
      <w:r w:rsidR="00AD7139" w:rsidRPr="00BB6A62">
        <w:rPr>
          <w:rFonts w:ascii="Arial" w:hAnsi="Arial" w:cs="Arial"/>
          <w:b/>
          <w:bCs/>
          <w:sz w:val="22"/>
          <w:szCs w:val="22"/>
        </w:rPr>
        <w:t xml:space="preserve">Mendelow’s Matrix </w:t>
      </w:r>
      <w:r w:rsidR="00EC568C" w:rsidRPr="00BB6A62">
        <w:rPr>
          <w:rFonts w:ascii="Arial" w:hAnsi="Arial" w:cs="Arial"/>
          <w:b/>
          <w:bCs/>
          <w:sz w:val="22"/>
          <w:szCs w:val="22"/>
        </w:rPr>
        <w:t xml:space="preserve">applied to Vodafone </w:t>
      </w:r>
      <w:r w:rsidRPr="00BB6A62">
        <w:rPr>
          <w:rFonts w:ascii="Arial" w:hAnsi="Arial" w:cs="Arial"/>
          <w:b/>
          <w:bCs/>
          <w:sz w:val="22"/>
          <w:szCs w:val="22"/>
        </w:rPr>
        <w:t>S</w:t>
      </w:r>
      <w:r w:rsidR="00EC568C" w:rsidRPr="00BB6A62">
        <w:rPr>
          <w:rFonts w:ascii="Arial" w:hAnsi="Arial" w:cs="Arial"/>
          <w:b/>
          <w:bCs/>
          <w:sz w:val="22"/>
          <w:szCs w:val="22"/>
        </w:rPr>
        <w:t xml:space="preserve">takeholders </w:t>
      </w:r>
    </w:p>
    <w:tbl>
      <w:tblPr>
        <w:tblStyle w:val="TableGrid"/>
        <w:tblW w:w="0" w:type="auto"/>
        <w:tblLook w:val="04A0" w:firstRow="1" w:lastRow="0" w:firstColumn="1" w:lastColumn="0" w:noHBand="0" w:noVBand="1"/>
      </w:tblPr>
      <w:tblGrid>
        <w:gridCol w:w="1589"/>
        <w:gridCol w:w="999"/>
        <w:gridCol w:w="1011"/>
        <w:gridCol w:w="1649"/>
        <w:gridCol w:w="1923"/>
        <w:gridCol w:w="1845"/>
      </w:tblGrid>
      <w:tr w:rsidR="000D3DB9" w:rsidRPr="00BB6A62" w14:paraId="0A2AC4F4" w14:textId="77777777" w:rsidTr="000D3DB9">
        <w:tc>
          <w:tcPr>
            <w:tcW w:w="0" w:type="auto"/>
            <w:hideMark/>
          </w:tcPr>
          <w:p w14:paraId="2335797C"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Stakeholder Group</w:t>
            </w:r>
          </w:p>
        </w:tc>
        <w:tc>
          <w:tcPr>
            <w:tcW w:w="0" w:type="auto"/>
            <w:hideMark/>
          </w:tcPr>
          <w:p w14:paraId="55825FD7"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Power</w:t>
            </w:r>
          </w:p>
        </w:tc>
        <w:tc>
          <w:tcPr>
            <w:tcW w:w="0" w:type="auto"/>
            <w:hideMark/>
          </w:tcPr>
          <w:p w14:paraId="05A39420"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Interest</w:t>
            </w:r>
          </w:p>
        </w:tc>
        <w:tc>
          <w:tcPr>
            <w:tcW w:w="0" w:type="auto"/>
            <w:hideMark/>
          </w:tcPr>
          <w:p w14:paraId="6F763B02"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Classification</w:t>
            </w:r>
          </w:p>
        </w:tc>
        <w:tc>
          <w:tcPr>
            <w:tcW w:w="0" w:type="auto"/>
            <w:hideMark/>
          </w:tcPr>
          <w:p w14:paraId="25C29C16"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Impact of Strategy</w:t>
            </w:r>
          </w:p>
        </w:tc>
        <w:tc>
          <w:tcPr>
            <w:tcW w:w="0" w:type="auto"/>
            <w:hideMark/>
          </w:tcPr>
          <w:p w14:paraId="35EAC23F" w14:textId="77777777" w:rsidR="000D3DB9" w:rsidRPr="00BB6A62" w:rsidRDefault="000D3DB9" w:rsidP="00C11BA4">
            <w:pPr>
              <w:spacing w:after="160"/>
              <w:jc w:val="both"/>
              <w:rPr>
                <w:rFonts w:ascii="Arial" w:hAnsi="Arial" w:cs="Arial"/>
                <w:b/>
                <w:bCs/>
                <w:sz w:val="22"/>
                <w:szCs w:val="22"/>
              </w:rPr>
            </w:pPr>
            <w:r w:rsidRPr="00BB6A62">
              <w:rPr>
                <w:rFonts w:ascii="Arial" w:hAnsi="Arial" w:cs="Arial"/>
                <w:b/>
                <w:bCs/>
                <w:sz w:val="22"/>
                <w:szCs w:val="22"/>
              </w:rPr>
              <w:t>Engagement Approach</w:t>
            </w:r>
          </w:p>
        </w:tc>
      </w:tr>
      <w:tr w:rsidR="000D3DB9" w:rsidRPr="00BB6A62" w14:paraId="6A56BD6E" w14:textId="77777777" w:rsidTr="000D3DB9">
        <w:tc>
          <w:tcPr>
            <w:tcW w:w="0" w:type="auto"/>
            <w:hideMark/>
          </w:tcPr>
          <w:p w14:paraId="25D284DB"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Governments &amp; Regulators</w:t>
            </w:r>
          </w:p>
        </w:tc>
        <w:tc>
          <w:tcPr>
            <w:tcW w:w="0" w:type="auto"/>
            <w:hideMark/>
          </w:tcPr>
          <w:p w14:paraId="183F9296"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59E753D7"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1A8846A9"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Manage Closely</w:t>
            </w:r>
          </w:p>
        </w:tc>
        <w:tc>
          <w:tcPr>
            <w:tcW w:w="0" w:type="auto"/>
            <w:hideMark/>
          </w:tcPr>
          <w:p w14:paraId="790B75EB"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Must approve spectrum use, cybersecurity compliance, and mergers. Strategy increases need for regulatory alignment due to expansion into digital services.</w:t>
            </w:r>
          </w:p>
        </w:tc>
        <w:tc>
          <w:tcPr>
            <w:tcW w:w="0" w:type="auto"/>
            <w:hideMark/>
          </w:tcPr>
          <w:p w14:paraId="47B79EDF"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Continuous engagement, compliance reporting, policy dialogue</w:t>
            </w:r>
          </w:p>
        </w:tc>
      </w:tr>
      <w:tr w:rsidR="000D3DB9" w:rsidRPr="00BB6A62" w14:paraId="5FFABBF5" w14:textId="77777777" w:rsidTr="000D3DB9">
        <w:tc>
          <w:tcPr>
            <w:tcW w:w="0" w:type="auto"/>
            <w:hideMark/>
          </w:tcPr>
          <w:p w14:paraId="1CAE1ECC"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Investors &amp; Shareholders</w:t>
            </w:r>
          </w:p>
        </w:tc>
        <w:tc>
          <w:tcPr>
            <w:tcW w:w="0" w:type="auto"/>
            <w:hideMark/>
          </w:tcPr>
          <w:p w14:paraId="5EE038EC"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5AF49425"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73E4242F"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Manage Closely</w:t>
            </w:r>
          </w:p>
        </w:tc>
        <w:tc>
          <w:tcPr>
            <w:tcW w:w="0" w:type="auto"/>
            <w:hideMark/>
          </w:tcPr>
          <w:p w14:paraId="124D09A0"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Expect strong ROI, cost synergies, and revenue growth from AI, cloud, IoT expansion. Strategy supports long-term value creation.</w:t>
            </w:r>
          </w:p>
        </w:tc>
        <w:tc>
          <w:tcPr>
            <w:tcW w:w="0" w:type="auto"/>
            <w:hideMark/>
          </w:tcPr>
          <w:p w14:paraId="3076FDFE"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Regular financial updates, transparency on strategy execution, ESG reporting</w:t>
            </w:r>
          </w:p>
        </w:tc>
      </w:tr>
      <w:tr w:rsidR="000D3DB9" w:rsidRPr="00BB6A62" w14:paraId="3A3DB88C" w14:textId="77777777" w:rsidTr="000D3DB9">
        <w:tc>
          <w:tcPr>
            <w:tcW w:w="0" w:type="auto"/>
            <w:hideMark/>
          </w:tcPr>
          <w:p w14:paraId="3109992C"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 xml:space="preserve">Technology Partners (Microsoft, </w:t>
            </w:r>
            <w:r w:rsidRPr="00BB6A62">
              <w:rPr>
                <w:rFonts w:ascii="Arial" w:hAnsi="Arial" w:cs="Arial"/>
                <w:sz w:val="22"/>
                <w:szCs w:val="22"/>
              </w:rPr>
              <w:lastRenderedPageBreak/>
              <w:t>Google, Amazon)</w:t>
            </w:r>
          </w:p>
        </w:tc>
        <w:tc>
          <w:tcPr>
            <w:tcW w:w="0" w:type="auto"/>
            <w:hideMark/>
          </w:tcPr>
          <w:p w14:paraId="5845E76D"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lastRenderedPageBreak/>
              <w:t>High</w:t>
            </w:r>
          </w:p>
        </w:tc>
        <w:tc>
          <w:tcPr>
            <w:tcW w:w="0" w:type="auto"/>
            <w:hideMark/>
          </w:tcPr>
          <w:p w14:paraId="0CCC3484"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Medium</w:t>
            </w:r>
          </w:p>
        </w:tc>
        <w:tc>
          <w:tcPr>
            <w:tcW w:w="0" w:type="auto"/>
            <w:hideMark/>
          </w:tcPr>
          <w:p w14:paraId="11075F5B"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Keep Satisfied</w:t>
            </w:r>
          </w:p>
        </w:tc>
        <w:tc>
          <w:tcPr>
            <w:tcW w:w="0" w:type="auto"/>
            <w:hideMark/>
          </w:tcPr>
          <w:p w14:paraId="62E1F0C3"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 xml:space="preserve">Enable delivery of AI, cloud, and IoT services. Strategy </w:t>
            </w:r>
            <w:r w:rsidRPr="00BB6A62">
              <w:rPr>
                <w:rFonts w:ascii="Arial" w:hAnsi="Arial" w:cs="Arial"/>
                <w:sz w:val="22"/>
                <w:szCs w:val="22"/>
              </w:rPr>
              <w:lastRenderedPageBreak/>
              <w:t>increases dependence on partnerships for innovation.</w:t>
            </w:r>
          </w:p>
        </w:tc>
        <w:tc>
          <w:tcPr>
            <w:tcW w:w="0" w:type="auto"/>
            <w:hideMark/>
          </w:tcPr>
          <w:p w14:paraId="10DE465B"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lastRenderedPageBreak/>
              <w:t xml:space="preserve">Strategic alliances, joint innovation </w:t>
            </w:r>
            <w:r w:rsidRPr="00BB6A62">
              <w:rPr>
                <w:rFonts w:ascii="Arial" w:hAnsi="Arial" w:cs="Arial"/>
                <w:sz w:val="22"/>
                <w:szCs w:val="22"/>
              </w:rPr>
              <w:lastRenderedPageBreak/>
              <w:t>projects, long-term contracts</w:t>
            </w:r>
          </w:p>
        </w:tc>
      </w:tr>
      <w:tr w:rsidR="00685C09" w:rsidRPr="00BB6A62" w14:paraId="387AD128" w14:textId="77777777" w:rsidTr="000D3DB9">
        <w:tc>
          <w:tcPr>
            <w:tcW w:w="0" w:type="auto"/>
          </w:tcPr>
          <w:p w14:paraId="1D42025D" w14:textId="4623AD44" w:rsidR="00685C09" w:rsidRPr="00BB6A62" w:rsidRDefault="00685C09" w:rsidP="00C11BA4">
            <w:pPr>
              <w:jc w:val="both"/>
              <w:rPr>
                <w:rFonts w:ascii="Arial" w:hAnsi="Arial" w:cs="Arial"/>
                <w:sz w:val="22"/>
                <w:szCs w:val="22"/>
              </w:rPr>
            </w:pPr>
            <w:r w:rsidRPr="00BB6A62">
              <w:rPr>
                <w:rFonts w:ascii="Arial" w:hAnsi="Arial" w:cs="Arial"/>
                <w:sz w:val="22"/>
                <w:szCs w:val="22"/>
              </w:rPr>
              <w:lastRenderedPageBreak/>
              <w:t xml:space="preserve">Suppliers </w:t>
            </w:r>
          </w:p>
        </w:tc>
        <w:tc>
          <w:tcPr>
            <w:tcW w:w="0" w:type="auto"/>
          </w:tcPr>
          <w:p w14:paraId="08616522" w14:textId="785E042D" w:rsidR="00685C09" w:rsidRPr="00BB6A62" w:rsidRDefault="00673F54" w:rsidP="00C11BA4">
            <w:pPr>
              <w:jc w:val="both"/>
              <w:rPr>
                <w:rFonts w:ascii="Arial" w:hAnsi="Arial" w:cs="Arial"/>
                <w:sz w:val="22"/>
                <w:szCs w:val="22"/>
              </w:rPr>
            </w:pPr>
            <w:r w:rsidRPr="00BB6A62">
              <w:rPr>
                <w:rFonts w:ascii="Arial" w:hAnsi="Arial" w:cs="Arial"/>
                <w:sz w:val="22"/>
                <w:szCs w:val="22"/>
              </w:rPr>
              <w:t xml:space="preserve">Medium </w:t>
            </w:r>
          </w:p>
        </w:tc>
        <w:tc>
          <w:tcPr>
            <w:tcW w:w="0" w:type="auto"/>
          </w:tcPr>
          <w:p w14:paraId="1B71776F" w14:textId="6E243B05" w:rsidR="00685C09" w:rsidRPr="00BB6A62" w:rsidRDefault="00673F54" w:rsidP="00C11BA4">
            <w:pPr>
              <w:jc w:val="both"/>
              <w:rPr>
                <w:rFonts w:ascii="Arial" w:hAnsi="Arial" w:cs="Arial"/>
                <w:sz w:val="22"/>
                <w:szCs w:val="22"/>
              </w:rPr>
            </w:pPr>
            <w:r w:rsidRPr="00BB6A62">
              <w:rPr>
                <w:rFonts w:ascii="Arial" w:hAnsi="Arial" w:cs="Arial"/>
                <w:sz w:val="22"/>
                <w:szCs w:val="22"/>
              </w:rPr>
              <w:t xml:space="preserve">Medium </w:t>
            </w:r>
          </w:p>
        </w:tc>
        <w:tc>
          <w:tcPr>
            <w:tcW w:w="0" w:type="auto"/>
          </w:tcPr>
          <w:p w14:paraId="6AFFABFF" w14:textId="25B72559" w:rsidR="00685C09" w:rsidRPr="00BB6A62" w:rsidRDefault="00673F54" w:rsidP="00C11BA4">
            <w:pPr>
              <w:jc w:val="both"/>
              <w:rPr>
                <w:rFonts w:ascii="Arial" w:hAnsi="Arial" w:cs="Arial"/>
                <w:sz w:val="22"/>
                <w:szCs w:val="22"/>
              </w:rPr>
            </w:pPr>
            <w:r w:rsidRPr="00BB6A62">
              <w:rPr>
                <w:rFonts w:ascii="Arial" w:hAnsi="Arial" w:cs="Arial"/>
                <w:sz w:val="22"/>
                <w:szCs w:val="22"/>
              </w:rPr>
              <w:t>Keep Satisfied</w:t>
            </w:r>
          </w:p>
        </w:tc>
        <w:tc>
          <w:tcPr>
            <w:tcW w:w="0" w:type="auto"/>
          </w:tcPr>
          <w:p w14:paraId="6D764B32" w14:textId="29EC3383" w:rsidR="00685C09" w:rsidRPr="00BB6A62" w:rsidRDefault="00673F54" w:rsidP="00C11BA4">
            <w:pPr>
              <w:jc w:val="both"/>
              <w:rPr>
                <w:rFonts w:ascii="Arial" w:hAnsi="Arial" w:cs="Arial"/>
                <w:sz w:val="22"/>
                <w:szCs w:val="22"/>
              </w:rPr>
            </w:pPr>
            <w:r w:rsidRPr="00BB6A62">
              <w:rPr>
                <w:rFonts w:ascii="Arial" w:hAnsi="Arial" w:cs="Arial"/>
                <w:sz w:val="22"/>
                <w:szCs w:val="22"/>
              </w:rPr>
              <w:t>Increased demand for network equipment, digital infrastructure and service delivery support.</w:t>
            </w:r>
          </w:p>
        </w:tc>
        <w:tc>
          <w:tcPr>
            <w:tcW w:w="0" w:type="auto"/>
          </w:tcPr>
          <w:p w14:paraId="6E2FBD37" w14:textId="7C1429D0" w:rsidR="00685C09" w:rsidRPr="00BB6A62" w:rsidRDefault="00AD7139" w:rsidP="00C11BA4">
            <w:pPr>
              <w:jc w:val="both"/>
              <w:rPr>
                <w:rFonts w:ascii="Arial" w:hAnsi="Arial" w:cs="Arial"/>
                <w:sz w:val="22"/>
                <w:szCs w:val="22"/>
              </w:rPr>
            </w:pPr>
            <w:r w:rsidRPr="00BB6A62">
              <w:rPr>
                <w:rFonts w:ascii="Arial" w:hAnsi="Arial" w:cs="Arial"/>
                <w:sz w:val="22"/>
                <w:szCs w:val="22"/>
              </w:rPr>
              <w:t>Supplier reviews, performance monitoring, sustainability audits.</w:t>
            </w:r>
          </w:p>
        </w:tc>
      </w:tr>
      <w:tr w:rsidR="000D3DB9" w:rsidRPr="00BB6A62" w14:paraId="02FC5752" w14:textId="77777777" w:rsidTr="000D3DB9">
        <w:tc>
          <w:tcPr>
            <w:tcW w:w="0" w:type="auto"/>
            <w:hideMark/>
          </w:tcPr>
          <w:p w14:paraId="6CDDA222"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Customers</w:t>
            </w:r>
          </w:p>
        </w:tc>
        <w:tc>
          <w:tcPr>
            <w:tcW w:w="0" w:type="auto"/>
            <w:hideMark/>
          </w:tcPr>
          <w:p w14:paraId="0DA1D2F0"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Medium</w:t>
            </w:r>
          </w:p>
        </w:tc>
        <w:tc>
          <w:tcPr>
            <w:tcW w:w="0" w:type="auto"/>
            <w:hideMark/>
          </w:tcPr>
          <w:p w14:paraId="1425F9E9"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0FF12661"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Keep Informed</w:t>
            </w:r>
          </w:p>
        </w:tc>
        <w:tc>
          <w:tcPr>
            <w:tcW w:w="0" w:type="auto"/>
            <w:hideMark/>
          </w:tcPr>
          <w:p w14:paraId="315A1CB3"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Benefit from improved network quality, digital services, and integrated solutions. Strategy enhances customer experience and service value.</w:t>
            </w:r>
          </w:p>
        </w:tc>
        <w:tc>
          <w:tcPr>
            <w:tcW w:w="0" w:type="auto"/>
            <w:hideMark/>
          </w:tcPr>
          <w:p w14:paraId="690BC11D"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Customer communication, service updates, feedback systems</w:t>
            </w:r>
          </w:p>
        </w:tc>
      </w:tr>
      <w:tr w:rsidR="000D3DB9" w:rsidRPr="00BB6A62" w14:paraId="0C84105C" w14:textId="77777777" w:rsidTr="000D3DB9">
        <w:tc>
          <w:tcPr>
            <w:tcW w:w="0" w:type="auto"/>
            <w:hideMark/>
          </w:tcPr>
          <w:p w14:paraId="25AE99D7"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Employees</w:t>
            </w:r>
          </w:p>
        </w:tc>
        <w:tc>
          <w:tcPr>
            <w:tcW w:w="0" w:type="auto"/>
            <w:hideMark/>
          </w:tcPr>
          <w:p w14:paraId="365097AA"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Medium</w:t>
            </w:r>
          </w:p>
        </w:tc>
        <w:tc>
          <w:tcPr>
            <w:tcW w:w="0" w:type="auto"/>
            <w:hideMark/>
          </w:tcPr>
          <w:p w14:paraId="4CD714F9"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724C617B"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Keep Informed</w:t>
            </w:r>
          </w:p>
        </w:tc>
        <w:tc>
          <w:tcPr>
            <w:tcW w:w="0" w:type="auto"/>
            <w:hideMark/>
          </w:tcPr>
          <w:p w14:paraId="7744A165"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Key role in VodafoneThree integration and digital transformation. Strategy requires upskilling and organisational change.</w:t>
            </w:r>
          </w:p>
        </w:tc>
        <w:tc>
          <w:tcPr>
            <w:tcW w:w="0" w:type="auto"/>
            <w:hideMark/>
          </w:tcPr>
          <w:p w14:paraId="1EF08752"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Training programmes, internal communication, change management</w:t>
            </w:r>
          </w:p>
        </w:tc>
      </w:tr>
      <w:tr w:rsidR="000D3DB9" w:rsidRPr="00BB6A62" w14:paraId="4FEECAAE" w14:textId="77777777" w:rsidTr="000D3DB9">
        <w:tc>
          <w:tcPr>
            <w:tcW w:w="0" w:type="auto"/>
            <w:hideMark/>
          </w:tcPr>
          <w:p w14:paraId="41745C68"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Local Communities &amp; NGOs</w:t>
            </w:r>
          </w:p>
        </w:tc>
        <w:tc>
          <w:tcPr>
            <w:tcW w:w="0" w:type="auto"/>
            <w:hideMark/>
          </w:tcPr>
          <w:p w14:paraId="2809EA75"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Low</w:t>
            </w:r>
          </w:p>
        </w:tc>
        <w:tc>
          <w:tcPr>
            <w:tcW w:w="0" w:type="auto"/>
            <w:hideMark/>
          </w:tcPr>
          <w:p w14:paraId="1F745AD4"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High</w:t>
            </w:r>
          </w:p>
        </w:tc>
        <w:tc>
          <w:tcPr>
            <w:tcW w:w="0" w:type="auto"/>
            <w:hideMark/>
          </w:tcPr>
          <w:p w14:paraId="4DCD4611"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Keep Informed</w:t>
            </w:r>
          </w:p>
        </w:tc>
        <w:tc>
          <w:tcPr>
            <w:tcW w:w="0" w:type="auto"/>
            <w:hideMark/>
          </w:tcPr>
          <w:p w14:paraId="5705C5DA"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Benefit from improved digital inclusion, sustainability initiatives, and infrastructure investment.</w:t>
            </w:r>
          </w:p>
        </w:tc>
        <w:tc>
          <w:tcPr>
            <w:tcW w:w="0" w:type="auto"/>
            <w:hideMark/>
          </w:tcPr>
          <w:p w14:paraId="13842792" w14:textId="77777777" w:rsidR="000D3DB9" w:rsidRPr="00BB6A62" w:rsidRDefault="000D3DB9" w:rsidP="00C11BA4">
            <w:pPr>
              <w:spacing w:after="160"/>
              <w:jc w:val="both"/>
              <w:rPr>
                <w:rFonts w:ascii="Arial" w:hAnsi="Arial" w:cs="Arial"/>
                <w:sz w:val="22"/>
                <w:szCs w:val="22"/>
              </w:rPr>
            </w:pPr>
            <w:r w:rsidRPr="00BB6A62">
              <w:rPr>
                <w:rFonts w:ascii="Arial" w:hAnsi="Arial" w:cs="Arial"/>
                <w:sz w:val="22"/>
                <w:szCs w:val="22"/>
              </w:rPr>
              <w:t>CSR programmes, community engagement, sustainability reporting</w:t>
            </w:r>
          </w:p>
        </w:tc>
      </w:tr>
    </w:tbl>
    <w:p w14:paraId="73C57399" w14:textId="77777777" w:rsidR="00E5124E" w:rsidRDefault="00E5124E" w:rsidP="0043284C">
      <w:pPr>
        <w:spacing w:line="360" w:lineRule="auto"/>
        <w:jc w:val="both"/>
        <w:rPr>
          <w:rFonts w:ascii="Arial" w:hAnsi="Arial" w:cs="Arial"/>
          <w:sz w:val="22"/>
          <w:szCs w:val="22"/>
        </w:rPr>
      </w:pPr>
    </w:p>
    <w:p w14:paraId="79696A2B" w14:textId="2436072A" w:rsidR="0043284C" w:rsidRDefault="00E5124E" w:rsidP="0043284C">
      <w:pPr>
        <w:spacing w:line="360" w:lineRule="auto"/>
        <w:jc w:val="both"/>
        <w:rPr>
          <w:rFonts w:ascii="Arial" w:hAnsi="Arial" w:cs="Arial"/>
          <w:sz w:val="22"/>
          <w:szCs w:val="22"/>
        </w:rPr>
      </w:pPr>
      <w:r w:rsidRPr="00E5124E">
        <w:rPr>
          <w:rFonts w:ascii="Arial" w:hAnsi="Arial" w:cs="Arial"/>
          <w:sz w:val="22"/>
          <w:szCs w:val="22"/>
        </w:rPr>
        <w:t xml:space="preserve">Therefore, the chosen approach is expected to be capable of adding value to different groups of stakeholders because of improved digital offerings and business growth. In addition, the cooperation and involvement of different stakeholders is required for the effective implementation of the strategy, minimizing the risks, sustain </w:t>
      </w:r>
      <w:r w:rsidRPr="00E5124E">
        <w:rPr>
          <w:rFonts w:ascii="Arial" w:hAnsi="Arial" w:cs="Arial"/>
          <w:sz w:val="22"/>
          <w:szCs w:val="22"/>
        </w:rPr>
        <w:t>stakeholders’</w:t>
      </w:r>
      <w:r w:rsidRPr="00E5124E">
        <w:rPr>
          <w:rFonts w:ascii="Arial" w:hAnsi="Arial" w:cs="Arial"/>
          <w:sz w:val="22"/>
          <w:szCs w:val="22"/>
        </w:rPr>
        <w:t xml:space="preserve"> interests and ensuring a competitive advantage of Vodafone in the future (Vodafone Group Plc, 2026).</w:t>
      </w:r>
    </w:p>
    <w:p w14:paraId="5E4DD9D4" w14:textId="77777777" w:rsidR="00E5124E" w:rsidRPr="00BB6A62" w:rsidRDefault="00E5124E" w:rsidP="0043284C">
      <w:pPr>
        <w:spacing w:line="360" w:lineRule="auto"/>
        <w:jc w:val="both"/>
        <w:rPr>
          <w:rFonts w:ascii="Arial" w:hAnsi="Arial" w:cs="Arial"/>
          <w:sz w:val="22"/>
          <w:szCs w:val="22"/>
        </w:rPr>
      </w:pPr>
    </w:p>
    <w:p w14:paraId="2C994D18" w14:textId="032648F0" w:rsidR="008A04F6" w:rsidRPr="00BB6A62" w:rsidRDefault="00273D7F" w:rsidP="00BB6A62">
      <w:pPr>
        <w:pStyle w:val="Heading1"/>
      </w:pPr>
      <w:bookmarkStart w:id="24" w:name="_Toc232864072"/>
      <w:r w:rsidRPr="00BB6A62">
        <w:lastRenderedPageBreak/>
        <w:t>6</w:t>
      </w:r>
      <w:r w:rsidR="008101A1" w:rsidRPr="00BB6A62">
        <w:t xml:space="preserve">. </w:t>
      </w:r>
      <w:r w:rsidR="002D588F" w:rsidRPr="00BB6A62">
        <w:t>Implementation and monitoring</w:t>
      </w:r>
      <w:bookmarkEnd w:id="24"/>
      <w:r w:rsidR="002D588F" w:rsidRPr="00BB6A62">
        <w:t xml:space="preserve"> </w:t>
      </w:r>
    </w:p>
    <w:p w14:paraId="7CA38A4D" w14:textId="0ACDE321" w:rsidR="000623D9" w:rsidRDefault="0081251B" w:rsidP="008A04F6">
      <w:pPr>
        <w:spacing w:line="360" w:lineRule="auto"/>
        <w:jc w:val="both"/>
        <w:rPr>
          <w:rFonts w:ascii="Arial" w:hAnsi="Arial" w:cs="Arial"/>
          <w:sz w:val="22"/>
          <w:szCs w:val="22"/>
        </w:rPr>
      </w:pPr>
      <w:r w:rsidRPr="0081251B">
        <w:rPr>
          <w:rFonts w:ascii="Arial" w:hAnsi="Arial" w:cs="Arial"/>
          <w:sz w:val="22"/>
          <w:szCs w:val="22"/>
        </w:rPr>
        <w:t xml:space="preserve">The successful implementation of a strategy is very important to convert strategic goals into measurable business results. Key Performance Indicators (KPIs) are measurable indicators used to measure progress towards strategic objectives and the functioning of an organisation in terms of monitoring its performance (Setiawan and </w:t>
      </w:r>
      <w:proofErr w:type="spellStart"/>
      <w:r w:rsidRPr="0081251B">
        <w:rPr>
          <w:rFonts w:ascii="Arial" w:hAnsi="Arial" w:cs="Arial"/>
          <w:sz w:val="22"/>
          <w:szCs w:val="22"/>
        </w:rPr>
        <w:t>Purba</w:t>
      </w:r>
      <w:proofErr w:type="spellEnd"/>
      <w:r w:rsidRPr="0081251B">
        <w:rPr>
          <w:rFonts w:ascii="Arial" w:hAnsi="Arial" w:cs="Arial"/>
          <w:sz w:val="22"/>
          <w:szCs w:val="22"/>
        </w:rPr>
        <w:t>, 2020). Vodafone should thus formulate a clear implementation plan based on KPIs to make sure the proposed growth strategy will successfully deliver as following:</w:t>
      </w:r>
    </w:p>
    <w:p w14:paraId="152F20C0" w14:textId="7857C439" w:rsidR="00A92B39" w:rsidRPr="00C11BA4" w:rsidRDefault="00A92B39" w:rsidP="008A04F6">
      <w:pPr>
        <w:spacing w:line="360" w:lineRule="auto"/>
        <w:jc w:val="both"/>
        <w:rPr>
          <w:rFonts w:ascii="Arial" w:hAnsi="Arial" w:cs="Arial"/>
          <w:b/>
          <w:bCs/>
          <w:sz w:val="22"/>
          <w:szCs w:val="22"/>
        </w:rPr>
      </w:pPr>
      <w:r w:rsidRPr="00C11BA4">
        <w:rPr>
          <w:rFonts w:ascii="Arial" w:hAnsi="Arial" w:cs="Arial"/>
          <w:b/>
          <w:bCs/>
          <w:sz w:val="22"/>
          <w:szCs w:val="22"/>
        </w:rPr>
        <w:t xml:space="preserve">Table 4: </w:t>
      </w:r>
      <w:r w:rsidR="00C11BA4" w:rsidRPr="00C11BA4">
        <w:rPr>
          <w:rFonts w:ascii="Arial" w:hAnsi="Arial" w:cs="Arial"/>
          <w:b/>
          <w:bCs/>
          <w:sz w:val="22"/>
          <w:szCs w:val="22"/>
        </w:rPr>
        <w:t>Vodafone implementation</w:t>
      </w:r>
      <w:r w:rsidRPr="00C11BA4">
        <w:rPr>
          <w:rFonts w:ascii="Arial" w:hAnsi="Arial" w:cs="Arial"/>
          <w:b/>
          <w:bCs/>
          <w:sz w:val="22"/>
          <w:szCs w:val="22"/>
        </w:rPr>
        <w:t xml:space="preserve"> </w:t>
      </w:r>
      <w:r w:rsidR="00C11BA4" w:rsidRPr="00C11BA4">
        <w:rPr>
          <w:rFonts w:ascii="Arial" w:hAnsi="Arial" w:cs="Arial"/>
          <w:b/>
          <w:bCs/>
          <w:sz w:val="22"/>
          <w:szCs w:val="22"/>
        </w:rPr>
        <w:t>a</w:t>
      </w:r>
      <w:r w:rsidRPr="00C11BA4">
        <w:rPr>
          <w:rFonts w:ascii="Arial" w:hAnsi="Arial" w:cs="Arial"/>
          <w:b/>
          <w:bCs/>
          <w:sz w:val="22"/>
          <w:szCs w:val="22"/>
        </w:rPr>
        <w:t xml:space="preserve">nd monitoring </w:t>
      </w:r>
      <w:r w:rsidR="00C11BA4" w:rsidRPr="00C11BA4">
        <w:rPr>
          <w:rFonts w:ascii="Arial" w:hAnsi="Arial" w:cs="Arial"/>
          <w:b/>
          <w:bCs/>
          <w:sz w:val="22"/>
          <w:szCs w:val="22"/>
        </w:rPr>
        <w:t>plan</w:t>
      </w:r>
    </w:p>
    <w:tbl>
      <w:tblPr>
        <w:tblStyle w:val="TableGrid"/>
        <w:tblW w:w="0" w:type="auto"/>
        <w:tblLook w:val="04A0" w:firstRow="1" w:lastRow="0" w:firstColumn="1" w:lastColumn="0" w:noHBand="0" w:noVBand="1"/>
      </w:tblPr>
      <w:tblGrid>
        <w:gridCol w:w="2347"/>
        <w:gridCol w:w="2873"/>
        <w:gridCol w:w="2471"/>
        <w:gridCol w:w="1325"/>
      </w:tblGrid>
      <w:tr w:rsidR="000623D9" w:rsidRPr="00BB6A62" w14:paraId="39F3B4D1" w14:textId="77777777" w:rsidTr="000623D9">
        <w:tc>
          <w:tcPr>
            <w:tcW w:w="0" w:type="auto"/>
            <w:hideMark/>
          </w:tcPr>
          <w:p w14:paraId="04850A09" w14:textId="77777777" w:rsidR="000623D9" w:rsidRPr="00BB6A62" w:rsidRDefault="000623D9" w:rsidP="00A742FB">
            <w:pPr>
              <w:spacing w:after="160" w:line="276" w:lineRule="auto"/>
              <w:jc w:val="both"/>
              <w:rPr>
                <w:rFonts w:ascii="Arial" w:hAnsi="Arial" w:cs="Arial"/>
                <w:b/>
                <w:bCs/>
                <w:sz w:val="22"/>
                <w:szCs w:val="22"/>
              </w:rPr>
            </w:pPr>
            <w:r w:rsidRPr="00BB6A62">
              <w:rPr>
                <w:rFonts w:ascii="Arial" w:hAnsi="Arial" w:cs="Arial"/>
                <w:b/>
                <w:bCs/>
                <w:sz w:val="22"/>
                <w:szCs w:val="22"/>
              </w:rPr>
              <w:t>Objective</w:t>
            </w:r>
          </w:p>
        </w:tc>
        <w:tc>
          <w:tcPr>
            <w:tcW w:w="0" w:type="auto"/>
            <w:hideMark/>
          </w:tcPr>
          <w:p w14:paraId="7EDEAB98" w14:textId="77777777" w:rsidR="000623D9" w:rsidRPr="00BB6A62" w:rsidRDefault="000623D9" w:rsidP="00A742FB">
            <w:pPr>
              <w:spacing w:after="160" w:line="276" w:lineRule="auto"/>
              <w:jc w:val="both"/>
              <w:rPr>
                <w:rFonts w:ascii="Arial" w:hAnsi="Arial" w:cs="Arial"/>
                <w:b/>
                <w:bCs/>
                <w:sz w:val="22"/>
                <w:szCs w:val="22"/>
              </w:rPr>
            </w:pPr>
            <w:r w:rsidRPr="00BB6A62">
              <w:rPr>
                <w:rFonts w:ascii="Arial" w:hAnsi="Arial" w:cs="Arial"/>
                <w:b/>
                <w:bCs/>
                <w:sz w:val="22"/>
                <w:szCs w:val="22"/>
              </w:rPr>
              <w:t>Actions Required</w:t>
            </w:r>
          </w:p>
        </w:tc>
        <w:tc>
          <w:tcPr>
            <w:tcW w:w="0" w:type="auto"/>
            <w:hideMark/>
          </w:tcPr>
          <w:p w14:paraId="3F69EC7E" w14:textId="77777777" w:rsidR="000623D9" w:rsidRPr="00BB6A62" w:rsidRDefault="000623D9" w:rsidP="00A742FB">
            <w:pPr>
              <w:spacing w:after="160" w:line="276" w:lineRule="auto"/>
              <w:jc w:val="both"/>
              <w:rPr>
                <w:rFonts w:ascii="Arial" w:hAnsi="Arial" w:cs="Arial"/>
                <w:b/>
                <w:bCs/>
                <w:sz w:val="22"/>
                <w:szCs w:val="22"/>
              </w:rPr>
            </w:pPr>
            <w:r w:rsidRPr="00BB6A62">
              <w:rPr>
                <w:rFonts w:ascii="Arial" w:hAnsi="Arial" w:cs="Arial"/>
                <w:b/>
                <w:bCs/>
                <w:sz w:val="22"/>
                <w:szCs w:val="22"/>
              </w:rPr>
              <w:t>KPI</w:t>
            </w:r>
          </w:p>
        </w:tc>
        <w:tc>
          <w:tcPr>
            <w:tcW w:w="0" w:type="auto"/>
            <w:hideMark/>
          </w:tcPr>
          <w:p w14:paraId="5DA2646E" w14:textId="77777777" w:rsidR="000623D9" w:rsidRPr="00BB6A62" w:rsidRDefault="000623D9" w:rsidP="00A742FB">
            <w:pPr>
              <w:spacing w:after="160" w:line="276" w:lineRule="auto"/>
              <w:jc w:val="both"/>
              <w:rPr>
                <w:rFonts w:ascii="Arial" w:hAnsi="Arial" w:cs="Arial"/>
                <w:b/>
                <w:bCs/>
                <w:sz w:val="22"/>
                <w:szCs w:val="22"/>
              </w:rPr>
            </w:pPr>
            <w:r w:rsidRPr="00BB6A62">
              <w:rPr>
                <w:rFonts w:ascii="Arial" w:hAnsi="Arial" w:cs="Arial"/>
                <w:b/>
                <w:bCs/>
                <w:sz w:val="22"/>
                <w:szCs w:val="22"/>
              </w:rPr>
              <w:t>Timeframe</w:t>
            </w:r>
          </w:p>
        </w:tc>
      </w:tr>
      <w:tr w:rsidR="000623D9" w:rsidRPr="00BB6A62" w14:paraId="7DB11F08" w14:textId="77777777" w:rsidTr="000623D9">
        <w:tc>
          <w:tcPr>
            <w:tcW w:w="0" w:type="auto"/>
            <w:hideMark/>
          </w:tcPr>
          <w:p w14:paraId="556C7C22"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Expand AI and cloud services</w:t>
            </w:r>
          </w:p>
        </w:tc>
        <w:tc>
          <w:tcPr>
            <w:tcW w:w="0" w:type="auto"/>
            <w:hideMark/>
          </w:tcPr>
          <w:p w14:paraId="3DE305C2"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Develop new digital products and strengthen technology partnerships</w:t>
            </w:r>
          </w:p>
        </w:tc>
        <w:tc>
          <w:tcPr>
            <w:tcW w:w="0" w:type="auto"/>
            <w:hideMark/>
          </w:tcPr>
          <w:p w14:paraId="4960C269"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Number of new AI/cloud services launched</w:t>
            </w:r>
          </w:p>
        </w:tc>
        <w:tc>
          <w:tcPr>
            <w:tcW w:w="0" w:type="auto"/>
            <w:hideMark/>
          </w:tcPr>
          <w:p w14:paraId="200F154E"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1–2 years</w:t>
            </w:r>
          </w:p>
        </w:tc>
      </w:tr>
      <w:tr w:rsidR="000623D9" w:rsidRPr="00BB6A62" w14:paraId="4AF5A2D2" w14:textId="77777777" w:rsidTr="000623D9">
        <w:tc>
          <w:tcPr>
            <w:tcW w:w="0" w:type="auto"/>
            <w:hideMark/>
          </w:tcPr>
          <w:p w14:paraId="0F0083F9"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Increase IoT and smart city solutions</w:t>
            </w:r>
          </w:p>
        </w:tc>
        <w:tc>
          <w:tcPr>
            <w:tcW w:w="0" w:type="auto"/>
            <w:hideMark/>
          </w:tcPr>
          <w:p w14:paraId="21D3A9EC"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Invest in IoT infrastructure and business partnerships</w:t>
            </w:r>
          </w:p>
        </w:tc>
        <w:tc>
          <w:tcPr>
            <w:tcW w:w="0" w:type="auto"/>
            <w:hideMark/>
          </w:tcPr>
          <w:p w14:paraId="502A7AA1"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Growth in IoT connections and enterprise customers</w:t>
            </w:r>
          </w:p>
        </w:tc>
        <w:tc>
          <w:tcPr>
            <w:tcW w:w="0" w:type="auto"/>
            <w:hideMark/>
          </w:tcPr>
          <w:p w14:paraId="08AF5FAA"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2–3 years</w:t>
            </w:r>
          </w:p>
        </w:tc>
      </w:tr>
      <w:tr w:rsidR="000623D9" w:rsidRPr="00BB6A62" w14:paraId="1583644E" w14:textId="77777777" w:rsidTr="000623D9">
        <w:tc>
          <w:tcPr>
            <w:tcW w:w="0" w:type="auto"/>
            <w:hideMark/>
          </w:tcPr>
          <w:p w14:paraId="4C74369E"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Enter digital payments and FinTech markets</w:t>
            </w:r>
          </w:p>
        </w:tc>
        <w:tc>
          <w:tcPr>
            <w:tcW w:w="0" w:type="auto"/>
            <w:hideMark/>
          </w:tcPr>
          <w:p w14:paraId="21602D8F"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Develop FinTech offerings and strategic alliances</w:t>
            </w:r>
          </w:p>
        </w:tc>
        <w:tc>
          <w:tcPr>
            <w:tcW w:w="0" w:type="auto"/>
            <w:hideMark/>
          </w:tcPr>
          <w:p w14:paraId="01C0787B"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Revenue generated from digital services</w:t>
            </w:r>
          </w:p>
        </w:tc>
        <w:tc>
          <w:tcPr>
            <w:tcW w:w="0" w:type="auto"/>
            <w:hideMark/>
          </w:tcPr>
          <w:p w14:paraId="4FDABCA2"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2–4 years</w:t>
            </w:r>
          </w:p>
        </w:tc>
      </w:tr>
      <w:tr w:rsidR="000623D9" w:rsidRPr="00BB6A62" w14:paraId="634C91A0" w14:textId="77777777" w:rsidTr="000623D9">
        <w:tc>
          <w:tcPr>
            <w:tcW w:w="0" w:type="auto"/>
            <w:hideMark/>
          </w:tcPr>
          <w:p w14:paraId="6CABB975"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Improve customer experience</w:t>
            </w:r>
          </w:p>
        </w:tc>
        <w:tc>
          <w:tcPr>
            <w:tcW w:w="0" w:type="auto"/>
            <w:hideMark/>
          </w:tcPr>
          <w:p w14:paraId="12F6B564"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Enhance network quality and digital support services</w:t>
            </w:r>
          </w:p>
        </w:tc>
        <w:tc>
          <w:tcPr>
            <w:tcW w:w="0" w:type="auto"/>
            <w:hideMark/>
          </w:tcPr>
          <w:p w14:paraId="1D9988C9"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Customer satisfaction score and customer retention rate</w:t>
            </w:r>
          </w:p>
        </w:tc>
        <w:tc>
          <w:tcPr>
            <w:tcW w:w="0" w:type="auto"/>
            <w:hideMark/>
          </w:tcPr>
          <w:p w14:paraId="26213720"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Ongoing</w:t>
            </w:r>
          </w:p>
        </w:tc>
      </w:tr>
      <w:tr w:rsidR="000623D9" w:rsidRPr="00BB6A62" w14:paraId="59EE27C5" w14:textId="77777777" w:rsidTr="000623D9">
        <w:tc>
          <w:tcPr>
            <w:tcW w:w="0" w:type="auto"/>
            <w:hideMark/>
          </w:tcPr>
          <w:p w14:paraId="0B7BA083"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Support digital transformation</w:t>
            </w:r>
          </w:p>
        </w:tc>
        <w:tc>
          <w:tcPr>
            <w:tcW w:w="0" w:type="auto"/>
            <w:hideMark/>
          </w:tcPr>
          <w:p w14:paraId="20C97EF5"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Train employees and integrate new technologies</w:t>
            </w:r>
          </w:p>
        </w:tc>
        <w:tc>
          <w:tcPr>
            <w:tcW w:w="0" w:type="auto"/>
            <w:hideMark/>
          </w:tcPr>
          <w:p w14:paraId="6D184DC6"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Employee training completion rate</w:t>
            </w:r>
          </w:p>
        </w:tc>
        <w:tc>
          <w:tcPr>
            <w:tcW w:w="0" w:type="auto"/>
            <w:hideMark/>
          </w:tcPr>
          <w:p w14:paraId="586C9DCA" w14:textId="77777777" w:rsidR="000623D9" w:rsidRPr="00BB6A62" w:rsidRDefault="000623D9" w:rsidP="00A742FB">
            <w:pPr>
              <w:spacing w:after="160" w:line="276" w:lineRule="auto"/>
              <w:jc w:val="both"/>
              <w:rPr>
                <w:rFonts w:ascii="Arial" w:hAnsi="Arial" w:cs="Arial"/>
                <w:sz w:val="22"/>
                <w:szCs w:val="22"/>
              </w:rPr>
            </w:pPr>
            <w:r w:rsidRPr="00BB6A62">
              <w:rPr>
                <w:rFonts w:ascii="Arial" w:hAnsi="Arial" w:cs="Arial"/>
                <w:sz w:val="22"/>
                <w:szCs w:val="22"/>
              </w:rPr>
              <w:t>Ongoing</w:t>
            </w:r>
          </w:p>
        </w:tc>
      </w:tr>
    </w:tbl>
    <w:p w14:paraId="1FEA99C7" w14:textId="77777777" w:rsidR="002222D9" w:rsidRPr="00BB6A62" w:rsidRDefault="002222D9" w:rsidP="008A04F6">
      <w:pPr>
        <w:spacing w:line="360" w:lineRule="auto"/>
        <w:jc w:val="both"/>
        <w:rPr>
          <w:rFonts w:ascii="Arial" w:hAnsi="Arial" w:cs="Arial"/>
          <w:sz w:val="22"/>
          <w:szCs w:val="22"/>
        </w:rPr>
      </w:pPr>
    </w:p>
    <w:p w14:paraId="5D877FF3" w14:textId="77777777" w:rsidR="00A742FB" w:rsidRDefault="00A742FB" w:rsidP="00A742FB">
      <w:pPr>
        <w:spacing w:line="360" w:lineRule="auto"/>
        <w:jc w:val="both"/>
        <w:rPr>
          <w:rFonts w:ascii="Arial" w:hAnsi="Arial" w:cs="Arial"/>
          <w:sz w:val="22"/>
          <w:szCs w:val="22"/>
        </w:rPr>
      </w:pPr>
      <w:r w:rsidRPr="00A742FB">
        <w:rPr>
          <w:rFonts w:ascii="Arial" w:hAnsi="Arial" w:cs="Arial"/>
          <w:sz w:val="22"/>
          <w:szCs w:val="22"/>
        </w:rPr>
        <w:t>Vodafone should regularly monitor the implementation of the proposed strategy on a regular basis to make sure objectives are reached and done within the planned timeframe. KPI performance measurement should be conducted quarterly via management reviews and annually strategic reviews. Any under-performance needs to be detected at an early stage so that corrective measures can be taken at the earliest. Ongoing monitoring will also enable Vodafone to adapt efficiently to new developments, customer interest and market developments.</w:t>
      </w:r>
      <w:r>
        <w:rPr>
          <w:rFonts w:ascii="Arial" w:hAnsi="Arial" w:cs="Arial"/>
          <w:sz w:val="22"/>
          <w:szCs w:val="22"/>
        </w:rPr>
        <w:t xml:space="preserve"> </w:t>
      </w:r>
    </w:p>
    <w:p w14:paraId="36A95963" w14:textId="6DE4DCE7" w:rsidR="002222D9" w:rsidRDefault="00A742FB" w:rsidP="00A742FB">
      <w:pPr>
        <w:spacing w:line="360" w:lineRule="auto"/>
        <w:jc w:val="both"/>
        <w:rPr>
          <w:rFonts w:ascii="Arial" w:hAnsi="Arial" w:cs="Arial"/>
          <w:sz w:val="22"/>
          <w:szCs w:val="22"/>
        </w:rPr>
      </w:pPr>
      <w:r w:rsidRPr="00A742FB">
        <w:rPr>
          <w:rFonts w:ascii="Arial" w:hAnsi="Arial" w:cs="Arial"/>
          <w:sz w:val="22"/>
          <w:szCs w:val="22"/>
        </w:rPr>
        <w:t xml:space="preserve">In addition, frequent feedback from customers, employees, and strategic partners can also be crucial in revealing the effectiveness of the strategy and supporting ongoing improvement. Through effective monitoring and the ability to measure its performance, Vodafone should maximise the possibility of sustainable growth, </w:t>
      </w:r>
      <w:r w:rsidR="00E91031" w:rsidRPr="00A742FB">
        <w:rPr>
          <w:rFonts w:ascii="Arial" w:hAnsi="Arial" w:cs="Arial"/>
          <w:sz w:val="22"/>
          <w:szCs w:val="22"/>
        </w:rPr>
        <w:t>and</w:t>
      </w:r>
      <w:r w:rsidRPr="00A742FB">
        <w:rPr>
          <w:rFonts w:ascii="Arial" w:hAnsi="Arial" w:cs="Arial"/>
          <w:sz w:val="22"/>
          <w:szCs w:val="22"/>
        </w:rPr>
        <w:t xml:space="preserve"> achieve competitive advantage, as well as successfully realise the strategic objectives.</w:t>
      </w:r>
    </w:p>
    <w:p w14:paraId="34059E10" w14:textId="1EB9A36E" w:rsidR="002D588F" w:rsidRPr="00BB6A62" w:rsidRDefault="00273D7F" w:rsidP="00BB6A62">
      <w:pPr>
        <w:pStyle w:val="Heading1"/>
      </w:pPr>
      <w:bookmarkStart w:id="25" w:name="_Toc232864073"/>
      <w:r w:rsidRPr="00BB6A62">
        <w:lastRenderedPageBreak/>
        <w:t>7</w:t>
      </w:r>
      <w:r w:rsidR="008101A1" w:rsidRPr="00BB6A62">
        <w:t xml:space="preserve">. </w:t>
      </w:r>
      <w:r w:rsidR="002D588F" w:rsidRPr="00BB6A62">
        <w:t>Conclusion</w:t>
      </w:r>
      <w:bookmarkEnd w:id="25"/>
      <w:r w:rsidR="002D588F" w:rsidRPr="00BB6A62">
        <w:t xml:space="preserve"> </w:t>
      </w:r>
    </w:p>
    <w:p w14:paraId="47E55D48" w14:textId="7D39372E" w:rsidR="00947803" w:rsidRPr="00947803" w:rsidRDefault="00947803" w:rsidP="00947803">
      <w:pPr>
        <w:spacing w:line="360" w:lineRule="auto"/>
        <w:jc w:val="both"/>
        <w:rPr>
          <w:rFonts w:ascii="Arial" w:hAnsi="Arial" w:cs="Arial"/>
          <w:sz w:val="22"/>
          <w:szCs w:val="22"/>
        </w:rPr>
      </w:pPr>
      <w:r w:rsidRPr="00947803">
        <w:rPr>
          <w:rFonts w:ascii="Arial" w:hAnsi="Arial" w:cs="Arial"/>
          <w:sz w:val="22"/>
          <w:szCs w:val="22"/>
        </w:rPr>
        <w:t xml:space="preserve">In conclusion, the report used SWOT, PESTLE, Porter’s Five Forces, Ansoff Matrix, Porter’s Generic Strategies, the SFA Framework, and </w:t>
      </w:r>
      <w:r w:rsidR="00702CB7" w:rsidRPr="00947803">
        <w:rPr>
          <w:rFonts w:ascii="Arial" w:hAnsi="Arial" w:cs="Arial"/>
          <w:sz w:val="22"/>
          <w:szCs w:val="22"/>
        </w:rPr>
        <w:t xml:space="preserve">Stakeholder Analysis </w:t>
      </w:r>
      <w:r w:rsidRPr="00947803">
        <w:rPr>
          <w:rFonts w:ascii="Arial" w:hAnsi="Arial" w:cs="Arial"/>
          <w:sz w:val="22"/>
          <w:szCs w:val="22"/>
        </w:rPr>
        <w:t xml:space="preserve">to analyse Vodafone’s current strategic position. Vodafone's strengths include a strong position in the market and extensive network infrastructure, along with significant opportunities brought under technology, including digital transformation, artificial intelligence (AI), cloud computing, IoT, and smart city technologies. </w:t>
      </w:r>
    </w:p>
    <w:p w14:paraId="53645BF9" w14:textId="45385FA8" w:rsidR="00863A9A" w:rsidRPr="00BB6A62" w:rsidRDefault="00947803" w:rsidP="00947803">
      <w:pPr>
        <w:spacing w:line="360" w:lineRule="auto"/>
        <w:jc w:val="both"/>
        <w:rPr>
          <w:rFonts w:ascii="Arial" w:hAnsi="Arial" w:cs="Arial"/>
          <w:sz w:val="22"/>
          <w:szCs w:val="22"/>
        </w:rPr>
      </w:pPr>
      <w:r w:rsidRPr="00947803">
        <w:rPr>
          <w:rFonts w:ascii="Arial" w:hAnsi="Arial" w:cs="Arial"/>
          <w:sz w:val="22"/>
          <w:szCs w:val="22"/>
        </w:rPr>
        <w:t>Through the analysis, a Product Development strategy with selective diversification into related digital services it is recommended. This approach enables Vodafone to take advantage of its existing capabilities, develop alternative revenue sources, and enhance its competitive advantage in an increasingly digital telecom market. The assessment by means of SFA analysis proved that the strategy offered in this study is suitable, feasible, and acceptable. Also, the stakeholder analysis shows the relevance of appropriate engagement with the regulators, the investors, customers, the employees, and technology partners. Through successful implementation and constant progress monitoring, Vodafone should improve their innovating potential, sustain longer-term growth, and achieve long-term success in a fast-evolving commercial environment.</w:t>
      </w:r>
    </w:p>
    <w:p w14:paraId="2E04E8A5" w14:textId="77777777" w:rsidR="009F644F" w:rsidRPr="00BB6A62" w:rsidRDefault="009F644F" w:rsidP="008A04F6">
      <w:pPr>
        <w:spacing w:line="360" w:lineRule="auto"/>
        <w:jc w:val="both"/>
        <w:rPr>
          <w:rFonts w:ascii="Arial" w:hAnsi="Arial" w:cs="Arial"/>
          <w:sz w:val="22"/>
          <w:szCs w:val="22"/>
        </w:rPr>
      </w:pPr>
    </w:p>
    <w:p w14:paraId="74235B57" w14:textId="77777777" w:rsidR="00721AD4" w:rsidRPr="00BB6A62" w:rsidRDefault="00721AD4" w:rsidP="00B43264">
      <w:pPr>
        <w:spacing w:line="360" w:lineRule="auto"/>
        <w:jc w:val="both"/>
        <w:rPr>
          <w:rFonts w:ascii="Arial" w:hAnsi="Arial" w:cs="Arial"/>
          <w:b/>
          <w:bCs/>
          <w:sz w:val="22"/>
          <w:szCs w:val="22"/>
        </w:rPr>
      </w:pPr>
    </w:p>
    <w:p w14:paraId="7D816A9E" w14:textId="77777777" w:rsidR="00721AD4" w:rsidRPr="00BB6A62" w:rsidRDefault="00721AD4" w:rsidP="00B43264">
      <w:pPr>
        <w:spacing w:line="360" w:lineRule="auto"/>
        <w:jc w:val="both"/>
        <w:rPr>
          <w:rFonts w:ascii="Arial" w:hAnsi="Arial" w:cs="Arial"/>
          <w:b/>
          <w:bCs/>
          <w:sz w:val="22"/>
          <w:szCs w:val="22"/>
        </w:rPr>
      </w:pPr>
    </w:p>
    <w:p w14:paraId="15EBCE25" w14:textId="77777777" w:rsidR="00721AD4" w:rsidRPr="00BB6A62" w:rsidRDefault="00721AD4" w:rsidP="00B43264">
      <w:pPr>
        <w:spacing w:line="360" w:lineRule="auto"/>
        <w:jc w:val="both"/>
        <w:rPr>
          <w:rFonts w:ascii="Arial" w:hAnsi="Arial" w:cs="Arial"/>
          <w:b/>
          <w:bCs/>
          <w:sz w:val="22"/>
          <w:szCs w:val="22"/>
        </w:rPr>
      </w:pPr>
    </w:p>
    <w:p w14:paraId="26E5DA09" w14:textId="77777777" w:rsidR="00721AD4" w:rsidRPr="00BB6A62" w:rsidRDefault="00721AD4" w:rsidP="00B43264">
      <w:pPr>
        <w:spacing w:line="360" w:lineRule="auto"/>
        <w:jc w:val="both"/>
        <w:rPr>
          <w:rFonts w:ascii="Arial" w:hAnsi="Arial" w:cs="Arial"/>
          <w:b/>
          <w:bCs/>
          <w:sz w:val="22"/>
          <w:szCs w:val="22"/>
        </w:rPr>
      </w:pPr>
    </w:p>
    <w:p w14:paraId="689849FF" w14:textId="77777777" w:rsidR="00721AD4" w:rsidRPr="00BB6A62" w:rsidRDefault="00721AD4" w:rsidP="00B43264">
      <w:pPr>
        <w:spacing w:line="360" w:lineRule="auto"/>
        <w:jc w:val="both"/>
        <w:rPr>
          <w:rFonts w:ascii="Arial" w:hAnsi="Arial" w:cs="Arial"/>
          <w:b/>
          <w:bCs/>
          <w:sz w:val="22"/>
          <w:szCs w:val="22"/>
        </w:rPr>
      </w:pPr>
    </w:p>
    <w:p w14:paraId="164E51D0" w14:textId="77777777" w:rsidR="00721AD4" w:rsidRPr="00BB6A62" w:rsidRDefault="00721AD4" w:rsidP="00B43264">
      <w:pPr>
        <w:spacing w:line="360" w:lineRule="auto"/>
        <w:jc w:val="both"/>
        <w:rPr>
          <w:rFonts w:ascii="Arial" w:hAnsi="Arial" w:cs="Arial"/>
          <w:b/>
          <w:bCs/>
          <w:sz w:val="22"/>
          <w:szCs w:val="22"/>
        </w:rPr>
      </w:pPr>
    </w:p>
    <w:p w14:paraId="4376B561" w14:textId="77777777" w:rsidR="00721AD4" w:rsidRPr="00BB6A62" w:rsidRDefault="00721AD4" w:rsidP="00B43264">
      <w:pPr>
        <w:spacing w:line="360" w:lineRule="auto"/>
        <w:jc w:val="both"/>
        <w:rPr>
          <w:rFonts w:ascii="Arial" w:hAnsi="Arial" w:cs="Arial"/>
          <w:b/>
          <w:bCs/>
          <w:sz w:val="22"/>
          <w:szCs w:val="22"/>
        </w:rPr>
      </w:pPr>
    </w:p>
    <w:p w14:paraId="2C337D4F" w14:textId="77777777" w:rsidR="00721AD4" w:rsidRPr="00BB6A62" w:rsidRDefault="00721AD4" w:rsidP="00B43264">
      <w:pPr>
        <w:spacing w:line="360" w:lineRule="auto"/>
        <w:jc w:val="both"/>
        <w:rPr>
          <w:rFonts w:ascii="Arial" w:hAnsi="Arial" w:cs="Arial"/>
          <w:b/>
          <w:bCs/>
          <w:sz w:val="22"/>
          <w:szCs w:val="22"/>
        </w:rPr>
      </w:pPr>
    </w:p>
    <w:p w14:paraId="15ED0BF5" w14:textId="77777777" w:rsidR="00721AD4" w:rsidRPr="00BB6A62" w:rsidRDefault="00721AD4" w:rsidP="00B43264">
      <w:pPr>
        <w:spacing w:line="360" w:lineRule="auto"/>
        <w:jc w:val="both"/>
        <w:rPr>
          <w:rFonts w:ascii="Arial" w:hAnsi="Arial" w:cs="Arial"/>
          <w:b/>
          <w:bCs/>
          <w:sz w:val="22"/>
          <w:szCs w:val="22"/>
        </w:rPr>
      </w:pPr>
    </w:p>
    <w:p w14:paraId="404A7700" w14:textId="77777777" w:rsidR="00721AD4" w:rsidRPr="00BB6A62" w:rsidRDefault="00721AD4" w:rsidP="00B43264">
      <w:pPr>
        <w:spacing w:line="360" w:lineRule="auto"/>
        <w:jc w:val="both"/>
        <w:rPr>
          <w:rFonts w:ascii="Arial" w:hAnsi="Arial" w:cs="Arial"/>
          <w:b/>
          <w:bCs/>
          <w:sz w:val="22"/>
          <w:szCs w:val="22"/>
        </w:rPr>
      </w:pPr>
    </w:p>
    <w:p w14:paraId="3810AEE1" w14:textId="77777777" w:rsidR="00AA0C55" w:rsidRPr="00BB6A62" w:rsidRDefault="00AA0C55" w:rsidP="00B43264">
      <w:pPr>
        <w:spacing w:line="360" w:lineRule="auto"/>
        <w:jc w:val="both"/>
        <w:rPr>
          <w:rFonts w:ascii="Arial" w:hAnsi="Arial" w:cs="Arial"/>
          <w:b/>
          <w:bCs/>
          <w:sz w:val="22"/>
          <w:szCs w:val="22"/>
        </w:rPr>
      </w:pPr>
    </w:p>
    <w:p w14:paraId="0C5BC7DB" w14:textId="77777777" w:rsidR="00AA0C55" w:rsidRPr="00BB6A62" w:rsidRDefault="00AA0C55" w:rsidP="00B43264">
      <w:pPr>
        <w:spacing w:line="360" w:lineRule="auto"/>
        <w:jc w:val="both"/>
        <w:rPr>
          <w:rFonts w:ascii="Arial" w:hAnsi="Arial" w:cs="Arial"/>
          <w:b/>
          <w:bCs/>
          <w:sz w:val="22"/>
          <w:szCs w:val="22"/>
        </w:rPr>
      </w:pPr>
    </w:p>
    <w:p w14:paraId="05F76397" w14:textId="77777777" w:rsidR="00BB6A62" w:rsidRDefault="00BB6A62" w:rsidP="00557327">
      <w:pPr>
        <w:spacing w:line="360" w:lineRule="auto"/>
        <w:jc w:val="both"/>
        <w:rPr>
          <w:rFonts w:ascii="Arial" w:hAnsi="Arial" w:cs="Arial"/>
          <w:b/>
          <w:bCs/>
          <w:sz w:val="22"/>
          <w:szCs w:val="22"/>
        </w:rPr>
      </w:pPr>
    </w:p>
    <w:p w14:paraId="74E69E75" w14:textId="78E1B55B" w:rsidR="00863A9A" w:rsidRPr="00BB6A62" w:rsidRDefault="008101A1" w:rsidP="00BB6A62">
      <w:pPr>
        <w:pStyle w:val="Heading1"/>
      </w:pPr>
      <w:bookmarkStart w:id="26" w:name="_Toc232864074"/>
      <w:r w:rsidRPr="00BB6A62">
        <w:t>References</w:t>
      </w:r>
      <w:bookmarkEnd w:id="26"/>
    </w:p>
    <w:p w14:paraId="4E59EABC"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Al-Sunna, F. N. (2017). CFC Project Palestine Telecommunication (PALTEL).</w:t>
      </w:r>
    </w:p>
    <w:p w14:paraId="6A8F0E6D"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Ansoff, H I. (1957). Strategies for Diversification. Harvard Business Review, 35(5), 113-124.</w:t>
      </w:r>
    </w:p>
    <w:p w14:paraId="0D296D87"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Crasta, L. C. (2021). Impact of mobile phone services on the traditional telecommunication services in </w:t>
      </w:r>
      <w:proofErr w:type="spellStart"/>
      <w:r w:rsidRPr="00BB6A62">
        <w:rPr>
          <w:rFonts w:ascii="Arial" w:hAnsi="Arial" w:cs="Arial"/>
          <w:sz w:val="22"/>
          <w:szCs w:val="22"/>
        </w:rPr>
        <w:t>india</w:t>
      </w:r>
      <w:proofErr w:type="spellEnd"/>
      <w:r w:rsidRPr="00BB6A62">
        <w:rPr>
          <w:rFonts w:ascii="Arial" w:hAnsi="Arial" w:cs="Arial"/>
          <w:sz w:val="22"/>
          <w:szCs w:val="22"/>
        </w:rPr>
        <w:t>. </w:t>
      </w:r>
      <w:proofErr w:type="spellStart"/>
      <w:r w:rsidRPr="00BB6A62">
        <w:rPr>
          <w:rFonts w:ascii="Arial" w:hAnsi="Arial" w:cs="Arial"/>
          <w:i/>
          <w:iCs/>
          <w:sz w:val="22"/>
          <w:szCs w:val="22"/>
        </w:rPr>
        <w:t>Zenodo</w:t>
      </w:r>
      <w:proofErr w:type="spellEnd"/>
      <w:r w:rsidRPr="00BB6A62">
        <w:rPr>
          <w:rFonts w:ascii="Arial" w:hAnsi="Arial" w:cs="Arial"/>
          <w:i/>
          <w:iCs/>
          <w:sz w:val="22"/>
          <w:szCs w:val="22"/>
        </w:rPr>
        <w:t xml:space="preserve"> (CERN European Organization for Nuclear Research)</w:t>
      </w:r>
      <w:r w:rsidRPr="00BB6A62">
        <w:rPr>
          <w:rFonts w:ascii="Arial" w:hAnsi="Arial" w:cs="Arial"/>
          <w:sz w:val="22"/>
          <w:szCs w:val="22"/>
        </w:rPr>
        <w:t>.</w:t>
      </w:r>
    </w:p>
    <w:p w14:paraId="095B862C"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da Silva Coutinho, M. G. F. (2021). </w:t>
      </w:r>
      <w:r w:rsidRPr="00BB6A62">
        <w:rPr>
          <w:rFonts w:ascii="Arial" w:hAnsi="Arial" w:cs="Arial"/>
          <w:i/>
          <w:iCs/>
          <w:sz w:val="22"/>
          <w:szCs w:val="22"/>
        </w:rPr>
        <w:t>Vodafone Group PLC: Telecommunications</w:t>
      </w:r>
      <w:r w:rsidRPr="00BB6A62">
        <w:rPr>
          <w:rFonts w:ascii="Arial" w:hAnsi="Arial" w:cs="Arial"/>
          <w:sz w:val="22"/>
          <w:szCs w:val="22"/>
        </w:rPr>
        <w:t xml:space="preserve"> (Master's thesis, </w:t>
      </w:r>
      <w:proofErr w:type="spellStart"/>
      <w:r w:rsidRPr="00BB6A62">
        <w:rPr>
          <w:rFonts w:ascii="Arial" w:hAnsi="Arial" w:cs="Arial"/>
          <w:sz w:val="22"/>
          <w:szCs w:val="22"/>
        </w:rPr>
        <w:t>Universidade</w:t>
      </w:r>
      <w:proofErr w:type="spellEnd"/>
      <w:r w:rsidRPr="00BB6A62">
        <w:rPr>
          <w:rFonts w:ascii="Arial" w:hAnsi="Arial" w:cs="Arial"/>
          <w:sz w:val="22"/>
          <w:szCs w:val="22"/>
        </w:rPr>
        <w:t xml:space="preserve"> NOVA de Lisboa (Portugal)).</w:t>
      </w:r>
    </w:p>
    <w:p w14:paraId="17370D52"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Freeman, R. E. (1984). Strategic management: A stakeholder approach. Boston, Pitman Publishing Inc.</w:t>
      </w:r>
    </w:p>
    <w:p w14:paraId="3606B345"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Johnson, G., Whittington, R. and Scholes, K. (2011). </w:t>
      </w:r>
      <w:r w:rsidRPr="00BB6A62">
        <w:rPr>
          <w:rFonts w:ascii="Arial" w:hAnsi="Arial" w:cs="Arial"/>
          <w:i/>
          <w:iCs/>
          <w:sz w:val="22"/>
          <w:szCs w:val="22"/>
        </w:rPr>
        <w:t>Exploring Strategy</w:t>
      </w:r>
      <w:r w:rsidRPr="00BB6A62">
        <w:rPr>
          <w:rFonts w:ascii="Arial" w:hAnsi="Arial" w:cs="Arial"/>
          <w:sz w:val="22"/>
          <w:szCs w:val="22"/>
        </w:rPr>
        <w:t xml:space="preserve">, 9th ed.; Pearson: London, UK, 2011. </w:t>
      </w:r>
    </w:p>
    <w:p w14:paraId="3A18258C"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Manyeki, K., </w:t>
      </w:r>
      <w:proofErr w:type="spellStart"/>
      <w:r w:rsidRPr="00BB6A62">
        <w:rPr>
          <w:rFonts w:ascii="Arial" w:hAnsi="Arial" w:cs="Arial"/>
          <w:sz w:val="22"/>
          <w:szCs w:val="22"/>
        </w:rPr>
        <w:t>Ongeti</w:t>
      </w:r>
      <w:proofErr w:type="spellEnd"/>
      <w:r w:rsidRPr="00BB6A62">
        <w:rPr>
          <w:rFonts w:ascii="Arial" w:hAnsi="Arial" w:cs="Arial"/>
          <w:sz w:val="22"/>
          <w:szCs w:val="22"/>
        </w:rPr>
        <w:t xml:space="preserve">, W., and </w:t>
      </w:r>
      <w:proofErr w:type="spellStart"/>
      <w:r w:rsidRPr="00BB6A62">
        <w:rPr>
          <w:rFonts w:ascii="Arial" w:hAnsi="Arial" w:cs="Arial"/>
          <w:sz w:val="22"/>
          <w:szCs w:val="22"/>
        </w:rPr>
        <w:t>Odiyo</w:t>
      </w:r>
      <w:proofErr w:type="spellEnd"/>
      <w:r w:rsidRPr="00BB6A62">
        <w:rPr>
          <w:rFonts w:ascii="Arial" w:hAnsi="Arial" w:cs="Arial"/>
          <w:sz w:val="22"/>
          <w:szCs w:val="22"/>
        </w:rPr>
        <w:t>, W. (2018). Influence of Porters generic strategies on performance of private chartered universities in Kenya: a case of Nairobi County. </w:t>
      </w:r>
      <w:r w:rsidRPr="00BB6A62">
        <w:rPr>
          <w:rFonts w:ascii="Arial" w:hAnsi="Arial" w:cs="Arial"/>
          <w:i/>
          <w:iCs/>
          <w:sz w:val="22"/>
          <w:szCs w:val="22"/>
        </w:rPr>
        <w:t>Journal of Strategic Management</w:t>
      </w:r>
      <w:r w:rsidRPr="00BB6A62">
        <w:rPr>
          <w:rFonts w:ascii="Arial" w:hAnsi="Arial" w:cs="Arial"/>
          <w:sz w:val="22"/>
          <w:szCs w:val="22"/>
        </w:rPr>
        <w:t>, </w:t>
      </w:r>
      <w:r w:rsidRPr="00BB6A62">
        <w:rPr>
          <w:rFonts w:ascii="Arial" w:hAnsi="Arial" w:cs="Arial"/>
          <w:i/>
          <w:iCs/>
          <w:sz w:val="22"/>
          <w:szCs w:val="22"/>
        </w:rPr>
        <w:t>2</w:t>
      </w:r>
      <w:r w:rsidRPr="00BB6A62">
        <w:rPr>
          <w:rFonts w:ascii="Arial" w:hAnsi="Arial" w:cs="Arial"/>
          <w:sz w:val="22"/>
          <w:szCs w:val="22"/>
        </w:rPr>
        <w:t>(5), 47-67.</w:t>
      </w:r>
    </w:p>
    <w:p w14:paraId="4B6550A3"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Mendelow, A. (1991). Stakeholder Mapping. In: Proceedings of the 2nd International Conference on Information Systems. Cambridge.</w:t>
      </w:r>
    </w:p>
    <w:p w14:paraId="08D362D2"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Mwaniki, S. W., and Anene, E. (2023). Competitive strategies and performance of firms in the telecommunication industry in Kenya. </w:t>
      </w:r>
      <w:r w:rsidRPr="00BB6A62">
        <w:rPr>
          <w:rFonts w:ascii="Arial" w:hAnsi="Arial" w:cs="Arial"/>
          <w:i/>
          <w:iCs/>
          <w:sz w:val="22"/>
          <w:szCs w:val="22"/>
        </w:rPr>
        <w:t>International Academic Journal of Economics and Finance</w:t>
      </w:r>
      <w:r w:rsidRPr="00BB6A62">
        <w:rPr>
          <w:rFonts w:ascii="Arial" w:hAnsi="Arial" w:cs="Arial"/>
          <w:sz w:val="22"/>
          <w:szCs w:val="22"/>
        </w:rPr>
        <w:t>, </w:t>
      </w:r>
      <w:r w:rsidRPr="00BB6A62">
        <w:rPr>
          <w:rFonts w:ascii="Arial" w:hAnsi="Arial" w:cs="Arial"/>
          <w:i/>
          <w:iCs/>
          <w:sz w:val="22"/>
          <w:szCs w:val="22"/>
        </w:rPr>
        <w:t>3</w:t>
      </w:r>
      <w:r w:rsidRPr="00BB6A62">
        <w:rPr>
          <w:rFonts w:ascii="Arial" w:hAnsi="Arial" w:cs="Arial"/>
          <w:sz w:val="22"/>
          <w:szCs w:val="22"/>
        </w:rPr>
        <w:t>(10), 471-525.</w:t>
      </w:r>
    </w:p>
    <w:p w14:paraId="3082D174"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Porter, M. (1980). Competitive strategy: Techniques for analysing industries and competitors. New York, NY: The Free Press.</w:t>
      </w:r>
    </w:p>
    <w:p w14:paraId="25AA2DB4"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Setiawan, I., and </w:t>
      </w:r>
      <w:proofErr w:type="spellStart"/>
      <w:r w:rsidRPr="00BB6A62">
        <w:rPr>
          <w:rFonts w:ascii="Arial" w:hAnsi="Arial" w:cs="Arial"/>
          <w:sz w:val="22"/>
          <w:szCs w:val="22"/>
        </w:rPr>
        <w:t>Purba</w:t>
      </w:r>
      <w:proofErr w:type="spellEnd"/>
      <w:r w:rsidRPr="00BB6A62">
        <w:rPr>
          <w:rFonts w:ascii="Arial" w:hAnsi="Arial" w:cs="Arial"/>
          <w:sz w:val="22"/>
          <w:szCs w:val="22"/>
        </w:rPr>
        <w:t>, H. H. (2020). A systematic literature review of key performance indicators (KPIs) implementation. </w:t>
      </w:r>
      <w:r w:rsidRPr="00BB6A62">
        <w:rPr>
          <w:rFonts w:ascii="Arial" w:hAnsi="Arial" w:cs="Arial"/>
          <w:i/>
          <w:iCs/>
          <w:sz w:val="22"/>
          <w:szCs w:val="22"/>
        </w:rPr>
        <w:t>Journal of Industrial Engineering &amp; Management Research</w:t>
      </w:r>
      <w:r w:rsidRPr="00BB6A62">
        <w:rPr>
          <w:rFonts w:ascii="Arial" w:hAnsi="Arial" w:cs="Arial"/>
          <w:sz w:val="22"/>
          <w:szCs w:val="22"/>
        </w:rPr>
        <w:t>, </w:t>
      </w:r>
      <w:r w:rsidRPr="00BB6A62">
        <w:rPr>
          <w:rFonts w:ascii="Arial" w:hAnsi="Arial" w:cs="Arial"/>
          <w:i/>
          <w:iCs/>
          <w:sz w:val="22"/>
          <w:szCs w:val="22"/>
        </w:rPr>
        <w:t>1</w:t>
      </w:r>
      <w:r w:rsidRPr="00BB6A62">
        <w:rPr>
          <w:rFonts w:ascii="Arial" w:hAnsi="Arial" w:cs="Arial"/>
          <w:sz w:val="22"/>
          <w:szCs w:val="22"/>
        </w:rPr>
        <w:t>(3), 200-208.</w:t>
      </w:r>
    </w:p>
    <w:p w14:paraId="0CA80EB6"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Vodafone (2026). </w:t>
      </w:r>
      <w:r w:rsidRPr="00BB6A62">
        <w:rPr>
          <w:rFonts w:ascii="Arial" w:hAnsi="Arial" w:cs="Arial"/>
          <w:i/>
          <w:iCs/>
          <w:sz w:val="22"/>
          <w:szCs w:val="22"/>
        </w:rPr>
        <w:t>Our Company</w:t>
      </w:r>
      <w:r w:rsidRPr="00BB6A62">
        <w:rPr>
          <w:rFonts w:ascii="Arial" w:hAnsi="Arial" w:cs="Arial"/>
          <w:sz w:val="22"/>
          <w:szCs w:val="22"/>
        </w:rPr>
        <w:t xml:space="preserve">. Available online at: </w:t>
      </w:r>
      <w:hyperlink r:id="rId6" w:history="1">
        <w:r w:rsidRPr="00BB6A62">
          <w:rPr>
            <w:rStyle w:val="Hyperlink"/>
            <w:rFonts w:ascii="Arial" w:hAnsi="Arial" w:cs="Arial"/>
            <w:sz w:val="22"/>
            <w:szCs w:val="22"/>
          </w:rPr>
          <w:t>https://www.vodafone.com/our-company</w:t>
        </w:r>
      </w:hyperlink>
      <w:r w:rsidRPr="00BB6A62">
        <w:rPr>
          <w:rFonts w:ascii="Arial" w:hAnsi="Arial" w:cs="Arial"/>
          <w:sz w:val="22"/>
          <w:szCs w:val="22"/>
        </w:rPr>
        <w:t xml:space="preserve"> (Accessed on 10 June 2026). </w:t>
      </w:r>
    </w:p>
    <w:p w14:paraId="26491810"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Vodafone Group Plc (2025). </w:t>
      </w:r>
      <w:r w:rsidRPr="00BB6A62">
        <w:rPr>
          <w:rFonts w:ascii="Arial" w:hAnsi="Arial" w:cs="Arial"/>
          <w:i/>
          <w:iCs/>
          <w:sz w:val="22"/>
          <w:szCs w:val="22"/>
        </w:rPr>
        <w:t>Annual Report 2025.</w:t>
      </w:r>
      <w:r w:rsidRPr="00BB6A62">
        <w:rPr>
          <w:rFonts w:ascii="Arial" w:hAnsi="Arial" w:cs="Arial"/>
          <w:sz w:val="22"/>
          <w:szCs w:val="22"/>
        </w:rPr>
        <w:t xml:space="preserve"> Available online at: </w:t>
      </w:r>
      <w:hyperlink r:id="rId7" w:history="1">
        <w:r w:rsidRPr="00BB6A62">
          <w:rPr>
            <w:rStyle w:val="Hyperlink"/>
            <w:rFonts w:ascii="Arial" w:hAnsi="Arial" w:cs="Arial"/>
            <w:sz w:val="22"/>
            <w:szCs w:val="22"/>
          </w:rPr>
          <w:t>https://reports.investors.vodafone.com/view/897876789/5/</w:t>
        </w:r>
      </w:hyperlink>
      <w:r w:rsidRPr="00BB6A62">
        <w:rPr>
          <w:rFonts w:ascii="Arial" w:hAnsi="Arial" w:cs="Arial"/>
          <w:sz w:val="22"/>
          <w:szCs w:val="22"/>
        </w:rPr>
        <w:t xml:space="preserve"> (Accessed on 12 June 2026).</w:t>
      </w:r>
    </w:p>
    <w:p w14:paraId="5D2CDD46"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lastRenderedPageBreak/>
        <w:t xml:space="preserve">Vodafone Group Plc (2026). </w:t>
      </w:r>
      <w:r w:rsidRPr="00BB6A62">
        <w:rPr>
          <w:rFonts w:ascii="Arial" w:hAnsi="Arial" w:cs="Arial"/>
          <w:i/>
          <w:iCs/>
          <w:sz w:val="22"/>
          <w:szCs w:val="22"/>
        </w:rPr>
        <w:t>Annual Report 2026</w:t>
      </w:r>
      <w:r w:rsidRPr="00BB6A62">
        <w:rPr>
          <w:rFonts w:ascii="Arial" w:hAnsi="Arial" w:cs="Arial"/>
          <w:sz w:val="22"/>
          <w:szCs w:val="22"/>
        </w:rPr>
        <w:t xml:space="preserve">. Available at: </w:t>
      </w:r>
      <w:hyperlink r:id="rId8" w:history="1">
        <w:r w:rsidRPr="00BB6A62">
          <w:rPr>
            <w:rStyle w:val="Hyperlink"/>
            <w:rFonts w:ascii="Arial" w:hAnsi="Arial" w:cs="Arial"/>
            <w:sz w:val="22"/>
            <w:szCs w:val="22"/>
          </w:rPr>
          <w:t>https://reports.investors.vodafone.com/view/500231330/23/</w:t>
        </w:r>
      </w:hyperlink>
      <w:r w:rsidRPr="00BB6A62">
        <w:rPr>
          <w:rFonts w:ascii="Arial" w:hAnsi="Arial" w:cs="Arial"/>
          <w:sz w:val="22"/>
          <w:szCs w:val="22"/>
        </w:rPr>
        <w:t xml:space="preserve"> (Accessed on 12 June 2026). </w:t>
      </w:r>
    </w:p>
    <w:p w14:paraId="1D31C0DD" w14:textId="77777777" w:rsidR="00863A9A" w:rsidRPr="00BB6A62" w:rsidRDefault="00863A9A" w:rsidP="00FB6729">
      <w:pPr>
        <w:spacing w:line="360" w:lineRule="auto"/>
        <w:ind w:left="720" w:hanging="720"/>
        <w:jc w:val="both"/>
        <w:rPr>
          <w:rFonts w:ascii="Arial" w:hAnsi="Arial" w:cs="Arial"/>
          <w:sz w:val="22"/>
          <w:szCs w:val="22"/>
        </w:rPr>
      </w:pPr>
      <w:r w:rsidRPr="00BB6A62">
        <w:rPr>
          <w:rFonts w:ascii="Arial" w:hAnsi="Arial" w:cs="Arial"/>
          <w:sz w:val="22"/>
          <w:szCs w:val="22"/>
        </w:rPr>
        <w:t xml:space="preserve">VodafoneThree (2026). </w:t>
      </w:r>
      <w:r w:rsidRPr="00BB6A62">
        <w:rPr>
          <w:rFonts w:ascii="Arial" w:hAnsi="Arial" w:cs="Arial"/>
          <w:i/>
          <w:iCs/>
          <w:sz w:val="22"/>
          <w:szCs w:val="22"/>
        </w:rPr>
        <w:t>About Our company.</w:t>
      </w:r>
      <w:r w:rsidRPr="00BB6A62">
        <w:rPr>
          <w:rFonts w:ascii="Arial" w:hAnsi="Arial" w:cs="Arial"/>
          <w:sz w:val="22"/>
          <w:szCs w:val="22"/>
        </w:rPr>
        <w:t xml:space="preserve"> Available online at: </w:t>
      </w:r>
      <w:hyperlink r:id="rId9" w:history="1">
        <w:r w:rsidRPr="00BB6A62">
          <w:rPr>
            <w:rStyle w:val="Hyperlink"/>
            <w:rFonts w:ascii="Arial" w:hAnsi="Arial" w:cs="Arial"/>
            <w:sz w:val="22"/>
            <w:szCs w:val="22"/>
          </w:rPr>
          <w:t>https://www.vodafonethree.com/about</w:t>
        </w:r>
      </w:hyperlink>
      <w:r w:rsidRPr="00BB6A62">
        <w:rPr>
          <w:rFonts w:ascii="Arial" w:hAnsi="Arial" w:cs="Arial"/>
          <w:sz w:val="22"/>
          <w:szCs w:val="22"/>
        </w:rPr>
        <w:t xml:space="preserve"> (Accessed on 10 June 2026). </w:t>
      </w:r>
    </w:p>
    <w:p w14:paraId="7FC4574E" w14:textId="77777777" w:rsidR="008101A1" w:rsidRPr="00BB6A62" w:rsidRDefault="008101A1" w:rsidP="00FB6729">
      <w:pPr>
        <w:spacing w:line="360" w:lineRule="auto"/>
        <w:ind w:left="720" w:hanging="720"/>
        <w:jc w:val="both"/>
        <w:rPr>
          <w:rFonts w:ascii="Arial" w:hAnsi="Arial" w:cs="Arial"/>
          <w:sz w:val="22"/>
          <w:szCs w:val="22"/>
        </w:rPr>
      </w:pPr>
    </w:p>
    <w:p w14:paraId="6EDE8504" w14:textId="77777777" w:rsidR="002D588F" w:rsidRPr="00BB6A62" w:rsidRDefault="002D588F" w:rsidP="00FB6729">
      <w:pPr>
        <w:spacing w:line="360" w:lineRule="auto"/>
        <w:ind w:left="720" w:hanging="720"/>
        <w:jc w:val="both"/>
        <w:rPr>
          <w:rFonts w:ascii="Arial" w:hAnsi="Arial" w:cs="Arial"/>
          <w:sz w:val="22"/>
          <w:szCs w:val="22"/>
        </w:rPr>
      </w:pPr>
    </w:p>
    <w:sectPr w:rsidR="002D588F" w:rsidRPr="00BB6A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975BD"/>
    <w:multiLevelType w:val="multilevel"/>
    <w:tmpl w:val="67C67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33490"/>
    <w:multiLevelType w:val="multilevel"/>
    <w:tmpl w:val="71D6B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62319"/>
    <w:multiLevelType w:val="multilevel"/>
    <w:tmpl w:val="64D6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611A0"/>
    <w:multiLevelType w:val="multilevel"/>
    <w:tmpl w:val="B492D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3619C"/>
    <w:multiLevelType w:val="multilevel"/>
    <w:tmpl w:val="D8189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94EF4"/>
    <w:multiLevelType w:val="multilevel"/>
    <w:tmpl w:val="563A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54CE2"/>
    <w:multiLevelType w:val="multilevel"/>
    <w:tmpl w:val="9D28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4F0F96"/>
    <w:multiLevelType w:val="multilevel"/>
    <w:tmpl w:val="39FA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E37C38"/>
    <w:multiLevelType w:val="multilevel"/>
    <w:tmpl w:val="999A4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D1A58"/>
    <w:multiLevelType w:val="multilevel"/>
    <w:tmpl w:val="C722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87039D"/>
    <w:multiLevelType w:val="multilevel"/>
    <w:tmpl w:val="B2D42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180B07"/>
    <w:multiLevelType w:val="multilevel"/>
    <w:tmpl w:val="6A96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8B5692"/>
    <w:multiLevelType w:val="multilevel"/>
    <w:tmpl w:val="C03E8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370CEA"/>
    <w:multiLevelType w:val="multilevel"/>
    <w:tmpl w:val="62467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5E06D5"/>
    <w:multiLevelType w:val="multilevel"/>
    <w:tmpl w:val="8698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9A4F8B"/>
    <w:multiLevelType w:val="multilevel"/>
    <w:tmpl w:val="B6043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FF2F47"/>
    <w:multiLevelType w:val="multilevel"/>
    <w:tmpl w:val="C44E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7068C3"/>
    <w:multiLevelType w:val="multilevel"/>
    <w:tmpl w:val="94EEED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559828232">
    <w:abstractNumId w:val="1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15110865">
    <w:abstractNumId w:val="8"/>
  </w:num>
  <w:num w:numId="3" w16cid:durableId="2014794421">
    <w:abstractNumId w:val="15"/>
  </w:num>
  <w:num w:numId="4" w16cid:durableId="465701435">
    <w:abstractNumId w:val="10"/>
  </w:num>
  <w:num w:numId="5" w16cid:durableId="763264748">
    <w:abstractNumId w:val="5"/>
  </w:num>
  <w:num w:numId="6" w16cid:durableId="1876238531">
    <w:abstractNumId w:val="2"/>
  </w:num>
  <w:num w:numId="7" w16cid:durableId="44303521">
    <w:abstractNumId w:val="1"/>
  </w:num>
  <w:num w:numId="8" w16cid:durableId="1625506057">
    <w:abstractNumId w:val="12"/>
  </w:num>
  <w:num w:numId="9" w16cid:durableId="605694856">
    <w:abstractNumId w:val="6"/>
  </w:num>
  <w:num w:numId="10" w16cid:durableId="387800517">
    <w:abstractNumId w:val="7"/>
  </w:num>
  <w:num w:numId="11" w16cid:durableId="1260142211">
    <w:abstractNumId w:val="4"/>
  </w:num>
  <w:num w:numId="12" w16cid:durableId="151606137">
    <w:abstractNumId w:val="16"/>
  </w:num>
  <w:num w:numId="13" w16cid:durableId="1335718931">
    <w:abstractNumId w:val="13"/>
  </w:num>
  <w:num w:numId="14" w16cid:durableId="1952011848">
    <w:abstractNumId w:val="14"/>
  </w:num>
  <w:num w:numId="15" w16cid:durableId="1645236990">
    <w:abstractNumId w:val="11"/>
  </w:num>
  <w:num w:numId="16" w16cid:durableId="1927759330">
    <w:abstractNumId w:val="3"/>
  </w:num>
  <w:num w:numId="17" w16cid:durableId="1450203667">
    <w:abstractNumId w:val="9"/>
  </w:num>
  <w:num w:numId="18" w16cid:durableId="1510832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88F"/>
    <w:rsid w:val="00010396"/>
    <w:rsid w:val="000105FA"/>
    <w:rsid w:val="00012D4D"/>
    <w:rsid w:val="00012E82"/>
    <w:rsid w:val="00017D91"/>
    <w:rsid w:val="000221B7"/>
    <w:rsid w:val="0004782E"/>
    <w:rsid w:val="000623D9"/>
    <w:rsid w:val="000704DD"/>
    <w:rsid w:val="00070D95"/>
    <w:rsid w:val="0007597B"/>
    <w:rsid w:val="00076118"/>
    <w:rsid w:val="00085B2D"/>
    <w:rsid w:val="000A16D0"/>
    <w:rsid w:val="000A6CF5"/>
    <w:rsid w:val="000B7BA5"/>
    <w:rsid w:val="000D3DB9"/>
    <w:rsid w:val="000E4FA9"/>
    <w:rsid w:val="000F3BED"/>
    <w:rsid w:val="000F4CC1"/>
    <w:rsid w:val="000F50EE"/>
    <w:rsid w:val="00102BAF"/>
    <w:rsid w:val="00110E25"/>
    <w:rsid w:val="00111FAC"/>
    <w:rsid w:val="00112F7E"/>
    <w:rsid w:val="00145D2E"/>
    <w:rsid w:val="00151E93"/>
    <w:rsid w:val="001552C7"/>
    <w:rsid w:val="00161AA2"/>
    <w:rsid w:val="00180C9B"/>
    <w:rsid w:val="0019017D"/>
    <w:rsid w:val="001B07A2"/>
    <w:rsid w:val="001C20EC"/>
    <w:rsid w:val="001C580E"/>
    <w:rsid w:val="001C736B"/>
    <w:rsid w:val="001D330C"/>
    <w:rsid w:val="002032EE"/>
    <w:rsid w:val="0020438F"/>
    <w:rsid w:val="00212405"/>
    <w:rsid w:val="002222D9"/>
    <w:rsid w:val="00247083"/>
    <w:rsid w:val="002528A2"/>
    <w:rsid w:val="002528DB"/>
    <w:rsid w:val="00267C43"/>
    <w:rsid w:val="00273D7F"/>
    <w:rsid w:val="0027585E"/>
    <w:rsid w:val="00280B10"/>
    <w:rsid w:val="00284459"/>
    <w:rsid w:val="002933B0"/>
    <w:rsid w:val="002B4CE0"/>
    <w:rsid w:val="002D16C1"/>
    <w:rsid w:val="002D588F"/>
    <w:rsid w:val="002F77A5"/>
    <w:rsid w:val="00301C1E"/>
    <w:rsid w:val="00302853"/>
    <w:rsid w:val="00304FD5"/>
    <w:rsid w:val="003118AE"/>
    <w:rsid w:val="00312A06"/>
    <w:rsid w:val="003177B3"/>
    <w:rsid w:val="00334ECD"/>
    <w:rsid w:val="00340780"/>
    <w:rsid w:val="00343933"/>
    <w:rsid w:val="00344AC7"/>
    <w:rsid w:val="00344AD3"/>
    <w:rsid w:val="00361557"/>
    <w:rsid w:val="0038678A"/>
    <w:rsid w:val="003B24F4"/>
    <w:rsid w:val="003B2C6C"/>
    <w:rsid w:val="003B62EB"/>
    <w:rsid w:val="003C3548"/>
    <w:rsid w:val="003D74CB"/>
    <w:rsid w:val="003F71F6"/>
    <w:rsid w:val="00403639"/>
    <w:rsid w:val="004073E3"/>
    <w:rsid w:val="00414C24"/>
    <w:rsid w:val="0042179A"/>
    <w:rsid w:val="0042758C"/>
    <w:rsid w:val="00431D83"/>
    <w:rsid w:val="0043284C"/>
    <w:rsid w:val="00436FED"/>
    <w:rsid w:val="00441A9B"/>
    <w:rsid w:val="00453FC0"/>
    <w:rsid w:val="00474945"/>
    <w:rsid w:val="00493464"/>
    <w:rsid w:val="00493F88"/>
    <w:rsid w:val="004A3B37"/>
    <w:rsid w:val="004B0036"/>
    <w:rsid w:val="004B42D2"/>
    <w:rsid w:val="004C01D2"/>
    <w:rsid w:val="004C01E4"/>
    <w:rsid w:val="004C3243"/>
    <w:rsid w:val="004C3D73"/>
    <w:rsid w:val="00511732"/>
    <w:rsid w:val="005118FC"/>
    <w:rsid w:val="00523FE2"/>
    <w:rsid w:val="00526260"/>
    <w:rsid w:val="005339DB"/>
    <w:rsid w:val="00541B71"/>
    <w:rsid w:val="00542D2D"/>
    <w:rsid w:val="00550748"/>
    <w:rsid w:val="00557327"/>
    <w:rsid w:val="005772F0"/>
    <w:rsid w:val="00584F26"/>
    <w:rsid w:val="0058572C"/>
    <w:rsid w:val="00593F0B"/>
    <w:rsid w:val="00596E6F"/>
    <w:rsid w:val="005A3584"/>
    <w:rsid w:val="005B1BE0"/>
    <w:rsid w:val="005B383E"/>
    <w:rsid w:val="005D5AEE"/>
    <w:rsid w:val="005D69C6"/>
    <w:rsid w:val="005E3153"/>
    <w:rsid w:val="0060526C"/>
    <w:rsid w:val="0060652E"/>
    <w:rsid w:val="006273BF"/>
    <w:rsid w:val="00627B3F"/>
    <w:rsid w:val="00631327"/>
    <w:rsid w:val="0063508F"/>
    <w:rsid w:val="00636244"/>
    <w:rsid w:val="00646180"/>
    <w:rsid w:val="00663278"/>
    <w:rsid w:val="006672B4"/>
    <w:rsid w:val="00673F54"/>
    <w:rsid w:val="0067791B"/>
    <w:rsid w:val="0068010F"/>
    <w:rsid w:val="00685C09"/>
    <w:rsid w:val="006877FD"/>
    <w:rsid w:val="00693155"/>
    <w:rsid w:val="006A57C3"/>
    <w:rsid w:val="006A5A8D"/>
    <w:rsid w:val="006C50BA"/>
    <w:rsid w:val="006D62B1"/>
    <w:rsid w:val="006E1718"/>
    <w:rsid w:val="006E4947"/>
    <w:rsid w:val="006F4B9C"/>
    <w:rsid w:val="00702CB7"/>
    <w:rsid w:val="007106B3"/>
    <w:rsid w:val="00721AD4"/>
    <w:rsid w:val="007249B4"/>
    <w:rsid w:val="007556B7"/>
    <w:rsid w:val="00756877"/>
    <w:rsid w:val="00762303"/>
    <w:rsid w:val="00767421"/>
    <w:rsid w:val="0077497E"/>
    <w:rsid w:val="00774CB3"/>
    <w:rsid w:val="00777972"/>
    <w:rsid w:val="00790A94"/>
    <w:rsid w:val="00791971"/>
    <w:rsid w:val="007979CB"/>
    <w:rsid w:val="007A03FD"/>
    <w:rsid w:val="007B1CF1"/>
    <w:rsid w:val="007B6E67"/>
    <w:rsid w:val="007B787C"/>
    <w:rsid w:val="007C5D42"/>
    <w:rsid w:val="007D370A"/>
    <w:rsid w:val="007E3AC7"/>
    <w:rsid w:val="007E6F69"/>
    <w:rsid w:val="007F545C"/>
    <w:rsid w:val="00801660"/>
    <w:rsid w:val="008101A1"/>
    <w:rsid w:val="00810FF5"/>
    <w:rsid w:val="0081203C"/>
    <w:rsid w:val="0081251B"/>
    <w:rsid w:val="008213D2"/>
    <w:rsid w:val="00824C53"/>
    <w:rsid w:val="008508B4"/>
    <w:rsid w:val="008526D1"/>
    <w:rsid w:val="0085731A"/>
    <w:rsid w:val="00860B62"/>
    <w:rsid w:val="00863A9A"/>
    <w:rsid w:val="00863B05"/>
    <w:rsid w:val="008742AF"/>
    <w:rsid w:val="00882454"/>
    <w:rsid w:val="0088382C"/>
    <w:rsid w:val="00895EB6"/>
    <w:rsid w:val="008A04F6"/>
    <w:rsid w:val="008A1312"/>
    <w:rsid w:val="008A38C9"/>
    <w:rsid w:val="008A5232"/>
    <w:rsid w:val="008B02EA"/>
    <w:rsid w:val="008B375C"/>
    <w:rsid w:val="008B562E"/>
    <w:rsid w:val="008C72EA"/>
    <w:rsid w:val="008D4BBD"/>
    <w:rsid w:val="008F1232"/>
    <w:rsid w:val="008F1D76"/>
    <w:rsid w:val="009069D3"/>
    <w:rsid w:val="00912B5A"/>
    <w:rsid w:val="00925988"/>
    <w:rsid w:val="009263C2"/>
    <w:rsid w:val="00926B9B"/>
    <w:rsid w:val="00944175"/>
    <w:rsid w:val="00947803"/>
    <w:rsid w:val="00956FC9"/>
    <w:rsid w:val="00961DC1"/>
    <w:rsid w:val="00974D50"/>
    <w:rsid w:val="009774A0"/>
    <w:rsid w:val="00977BED"/>
    <w:rsid w:val="00984E30"/>
    <w:rsid w:val="00986B79"/>
    <w:rsid w:val="00987240"/>
    <w:rsid w:val="00990203"/>
    <w:rsid w:val="009961BC"/>
    <w:rsid w:val="009A0701"/>
    <w:rsid w:val="009A12CE"/>
    <w:rsid w:val="009A4F02"/>
    <w:rsid w:val="009A5096"/>
    <w:rsid w:val="009A5C77"/>
    <w:rsid w:val="009B1EC3"/>
    <w:rsid w:val="009B38D1"/>
    <w:rsid w:val="009B7EC4"/>
    <w:rsid w:val="009F644F"/>
    <w:rsid w:val="00A10DC8"/>
    <w:rsid w:val="00A449C9"/>
    <w:rsid w:val="00A46A9D"/>
    <w:rsid w:val="00A5142C"/>
    <w:rsid w:val="00A52F7B"/>
    <w:rsid w:val="00A5584C"/>
    <w:rsid w:val="00A7143B"/>
    <w:rsid w:val="00A742FB"/>
    <w:rsid w:val="00A838F0"/>
    <w:rsid w:val="00A92B39"/>
    <w:rsid w:val="00AA0C55"/>
    <w:rsid w:val="00AB529F"/>
    <w:rsid w:val="00AC1839"/>
    <w:rsid w:val="00AC5B8F"/>
    <w:rsid w:val="00AC6214"/>
    <w:rsid w:val="00AD016D"/>
    <w:rsid w:val="00AD0AA9"/>
    <w:rsid w:val="00AD53EA"/>
    <w:rsid w:val="00AD7139"/>
    <w:rsid w:val="00AE2B7E"/>
    <w:rsid w:val="00AF0011"/>
    <w:rsid w:val="00AF0DC2"/>
    <w:rsid w:val="00AF3F2F"/>
    <w:rsid w:val="00B10DD8"/>
    <w:rsid w:val="00B16096"/>
    <w:rsid w:val="00B23B53"/>
    <w:rsid w:val="00B43264"/>
    <w:rsid w:val="00B437A5"/>
    <w:rsid w:val="00B44C48"/>
    <w:rsid w:val="00B5160E"/>
    <w:rsid w:val="00B754AA"/>
    <w:rsid w:val="00B94E92"/>
    <w:rsid w:val="00B979B5"/>
    <w:rsid w:val="00BA77B1"/>
    <w:rsid w:val="00BB6A62"/>
    <w:rsid w:val="00BC6C91"/>
    <w:rsid w:val="00BE0CDC"/>
    <w:rsid w:val="00BE5E6D"/>
    <w:rsid w:val="00C1076E"/>
    <w:rsid w:val="00C11BA4"/>
    <w:rsid w:val="00C21597"/>
    <w:rsid w:val="00C30BFF"/>
    <w:rsid w:val="00C32FC9"/>
    <w:rsid w:val="00C36828"/>
    <w:rsid w:val="00C42483"/>
    <w:rsid w:val="00C47E35"/>
    <w:rsid w:val="00C530F9"/>
    <w:rsid w:val="00C65E5F"/>
    <w:rsid w:val="00C81292"/>
    <w:rsid w:val="00C96430"/>
    <w:rsid w:val="00CA1A86"/>
    <w:rsid w:val="00CC0C1F"/>
    <w:rsid w:val="00CC2711"/>
    <w:rsid w:val="00CE4A2C"/>
    <w:rsid w:val="00CE7539"/>
    <w:rsid w:val="00CF1567"/>
    <w:rsid w:val="00D1602B"/>
    <w:rsid w:val="00D16805"/>
    <w:rsid w:val="00D17DFC"/>
    <w:rsid w:val="00D335BF"/>
    <w:rsid w:val="00D35B92"/>
    <w:rsid w:val="00D41868"/>
    <w:rsid w:val="00D5718A"/>
    <w:rsid w:val="00D571EF"/>
    <w:rsid w:val="00D61540"/>
    <w:rsid w:val="00D779B9"/>
    <w:rsid w:val="00D90730"/>
    <w:rsid w:val="00D97E0C"/>
    <w:rsid w:val="00D97FA4"/>
    <w:rsid w:val="00DA3C38"/>
    <w:rsid w:val="00DB4A48"/>
    <w:rsid w:val="00DD37CA"/>
    <w:rsid w:val="00DD3E4E"/>
    <w:rsid w:val="00DD6547"/>
    <w:rsid w:val="00DF0EDB"/>
    <w:rsid w:val="00DF0F65"/>
    <w:rsid w:val="00DF7AA0"/>
    <w:rsid w:val="00E10A77"/>
    <w:rsid w:val="00E13400"/>
    <w:rsid w:val="00E15362"/>
    <w:rsid w:val="00E21C63"/>
    <w:rsid w:val="00E23E62"/>
    <w:rsid w:val="00E264F9"/>
    <w:rsid w:val="00E430A5"/>
    <w:rsid w:val="00E5124E"/>
    <w:rsid w:val="00E67330"/>
    <w:rsid w:val="00E804EF"/>
    <w:rsid w:val="00E82A20"/>
    <w:rsid w:val="00E847DA"/>
    <w:rsid w:val="00E91031"/>
    <w:rsid w:val="00E9761C"/>
    <w:rsid w:val="00EA4E8A"/>
    <w:rsid w:val="00EA673A"/>
    <w:rsid w:val="00EB37F0"/>
    <w:rsid w:val="00EC095C"/>
    <w:rsid w:val="00EC0AAE"/>
    <w:rsid w:val="00EC0F93"/>
    <w:rsid w:val="00EC1508"/>
    <w:rsid w:val="00EC2BA8"/>
    <w:rsid w:val="00EC568C"/>
    <w:rsid w:val="00EE69BF"/>
    <w:rsid w:val="00EF5246"/>
    <w:rsid w:val="00F24C49"/>
    <w:rsid w:val="00F27628"/>
    <w:rsid w:val="00F51687"/>
    <w:rsid w:val="00F6144C"/>
    <w:rsid w:val="00F72FBC"/>
    <w:rsid w:val="00F8722A"/>
    <w:rsid w:val="00F909E7"/>
    <w:rsid w:val="00F91C55"/>
    <w:rsid w:val="00F93C1E"/>
    <w:rsid w:val="00F97D6D"/>
    <w:rsid w:val="00FA01AE"/>
    <w:rsid w:val="00FB6729"/>
    <w:rsid w:val="00FD3229"/>
    <w:rsid w:val="00FD587F"/>
    <w:rsid w:val="00FE5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EF27"/>
  <w15:chartTrackingRefBased/>
  <w15:docId w15:val="{D86A8CFE-B60D-4DB5-8F0B-BB41C78E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C2"/>
  </w:style>
  <w:style w:type="paragraph" w:styleId="Heading1">
    <w:name w:val="heading 1"/>
    <w:basedOn w:val="Normal"/>
    <w:next w:val="Normal"/>
    <w:link w:val="Heading1Char"/>
    <w:uiPriority w:val="9"/>
    <w:qFormat/>
    <w:rsid w:val="005D69C6"/>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5D69C6"/>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unhideWhenUsed/>
    <w:qFormat/>
    <w:rsid w:val="005D69C6"/>
    <w:pPr>
      <w:keepNext/>
      <w:keepLines/>
      <w:spacing w:before="160" w:after="80"/>
      <w:outlineLvl w:val="2"/>
    </w:pPr>
    <w:rPr>
      <w:rFonts w:ascii="Arial" w:eastAsiaTheme="majorEastAsia" w:hAnsi="Arial" w:cstheme="majorBidi"/>
      <w:b/>
      <w:color w:val="000000" w:themeColor="text1"/>
      <w:sz w:val="22"/>
      <w:szCs w:val="28"/>
    </w:rPr>
  </w:style>
  <w:style w:type="paragraph" w:styleId="Heading4">
    <w:name w:val="heading 4"/>
    <w:basedOn w:val="Normal"/>
    <w:next w:val="Normal"/>
    <w:link w:val="Heading4Char"/>
    <w:uiPriority w:val="9"/>
    <w:semiHidden/>
    <w:unhideWhenUsed/>
    <w:qFormat/>
    <w:rsid w:val="002D58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8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8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8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8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8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9C6"/>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5D69C6"/>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5D69C6"/>
    <w:rPr>
      <w:rFonts w:ascii="Arial" w:eastAsiaTheme="majorEastAsia" w:hAnsi="Arial" w:cstheme="majorBidi"/>
      <w:b/>
      <w:color w:val="000000" w:themeColor="text1"/>
      <w:sz w:val="22"/>
      <w:szCs w:val="28"/>
    </w:rPr>
  </w:style>
  <w:style w:type="character" w:customStyle="1" w:styleId="Heading4Char">
    <w:name w:val="Heading 4 Char"/>
    <w:basedOn w:val="DefaultParagraphFont"/>
    <w:link w:val="Heading4"/>
    <w:uiPriority w:val="9"/>
    <w:semiHidden/>
    <w:rsid w:val="002D58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8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8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8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8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88F"/>
    <w:rPr>
      <w:rFonts w:eastAsiaTheme="majorEastAsia" w:cstheme="majorBidi"/>
      <w:color w:val="272727" w:themeColor="text1" w:themeTint="D8"/>
    </w:rPr>
  </w:style>
  <w:style w:type="paragraph" w:styleId="Title">
    <w:name w:val="Title"/>
    <w:basedOn w:val="Normal"/>
    <w:next w:val="Normal"/>
    <w:link w:val="TitleChar"/>
    <w:uiPriority w:val="10"/>
    <w:qFormat/>
    <w:rsid w:val="002D58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8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8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8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88F"/>
    <w:pPr>
      <w:spacing w:before="160"/>
      <w:jc w:val="center"/>
    </w:pPr>
    <w:rPr>
      <w:i/>
      <w:iCs/>
      <w:color w:val="404040" w:themeColor="text1" w:themeTint="BF"/>
    </w:rPr>
  </w:style>
  <w:style w:type="character" w:customStyle="1" w:styleId="QuoteChar">
    <w:name w:val="Quote Char"/>
    <w:basedOn w:val="DefaultParagraphFont"/>
    <w:link w:val="Quote"/>
    <w:uiPriority w:val="29"/>
    <w:rsid w:val="002D588F"/>
    <w:rPr>
      <w:i/>
      <w:iCs/>
      <w:color w:val="404040" w:themeColor="text1" w:themeTint="BF"/>
    </w:rPr>
  </w:style>
  <w:style w:type="paragraph" w:styleId="ListParagraph">
    <w:name w:val="List Paragraph"/>
    <w:basedOn w:val="Normal"/>
    <w:uiPriority w:val="34"/>
    <w:qFormat/>
    <w:rsid w:val="002D588F"/>
    <w:pPr>
      <w:ind w:left="720"/>
      <w:contextualSpacing/>
    </w:pPr>
  </w:style>
  <w:style w:type="character" w:styleId="IntenseEmphasis">
    <w:name w:val="Intense Emphasis"/>
    <w:basedOn w:val="DefaultParagraphFont"/>
    <w:uiPriority w:val="21"/>
    <w:qFormat/>
    <w:rsid w:val="002D588F"/>
    <w:rPr>
      <w:i/>
      <w:iCs/>
      <w:color w:val="0F4761" w:themeColor="accent1" w:themeShade="BF"/>
    </w:rPr>
  </w:style>
  <w:style w:type="paragraph" w:styleId="IntenseQuote">
    <w:name w:val="Intense Quote"/>
    <w:basedOn w:val="Normal"/>
    <w:next w:val="Normal"/>
    <w:link w:val="IntenseQuoteChar"/>
    <w:uiPriority w:val="30"/>
    <w:qFormat/>
    <w:rsid w:val="002D58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88F"/>
    <w:rPr>
      <w:i/>
      <w:iCs/>
      <w:color w:val="0F4761" w:themeColor="accent1" w:themeShade="BF"/>
    </w:rPr>
  </w:style>
  <w:style w:type="character" w:styleId="IntenseReference">
    <w:name w:val="Intense Reference"/>
    <w:basedOn w:val="DefaultParagraphFont"/>
    <w:uiPriority w:val="32"/>
    <w:qFormat/>
    <w:rsid w:val="002D588F"/>
    <w:rPr>
      <w:b/>
      <w:bCs/>
      <w:smallCaps/>
      <w:color w:val="0F4761" w:themeColor="accent1" w:themeShade="BF"/>
      <w:spacing w:val="5"/>
    </w:rPr>
  </w:style>
  <w:style w:type="character" w:styleId="Hyperlink">
    <w:name w:val="Hyperlink"/>
    <w:basedOn w:val="DefaultParagraphFont"/>
    <w:uiPriority w:val="99"/>
    <w:unhideWhenUsed/>
    <w:rsid w:val="002D588F"/>
    <w:rPr>
      <w:color w:val="467886" w:themeColor="hyperlink"/>
      <w:u w:val="single"/>
    </w:rPr>
  </w:style>
  <w:style w:type="character" w:styleId="UnresolvedMention">
    <w:name w:val="Unresolved Mention"/>
    <w:basedOn w:val="DefaultParagraphFont"/>
    <w:uiPriority w:val="99"/>
    <w:semiHidden/>
    <w:unhideWhenUsed/>
    <w:rsid w:val="002D588F"/>
    <w:rPr>
      <w:color w:val="605E5C"/>
      <w:shd w:val="clear" w:color="auto" w:fill="E1DFDD"/>
    </w:rPr>
  </w:style>
  <w:style w:type="table" w:styleId="TableGrid">
    <w:name w:val="Table Grid"/>
    <w:basedOn w:val="TableNormal"/>
    <w:uiPriority w:val="39"/>
    <w:rsid w:val="00EC0A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C150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CF156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CF156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CF156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BB6A62"/>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BB6A62"/>
    <w:pPr>
      <w:spacing w:after="100"/>
    </w:pPr>
  </w:style>
  <w:style w:type="paragraph" w:styleId="TOC2">
    <w:name w:val="toc 2"/>
    <w:basedOn w:val="Normal"/>
    <w:next w:val="Normal"/>
    <w:autoRedefine/>
    <w:uiPriority w:val="39"/>
    <w:unhideWhenUsed/>
    <w:rsid w:val="00BB6A62"/>
    <w:pPr>
      <w:spacing w:after="100"/>
      <w:ind w:left="240"/>
    </w:pPr>
  </w:style>
  <w:style w:type="paragraph" w:styleId="TOC3">
    <w:name w:val="toc 3"/>
    <w:basedOn w:val="Normal"/>
    <w:next w:val="Normal"/>
    <w:autoRedefine/>
    <w:uiPriority w:val="39"/>
    <w:unhideWhenUsed/>
    <w:rsid w:val="00BB6A6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rts.investors.vodafone.com/view/500231330/23/" TargetMode="External"/><Relationship Id="rId3" Type="http://schemas.openxmlformats.org/officeDocument/2006/relationships/styles" Target="styles.xml"/><Relationship Id="rId7" Type="http://schemas.openxmlformats.org/officeDocument/2006/relationships/hyperlink" Target="https://reports.investors.vodafone.com/view/897876789/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vodafone.com/our-company"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vodafonethree.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20FAD-27AA-43D9-8271-9751D6493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6512</TotalTime>
  <Pages>20</Pages>
  <Words>4921</Words>
  <Characters>28051</Characters>
  <Application>Microsoft Office Word</Application>
  <DocSecurity>0</DocSecurity>
  <Lines>233</Lines>
  <Paragraphs>65</Paragraphs>
  <ScaleCrop>false</ScaleCrop>
  <Company/>
  <LinksUpToDate>false</LinksUpToDate>
  <CharactersWithSpaces>32907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Sirbu Diana</dc:creator>
  <cp:keywords/>
  <dc:description/>
  <cp:lastModifiedBy>Sirbu Diana</cp:lastModifiedBy>
  <cp:revision>328</cp:revision>
  <dcterms:created xsi:type="dcterms:W3CDTF">2026-06-08T10:23:00Z</dcterms:created>
  <dcterms:modified xsi:type="dcterms:W3CDTF">2026-07-10T20:56:00Z</dcterms:modified>
</cp:coreProperties>
</file>