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54D62" w14:textId="77777777" w:rsidR="00910848" w:rsidRPr="006A3361" w:rsidRDefault="00BB25BB" w:rsidP="00374386">
      <w:pPr>
        <w:rPr>
          <w:b/>
        </w:rPr>
      </w:pPr>
      <w:r w:rsidRPr="006A3361">
        <w:rPr>
          <w:b/>
        </w:rPr>
        <w:t>The Golden Rule in  Ethics</w:t>
      </w:r>
    </w:p>
    <w:p w14:paraId="66A66644" w14:textId="6338239F" w:rsidR="00BB25BB" w:rsidRPr="00094B03" w:rsidRDefault="00BB25BB" w:rsidP="00374386">
      <w:r w:rsidRPr="00094B03">
        <w:t xml:space="preserve">The Golden Rule is a concept that is simple </w:t>
      </w:r>
      <w:r w:rsidR="0000173A">
        <w:t>but</w:t>
      </w:r>
      <w:r w:rsidRPr="00094B03">
        <w:t xml:space="preserve"> profound. It is a moral guideline that reminds people to consider how their actions impact those around them and encourages them to act in a way that those affected will appreciate and understand. It is often </w:t>
      </w:r>
      <w:r w:rsidR="0000173A">
        <w:t xml:space="preserve">said </w:t>
      </w:r>
      <w:r w:rsidRPr="00094B03">
        <w:t>as “</w:t>
      </w:r>
      <w:r w:rsidR="0000173A">
        <w:t xml:space="preserve"> </w:t>
      </w:r>
      <w:r w:rsidR="0000173A" w:rsidRPr="00D47A80">
        <w:rPr>
          <w:rFonts w:eastAsia="Times New Roman"/>
          <w:i/>
          <w:iCs/>
          <w:szCs w:val="28"/>
          <w:lang w:eastAsia="en-GB"/>
        </w:rPr>
        <w:t>Treat others as you would like to be treated</w:t>
      </w:r>
      <w:r w:rsidRPr="00094B03">
        <w:t>”</w:t>
      </w:r>
      <w:r w:rsidR="0000173A">
        <w:t>.</w:t>
      </w:r>
      <w:r w:rsidRPr="00094B03">
        <w:t xml:space="preserve"> Even though simple, the rule profoundly invokes respect and fairness and encourages people to think of others. The more people </w:t>
      </w:r>
      <w:r w:rsidR="00A20DE3">
        <w:t>internalize</w:t>
      </w:r>
      <w:r w:rsidRPr="00094B03">
        <w:t xml:space="preserve"> the rule, the more people around them will live in </w:t>
      </w:r>
      <w:r w:rsidR="0000173A">
        <w:t>coordination</w:t>
      </w:r>
      <w:r w:rsidRPr="00094B03">
        <w:t>. The rule is universal, appearing in multiple forms across the world. It is a testament to the idea that morality can be universal and global in nature</w:t>
      </w:r>
      <w:r w:rsidR="0050434C">
        <w:t>.</w:t>
      </w:r>
      <w:r w:rsidR="006A3361">
        <w:rPr>
          <w:rStyle w:val="FootnoteReference"/>
        </w:rPr>
        <w:footnoteReference w:id="1"/>
      </w:r>
      <w:r w:rsidRPr="00094B03">
        <w:t xml:space="preserve">  </w:t>
      </w:r>
    </w:p>
    <w:p w14:paraId="18AE2B5A" w14:textId="2BBC9D30" w:rsidR="00374386" w:rsidRDefault="00BB25BB" w:rsidP="00374386">
      <w:pPr>
        <w:rPr>
          <w:shd w:val="clear" w:color="auto" w:fill="FFFFFF"/>
        </w:rPr>
      </w:pPr>
      <w:r w:rsidRPr="00374386">
        <w:t xml:space="preserve">The Golden Rule is also one of the oldest moral and ethical principles in the world. Even ancient Chinese philosophies attribute moral respect and compassion principles to Confucius. Confucius, </w:t>
      </w:r>
      <w:r w:rsidR="00ED23D5" w:rsidRPr="00374386">
        <w:t xml:space="preserve"> Analects 15:23</w:t>
      </w:r>
      <w:r w:rsidRPr="00374386">
        <w:t xml:space="preserve"> states</w:t>
      </w:r>
      <w:r w:rsidR="00ED23D5" w:rsidRPr="00374386">
        <w:t xml:space="preserve"> that</w:t>
      </w:r>
      <w:r w:rsidRPr="00374386">
        <w:t>“</w:t>
      </w:r>
      <w:r w:rsidR="00ED23D5" w:rsidRPr="00374386">
        <w:t xml:space="preserve"> Do not impose on others what you do not wish for yourself</w:t>
      </w:r>
      <w:r w:rsidRPr="00374386">
        <w:t>”</w:t>
      </w:r>
      <w:r w:rsidR="006A3361">
        <w:rPr>
          <w:rStyle w:val="FootnoteReference"/>
        </w:rPr>
        <w:footnoteReference w:id="2"/>
      </w:r>
      <w:r w:rsidR="00ED23D5" w:rsidRPr="00374386">
        <w:t>.</w:t>
      </w:r>
      <w:r w:rsidRPr="00374386">
        <w:t xml:space="preserve"> The moral principle is not limited to Confucius</w:t>
      </w:r>
      <w:r w:rsidR="00094B03" w:rsidRPr="00374386">
        <w:t>,</w:t>
      </w:r>
      <w:r w:rsidRPr="00374386">
        <w:t xml:space="preserve"> as it </w:t>
      </w:r>
      <w:r w:rsidR="00ED23D5" w:rsidRPr="00374386">
        <w:t>exceeds</w:t>
      </w:r>
      <w:r w:rsidRPr="00374386">
        <w:t xml:space="preserve"> multiple cultures. It is also found in the New Testament of the Bible, where it states</w:t>
      </w:r>
      <w:r w:rsidR="00ED23D5" w:rsidRPr="00374386">
        <w:t xml:space="preserve"> that </w:t>
      </w:r>
      <w:r w:rsidRPr="005C0159">
        <w:rPr>
          <w:i/>
          <w:iCs/>
        </w:rPr>
        <w:t>“</w:t>
      </w:r>
      <w:r w:rsidR="00ED23D5" w:rsidRPr="005C0159">
        <w:rPr>
          <w:i/>
          <w:iCs/>
        </w:rPr>
        <w:t xml:space="preserve"> Do unto others as you would have them do unto you</w:t>
      </w:r>
      <w:r w:rsidR="00ED23D5" w:rsidRPr="00374386">
        <w:t>” (Matthew 7:12).</w:t>
      </w:r>
      <w:r w:rsidRPr="00374386">
        <w:t xml:space="preserve"> </w:t>
      </w:r>
      <w:r w:rsidR="006A3361">
        <w:rPr>
          <w:rStyle w:val="FootnoteReference"/>
        </w:rPr>
        <w:footnoteReference w:id="3"/>
      </w:r>
      <w:r w:rsidRPr="00374386">
        <w:t>The principle of compassion and moral respect is universal and transcends multiple cultures, including Buddhism, Hinduism, Islam, and Judaism.</w:t>
      </w:r>
      <w:r w:rsidR="00ED23D5" w:rsidRPr="00374386">
        <w:t xml:space="preserve"> </w:t>
      </w:r>
      <w:r w:rsidR="00374386" w:rsidRPr="00374386">
        <w:t xml:space="preserve"> </w:t>
      </w:r>
      <w:r w:rsidR="00374386">
        <w:t xml:space="preserve"> </w:t>
      </w:r>
      <w:r w:rsidR="00374386">
        <w:rPr>
          <w:shd w:val="clear" w:color="auto" w:fill="FFFFFF"/>
        </w:rPr>
        <w:t xml:space="preserve">These instances illustrate that individuals from varying cultures and periods have arrived at the same viewpoint that people ought to be treated with dignity and consideration, which shows that the principle is not a substantive religious concept but rather a value that can be integrated into everyday life. </w:t>
      </w:r>
    </w:p>
    <w:p w14:paraId="6CC1DDB4" w14:textId="3F2FE0B1" w:rsidR="00CF0E87" w:rsidRPr="00094B03" w:rsidRDefault="00CF0E87" w:rsidP="00CF0E87">
      <w:r>
        <w:rPr>
          <w:shd w:val="clear" w:color="auto" w:fill="FFFFFF"/>
        </w:rPr>
        <w:t xml:space="preserve">The Golden Rule has prompted a great deal of philosophical discourse on justice and equality, as it requires that we envision what it would be like to be treated in the </w:t>
      </w:r>
      <w:r w:rsidR="00FA7768">
        <w:rPr>
          <w:shd w:val="clear" w:color="auto" w:fill="FFFFFF"/>
        </w:rPr>
        <w:t>way</w:t>
      </w:r>
      <w:r>
        <w:rPr>
          <w:shd w:val="clear" w:color="auto" w:fill="FFFFFF"/>
        </w:rPr>
        <w:t xml:space="preserve"> that we are treating others. This leads to empathy and equity. German philosopher Immanuel Kant had a parallel concept, the categorical imperative, which states that people ought to act only in ways that they would want all other people to act</w:t>
      </w:r>
      <w:r w:rsidR="00A20DE3">
        <w:rPr>
          <w:shd w:val="clear" w:color="auto" w:fill="FFFFFF"/>
        </w:rPr>
        <w:t>.</w:t>
      </w:r>
      <w:r>
        <w:rPr>
          <w:shd w:val="clear" w:color="auto" w:fill="FFFFFF"/>
        </w:rPr>
        <w:t xml:space="preserve"> For instance, if one person is permitted to lie, and saying that a person can tell a lie is unacceptable, it will be permitted for everyone, and all trust will be eliminated</w:t>
      </w:r>
      <w:r w:rsidR="00CB0656">
        <w:rPr>
          <w:rStyle w:val="FootnoteReference"/>
          <w:shd w:val="clear" w:color="auto" w:fill="FFFFFF"/>
        </w:rPr>
        <w:footnoteReference w:id="4"/>
      </w:r>
      <w:r>
        <w:rPr>
          <w:shd w:val="clear" w:color="auto" w:fill="FFFFFF"/>
        </w:rPr>
        <w:t>. Both Kant and the Golden Rule have in mind that moral laws must be universal.</w:t>
      </w:r>
    </w:p>
    <w:p w14:paraId="64634391" w14:textId="66E187E0" w:rsidR="00BB25BB" w:rsidRDefault="00E253E6" w:rsidP="00E253E6">
      <w:pPr>
        <w:rPr>
          <w:shd w:val="clear" w:color="auto" w:fill="FFFFFF"/>
        </w:rPr>
      </w:pPr>
      <w:r>
        <w:rPr>
          <w:shd w:val="clear" w:color="auto" w:fill="FFFFFF"/>
        </w:rPr>
        <w:lastRenderedPageBreak/>
        <w:t xml:space="preserve">The Golden Rule offers a simple explanation for how we can enhance our moral decision-making in daily situations. We can think of it as a mental exercise, such as asking the question, “ </w:t>
      </w:r>
      <w:r w:rsidRPr="00E253E6">
        <w:rPr>
          <w:rFonts w:eastAsia="Times New Roman"/>
          <w:i/>
          <w:iCs/>
          <w:lang w:eastAsia="en-GB"/>
        </w:rPr>
        <w:t>Would I want this if it happened to me?</w:t>
      </w:r>
      <w:r w:rsidRPr="00E253E6">
        <w:rPr>
          <w:shd w:val="clear" w:color="auto" w:fill="FFFFFF"/>
        </w:rPr>
        <w:t>”</w:t>
      </w:r>
      <w:r>
        <w:rPr>
          <w:shd w:val="clear" w:color="auto" w:fill="FFFFFF"/>
        </w:rPr>
        <w:t xml:space="preserve"> For example, if we dislike being treated unjustly, we should ensure we do not impose injustice on others. This way, the rule raises mutual trust and cooperation. The Golden Rule adopts empathy, which is the cognitive and emotional ability to know the experience of another. Many think the rule is overly simplistic; however, philosopher Alan Tapper notes that the Golden Rule, while useful, collapses when the moral preferences of the constituents are divergent and when the moral situation becomes complicated.</w:t>
      </w:r>
      <w:r w:rsidR="006A3361">
        <w:rPr>
          <w:rStyle w:val="FootnoteReference"/>
          <w:shd w:val="clear" w:color="auto" w:fill="FFFFFF"/>
        </w:rPr>
        <w:footnoteReference w:id="5"/>
      </w:r>
      <w:r>
        <w:rPr>
          <w:shd w:val="clear" w:color="auto" w:fill="FFFFFF"/>
        </w:rPr>
        <w:t xml:space="preserve"> He argues that moral situations may require more than being empathetic and that we must also acknowledge and </w:t>
      </w:r>
      <w:r w:rsidR="00A20DE3">
        <w:rPr>
          <w:shd w:val="clear" w:color="auto" w:fill="FFFFFF"/>
        </w:rPr>
        <w:t>honor</w:t>
      </w:r>
      <w:r>
        <w:rPr>
          <w:shd w:val="clear" w:color="auto" w:fill="FFFFFF"/>
        </w:rPr>
        <w:t xml:space="preserve"> the person's moral standing.</w:t>
      </w:r>
    </w:p>
    <w:p w14:paraId="30E96ECC" w14:textId="40311810" w:rsidR="001E5023" w:rsidRPr="001E5023" w:rsidRDefault="001E5023" w:rsidP="00C35256">
      <w:pPr>
        <w:rPr>
          <w:shd w:val="clear" w:color="auto" w:fill="FFFFFF"/>
        </w:rPr>
      </w:pPr>
      <w:r w:rsidRPr="001E5023">
        <w:rPr>
          <w:shd w:val="clear" w:color="auto" w:fill="FFFFFF"/>
        </w:rPr>
        <w:t xml:space="preserve">The Golden Rule is a social and religious principle that commands universal acceptance. It promotes empathy, a prerequisite to peaceful coexistence in a community. This principle allows people to recognize that morality is not merely the avoidance of prohibited actions but also the performance of kind and commendable acts. Listening, aiding, and forgiving in the course of daily activities are appreciable actions. It </w:t>
      </w:r>
      <w:r w:rsidR="00CC66A8">
        <w:rPr>
          <w:shd w:val="clear" w:color="auto" w:fill="FFFFFF"/>
        </w:rPr>
        <w:t>encourages</w:t>
      </w:r>
      <w:r w:rsidRPr="001E5023">
        <w:rPr>
          <w:shd w:val="clear" w:color="auto" w:fill="FFFFFF"/>
        </w:rPr>
        <w:t xml:space="preserve"> social cohesion and promotes healthy interaction and mutual relations within a community.  </w:t>
      </w:r>
    </w:p>
    <w:p w14:paraId="064C5B35" w14:textId="77777777" w:rsidR="001E5023" w:rsidRPr="001E5023" w:rsidRDefault="001E5023" w:rsidP="001E5023">
      <w:pPr>
        <w:rPr>
          <w:shd w:val="clear" w:color="auto" w:fill="FFFFFF"/>
        </w:rPr>
      </w:pPr>
      <w:r w:rsidRPr="001E5023">
        <w:rPr>
          <w:shd w:val="clear" w:color="auto" w:fill="FFFFFF"/>
        </w:rPr>
        <w:t xml:space="preserve">Although simple, the Golden Rule carries significant and profound meaning in the context of human relationships. It indicates that a moral life is not only the observance of laws and the application of </w:t>
      </w:r>
      <w:r w:rsidR="00B753A7" w:rsidRPr="001E5023">
        <w:rPr>
          <w:shd w:val="clear" w:color="auto" w:fill="FFFFFF"/>
        </w:rPr>
        <w:t>disciplinary</w:t>
      </w:r>
      <w:r w:rsidRPr="001E5023">
        <w:rPr>
          <w:shd w:val="clear" w:color="auto" w:fill="FFFFFF"/>
        </w:rPr>
        <w:t xml:space="preserve"> measures. It encompasses the human feelings of empathy, consideration, and </w:t>
      </w:r>
      <w:r w:rsidR="00396D40">
        <w:rPr>
          <w:shd w:val="clear" w:color="auto" w:fill="FFFFFF"/>
        </w:rPr>
        <w:t>acknowledgement</w:t>
      </w:r>
      <w:r w:rsidRPr="001E5023">
        <w:rPr>
          <w:shd w:val="clear" w:color="auto" w:fill="FFFFFF"/>
        </w:rPr>
        <w:t xml:space="preserve"> of a fellow human being. If only more people tried to observe this one rule, the world would certainly be a more caring and just place. This is why, even to this day, the Golden Rule remains one of the best and most practicable moral principles we have.</w:t>
      </w:r>
    </w:p>
    <w:p w14:paraId="3A53C497" w14:textId="77777777" w:rsidR="00647E3C" w:rsidRDefault="00647E3C" w:rsidP="00FF4D47">
      <w:pPr>
        <w:rPr>
          <w:shd w:val="clear" w:color="auto" w:fill="FFFFFF"/>
        </w:rPr>
      </w:pPr>
    </w:p>
    <w:p w14:paraId="3AA9A182" w14:textId="77777777" w:rsidR="006A3361" w:rsidRDefault="006A3361" w:rsidP="00647E3C"/>
    <w:p w14:paraId="18A5CB1A" w14:textId="77777777" w:rsidR="006A3361" w:rsidRDefault="006A3361" w:rsidP="00647E3C"/>
    <w:p w14:paraId="0604D0F3" w14:textId="77777777" w:rsidR="006A3361" w:rsidRPr="006A3361" w:rsidRDefault="006A3361">
      <w:pPr>
        <w:spacing w:line="259" w:lineRule="auto"/>
        <w:ind w:firstLine="0"/>
        <w:jc w:val="left"/>
        <w:rPr>
          <w:b/>
        </w:rPr>
      </w:pPr>
      <w:r w:rsidRPr="006A3361">
        <w:rPr>
          <w:b/>
        </w:rPr>
        <w:lastRenderedPageBreak/>
        <w:t>References</w:t>
      </w:r>
    </w:p>
    <w:p w14:paraId="3CEBBF31" w14:textId="3EE67FAB" w:rsidR="00EE5971" w:rsidRPr="00513D2A" w:rsidRDefault="00EE5971" w:rsidP="005C0159">
      <w:pPr>
        <w:ind w:left="1440" w:hanging="720"/>
        <w:jc w:val="left"/>
      </w:pPr>
      <w:r w:rsidRPr="00513D2A">
        <w:t>Confucius, Analects, 15:23. Translated by A. Waley, 1938. London: George Allen &amp; Unwin.</w:t>
      </w:r>
    </w:p>
    <w:p w14:paraId="3B129385" w14:textId="77777777" w:rsidR="00EE5971" w:rsidRPr="00513D2A" w:rsidRDefault="00EE5971" w:rsidP="00982974">
      <w:pPr>
        <w:ind w:left="1440" w:hanging="720"/>
        <w:jc w:val="left"/>
      </w:pPr>
      <w:r w:rsidRPr="00513D2A">
        <w:t>Kant, I., 1785. Groundwork for the Metaphysics of Morals. Translated by M. Gregor, 1998. Cambridge: Cambridge University Press.</w:t>
      </w:r>
      <w:r w:rsidRPr="00513D2A">
        <w:br/>
      </w:r>
    </w:p>
    <w:p w14:paraId="527481EB" w14:textId="77777777" w:rsidR="006E3F83" w:rsidRDefault="00EE5971" w:rsidP="00982974">
      <w:pPr>
        <w:ind w:left="1440" w:hanging="720"/>
        <w:jc w:val="left"/>
        <w:rPr>
          <w:color w:val="000000" w:themeColor="text1"/>
        </w:rPr>
      </w:pPr>
      <w:r w:rsidRPr="00513D2A">
        <w:t xml:space="preserve">Tapper, A. (2022) ‘What is Wrong with the Golden Rule?’ International Journal of Applied Philosophy, 36(2), pp. 251–261. </w:t>
      </w:r>
      <w:hyperlink r:id="rId8" w:history="1">
        <w:r w:rsidRPr="00D25208">
          <w:rPr>
            <w:rStyle w:val="Hyperlink"/>
            <w:color w:val="000000" w:themeColor="text1"/>
            <w:u w:val="none"/>
          </w:rPr>
          <w:t>https://doi.org/10.5840/ijap2023717191</w:t>
        </w:r>
      </w:hyperlink>
      <w:r w:rsidRPr="00D25208">
        <w:rPr>
          <w:color w:val="000000" w:themeColor="text1"/>
        </w:rPr>
        <w:t>.</w:t>
      </w:r>
    </w:p>
    <w:p w14:paraId="28C7A473" w14:textId="77777777" w:rsidR="006E3F83" w:rsidRDefault="006E3F83" w:rsidP="00982974">
      <w:pPr>
        <w:ind w:left="1440" w:hanging="720"/>
        <w:jc w:val="left"/>
        <w:rPr>
          <w:color w:val="000000" w:themeColor="text1"/>
        </w:rPr>
      </w:pPr>
    </w:p>
    <w:p w14:paraId="7C290E09" w14:textId="77777777" w:rsidR="006E3F83" w:rsidRDefault="006E3F83" w:rsidP="006E3F83">
      <w:pPr>
        <w:ind w:left="1440" w:hanging="720"/>
        <w:jc w:val="left"/>
        <w:rPr>
          <w:color w:val="000000" w:themeColor="text1"/>
        </w:rPr>
      </w:pPr>
      <w:r w:rsidRPr="006E3F83">
        <w:rPr>
          <w:color w:val="000000" w:themeColor="text1"/>
        </w:rPr>
        <w:t xml:space="preserve">The Holy Bible, New Testament, </w:t>
      </w:r>
      <w:r w:rsidRPr="006E3F83">
        <w:rPr>
          <w:i/>
          <w:iCs/>
          <w:color w:val="000000" w:themeColor="text1"/>
        </w:rPr>
        <w:t>Matthew</w:t>
      </w:r>
      <w:r w:rsidRPr="006E3F83">
        <w:rPr>
          <w:color w:val="000000" w:themeColor="text1"/>
        </w:rPr>
        <w:t xml:space="preserve"> 7:12 (King James Version).</w:t>
      </w:r>
    </w:p>
    <w:p w14:paraId="2C387B4B" w14:textId="77777777" w:rsidR="006E3F83" w:rsidRPr="006E3F83" w:rsidRDefault="006E3F83" w:rsidP="006E3F83">
      <w:pPr>
        <w:ind w:left="1440" w:hanging="720"/>
        <w:jc w:val="left"/>
        <w:rPr>
          <w:color w:val="000000" w:themeColor="text1"/>
        </w:rPr>
      </w:pPr>
    </w:p>
    <w:p w14:paraId="16D69994" w14:textId="6B9F69EB" w:rsidR="00EE5971" w:rsidRPr="00513D2A" w:rsidRDefault="00EE5971" w:rsidP="006E3F83">
      <w:pPr>
        <w:ind w:left="1440" w:hanging="720"/>
        <w:jc w:val="left"/>
      </w:pPr>
      <w:r w:rsidRPr="00513D2A">
        <w:t>Wattles, J., 1996. The Golden Rule. New York: Oxford University Press.</w:t>
      </w:r>
    </w:p>
    <w:p w14:paraId="41CE8C32" w14:textId="77777777" w:rsidR="00254010" w:rsidRPr="004448E2" w:rsidRDefault="00254010" w:rsidP="00254010">
      <w:pPr>
        <w:rPr>
          <w:sz w:val="28"/>
          <w:szCs w:val="28"/>
        </w:rPr>
      </w:pPr>
    </w:p>
    <w:p w14:paraId="2BE5344E" w14:textId="77777777" w:rsidR="006A3361" w:rsidRDefault="006A3361">
      <w:pPr>
        <w:spacing w:line="259" w:lineRule="auto"/>
        <w:ind w:firstLine="0"/>
        <w:jc w:val="left"/>
      </w:pPr>
      <w:r>
        <w:br w:type="page"/>
      </w:r>
    </w:p>
    <w:p w14:paraId="13145B85" w14:textId="77777777" w:rsidR="006A3361" w:rsidRPr="00094B03" w:rsidRDefault="006A3361" w:rsidP="00647E3C"/>
    <w:sectPr w:rsidR="006A3361" w:rsidRPr="00094B0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D1194" w14:textId="77777777" w:rsidR="00A34714" w:rsidRDefault="00A34714" w:rsidP="00374386">
      <w:r>
        <w:separator/>
      </w:r>
    </w:p>
  </w:endnote>
  <w:endnote w:type="continuationSeparator" w:id="0">
    <w:p w14:paraId="3674D91B" w14:textId="77777777" w:rsidR="00A34714" w:rsidRDefault="00A34714" w:rsidP="00374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F068E" w14:textId="77777777" w:rsidR="00A34714" w:rsidRDefault="00A34714" w:rsidP="00374386">
      <w:r>
        <w:separator/>
      </w:r>
    </w:p>
  </w:footnote>
  <w:footnote w:type="continuationSeparator" w:id="0">
    <w:p w14:paraId="2E4196CC" w14:textId="77777777" w:rsidR="00A34714" w:rsidRDefault="00A34714" w:rsidP="00374386">
      <w:r>
        <w:continuationSeparator/>
      </w:r>
    </w:p>
  </w:footnote>
  <w:footnote w:id="1">
    <w:p w14:paraId="37F36727" w14:textId="77777777" w:rsidR="006A3361" w:rsidRDefault="006A3361">
      <w:pPr>
        <w:pStyle w:val="FootnoteText"/>
      </w:pPr>
      <w:r>
        <w:rPr>
          <w:rStyle w:val="FootnoteReference"/>
        </w:rPr>
        <w:footnoteRef/>
      </w:r>
      <w:r>
        <w:t xml:space="preserve"> </w:t>
      </w:r>
      <w:r w:rsidRPr="00FA7768">
        <w:rPr>
          <w:lang w:eastAsia="en-GB"/>
        </w:rPr>
        <w:t xml:space="preserve">Wattles, J., 1996. </w:t>
      </w:r>
      <w:r w:rsidRPr="00FA7768">
        <w:rPr>
          <w:i/>
          <w:iCs/>
          <w:lang w:eastAsia="en-GB"/>
        </w:rPr>
        <w:t>The Golden Rule.</w:t>
      </w:r>
      <w:r w:rsidRPr="00FA7768">
        <w:rPr>
          <w:lang w:eastAsia="en-GB"/>
        </w:rPr>
        <w:t xml:space="preserve"> New York: Oxford University Press</w:t>
      </w:r>
    </w:p>
  </w:footnote>
  <w:footnote w:id="2">
    <w:p w14:paraId="0FC916DE" w14:textId="77777777" w:rsidR="006A3361" w:rsidRDefault="006A3361">
      <w:pPr>
        <w:pStyle w:val="FootnoteText"/>
      </w:pPr>
      <w:r>
        <w:rPr>
          <w:rStyle w:val="FootnoteReference"/>
        </w:rPr>
        <w:footnoteRef/>
      </w:r>
      <w:r>
        <w:t xml:space="preserve"> </w:t>
      </w:r>
      <w:r>
        <w:rPr>
          <w:rFonts w:eastAsia="Times New Roman"/>
          <w:lang w:eastAsia="en-GB"/>
        </w:rPr>
        <w:t xml:space="preserve">Confucius, </w:t>
      </w:r>
      <w:r>
        <w:rPr>
          <w:rFonts w:eastAsia="Times New Roman"/>
          <w:i/>
          <w:iCs/>
          <w:lang w:eastAsia="en-GB"/>
        </w:rPr>
        <w:t>Analects,</w:t>
      </w:r>
      <w:r>
        <w:rPr>
          <w:rFonts w:eastAsia="Times New Roman"/>
          <w:lang w:eastAsia="en-GB"/>
        </w:rPr>
        <w:t xml:space="preserve"> 15:23. Translated by A. Waley, 1938. London: George Allen &amp; Unwin</w:t>
      </w:r>
    </w:p>
  </w:footnote>
  <w:footnote w:id="3">
    <w:p w14:paraId="307EF201" w14:textId="77777777" w:rsidR="006A3361" w:rsidRDefault="006A3361">
      <w:pPr>
        <w:pStyle w:val="FootnoteText"/>
      </w:pPr>
      <w:r>
        <w:rPr>
          <w:rStyle w:val="FootnoteReference"/>
        </w:rPr>
        <w:footnoteRef/>
      </w:r>
      <w:r>
        <w:t xml:space="preserve"> </w:t>
      </w:r>
      <w:bookmarkStart w:id="0" w:name="_Hlk213602991"/>
      <w:r>
        <w:rPr>
          <w:i/>
          <w:iCs/>
          <w:lang w:eastAsia="en-GB"/>
        </w:rPr>
        <w:t>The Holy Bible,</w:t>
      </w:r>
      <w:r>
        <w:rPr>
          <w:lang w:eastAsia="en-GB"/>
        </w:rPr>
        <w:t xml:space="preserve"> New Testament, </w:t>
      </w:r>
      <w:r>
        <w:rPr>
          <w:i/>
          <w:iCs/>
          <w:lang w:eastAsia="en-GB"/>
        </w:rPr>
        <w:t>Matthew</w:t>
      </w:r>
      <w:r>
        <w:rPr>
          <w:lang w:eastAsia="en-GB"/>
        </w:rPr>
        <w:t xml:space="preserve"> 7:12 (King James Version).</w:t>
      </w:r>
    </w:p>
    <w:bookmarkEnd w:id="0"/>
  </w:footnote>
  <w:footnote w:id="4">
    <w:p w14:paraId="1116E26A" w14:textId="77777777" w:rsidR="00CB0656" w:rsidRDefault="00CB0656" w:rsidP="00CB0656">
      <w:pPr>
        <w:pStyle w:val="FootnoteText"/>
      </w:pPr>
      <w:r>
        <w:rPr>
          <w:rStyle w:val="FootnoteReference"/>
        </w:rPr>
        <w:footnoteRef/>
      </w:r>
      <w:r>
        <w:t xml:space="preserve"> Kant, I., 1785. Groundwork for the Metaphysics of Morals. Translated by M. Gregor,</w:t>
      </w:r>
    </w:p>
    <w:p w14:paraId="35F8AC03" w14:textId="77777777" w:rsidR="00CB0656" w:rsidRDefault="00CB0656" w:rsidP="00CB0656">
      <w:pPr>
        <w:pStyle w:val="FootnoteText"/>
      </w:pPr>
      <w:r>
        <w:t>1998. Cambridge: Cambridge University Press.</w:t>
      </w:r>
    </w:p>
  </w:footnote>
  <w:footnote w:id="5">
    <w:p w14:paraId="1FEBCF13" w14:textId="77777777" w:rsidR="006A3361" w:rsidRDefault="006A3361">
      <w:pPr>
        <w:pStyle w:val="FootnoteText"/>
      </w:pPr>
      <w:r>
        <w:rPr>
          <w:rStyle w:val="FootnoteReference"/>
        </w:rPr>
        <w:footnoteRef/>
      </w:r>
      <w:r>
        <w:t xml:space="preserve"> </w:t>
      </w:r>
      <w:r>
        <w:rPr>
          <w:rFonts w:eastAsia="Times New Roman"/>
          <w:lang w:eastAsia="en-GB"/>
        </w:rPr>
        <w:t xml:space="preserve">Tapper, A., 2022. </w:t>
      </w:r>
      <w:r>
        <w:rPr>
          <w:rFonts w:eastAsia="Times New Roman"/>
          <w:i/>
          <w:iCs/>
          <w:lang w:eastAsia="en-GB"/>
        </w:rPr>
        <w:t>What is Wrong with the Golden Rule?</w:t>
      </w:r>
      <w:r>
        <w:rPr>
          <w:rFonts w:eastAsia="Times New Roman"/>
          <w:lang w:eastAsia="en-GB"/>
        </w:rPr>
        <w:t xml:space="preserve"> </w:t>
      </w:r>
      <w:r>
        <w:rPr>
          <w:rFonts w:eastAsia="Times New Roman"/>
          <w:i/>
          <w:iCs/>
          <w:lang w:eastAsia="en-GB"/>
        </w:rPr>
        <w:t>International Journal of Applied Philosophy,</w:t>
      </w:r>
      <w:r>
        <w:rPr>
          <w:rFonts w:eastAsia="Times New Roman"/>
          <w:lang w:eastAsia="en-GB"/>
        </w:rPr>
        <w:t xml:space="preserve"> 36(2), pp. 251–261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A3CFD"/>
    <w:multiLevelType w:val="multilevel"/>
    <w:tmpl w:val="D61C6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D947CB"/>
    <w:multiLevelType w:val="hybridMultilevel"/>
    <w:tmpl w:val="12769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340169">
    <w:abstractNumId w:val="0"/>
  </w:num>
  <w:num w:numId="2" w16cid:durableId="1065445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874"/>
    <w:rsid w:val="0000173A"/>
    <w:rsid w:val="00094B03"/>
    <w:rsid w:val="000C3CC5"/>
    <w:rsid w:val="00151E88"/>
    <w:rsid w:val="001B1107"/>
    <w:rsid w:val="001E5023"/>
    <w:rsid w:val="00254010"/>
    <w:rsid w:val="002960BF"/>
    <w:rsid w:val="00374386"/>
    <w:rsid w:val="00396D40"/>
    <w:rsid w:val="0041381A"/>
    <w:rsid w:val="0050434C"/>
    <w:rsid w:val="00513D2A"/>
    <w:rsid w:val="00594B9F"/>
    <w:rsid w:val="005C0159"/>
    <w:rsid w:val="006127F1"/>
    <w:rsid w:val="00643213"/>
    <w:rsid w:val="00647E3C"/>
    <w:rsid w:val="006A3361"/>
    <w:rsid w:val="006E3F83"/>
    <w:rsid w:val="00793B5D"/>
    <w:rsid w:val="008A1DDB"/>
    <w:rsid w:val="008A44B4"/>
    <w:rsid w:val="008C0D33"/>
    <w:rsid w:val="008E5EEC"/>
    <w:rsid w:val="00910848"/>
    <w:rsid w:val="00923562"/>
    <w:rsid w:val="00982974"/>
    <w:rsid w:val="009A6C12"/>
    <w:rsid w:val="009C650E"/>
    <w:rsid w:val="00A20DE3"/>
    <w:rsid w:val="00A34714"/>
    <w:rsid w:val="00A7198B"/>
    <w:rsid w:val="00A85A45"/>
    <w:rsid w:val="00AD20D1"/>
    <w:rsid w:val="00AE0CB9"/>
    <w:rsid w:val="00AE0CF6"/>
    <w:rsid w:val="00B33828"/>
    <w:rsid w:val="00B753A7"/>
    <w:rsid w:val="00BB25BB"/>
    <w:rsid w:val="00C3465E"/>
    <w:rsid w:val="00C35256"/>
    <w:rsid w:val="00C44274"/>
    <w:rsid w:val="00CB0656"/>
    <w:rsid w:val="00CC66A8"/>
    <w:rsid w:val="00CF0E87"/>
    <w:rsid w:val="00D25208"/>
    <w:rsid w:val="00D47A80"/>
    <w:rsid w:val="00E253E6"/>
    <w:rsid w:val="00E45203"/>
    <w:rsid w:val="00EB3018"/>
    <w:rsid w:val="00ED23D5"/>
    <w:rsid w:val="00EE5971"/>
    <w:rsid w:val="00F30AE9"/>
    <w:rsid w:val="00F74874"/>
    <w:rsid w:val="00FA7768"/>
    <w:rsid w:val="00FF4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A8DDBA"/>
  <w15:chartTrackingRefBased/>
  <w15:docId w15:val="{58C34B5F-58FE-4C89-AFFF-51BBC9B23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386"/>
    <w:pPr>
      <w:spacing w:line="360" w:lineRule="auto"/>
      <w:ind w:firstLine="720"/>
      <w:jc w:val="both"/>
    </w:pPr>
    <w:rPr>
      <w:rFonts w:ascii="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151E88"/>
    <w:pPr>
      <w:spacing w:after="0" w:line="240" w:lineRule="auto"/>
    </w:pPr>
    <w:rPr>
      <w:sz w:val="20"/>
      <w:szCs w:val="20"/>
    </w:rPr>
  </w:style>
  <w:style w:type="character" w:customStyle="1" w:styleId="EndnoteTextChar">
    <w:name w:val="Endnote Text Char"/>
    <w:basedOn w:val="DefaultParagraphFont"/>
    <w:link w:val="EndnoteText"/>
    <w:uiPriority w:val="99"/>
    <w:rsid w:val="00151E88"/>
    <w:rPr>
      <w:sz w:val="20"/>
      <w:szCs w:val="20"/>
    </w:rPr>
  </w:style>
  <w:style w:type="character" w:styleId="EndnoteReference">
    <w:name w:val="endnote reference"/>
    <w:basedOn w:val="DefaultParagraphFont"/>
    <w:uiPriority w:val="99"/>
    <w:semiHidden/>
    <w:unhideWhenUsed/>
    <w:rsid w:val="00151E88"/>
    <w:rPr>
      <w:vertAlign w:val="superscript"/>
    </w:rPr>
  </w:style>
  <w:style w:type="paragraph" w:styleId="ListParagraph">
    <w:name w:val="List Paragraph"/>
    <w:basedOn w:val="Normal"/>
    <w:uiPriority w:val="34"/>
    <w:qFormat/>
    <w:rsid w:val="00374386"/>
    <w:pPr>
      <w:ind w:left="720"/>
      <w:contextualSpacing/>
    </w:pPr>
  </w:style>
  <w:style w:type="paragraph" w:styleId="FootnoteText">
    <w:name w:val="footnote text"/>
    <w:basedOn w:val="Normal"/>
    <w:link w:val="FootnoteTextChar"/>
    <w:uiPriority w:val="99"/>
    <w:semiHidden/>
    <w:unhideWhenUsed/>
    <w:rsid w:val="006A33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336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6A3361"/>
    <w:rPr>
      <w:vertAlign w:val="superscript"/>
    </w:rPr>
  </w:style>
  <w:style w:type="paragraph" w:styleId="NormalWeb">
    <w:name w:val="Normal (Web)"/>
    <w:basedOn w:val="Normal"/>
    <w:uiPriority w:val="99"/>
    <w:unhideWhenUsed/>
    <w:rsid w:val="00254010"/>
    <w:pPr>
      <w:spacing w:before="100" w:beforeAutospacing="1" w:after="100" w:afterAutospacing="1" w:line="240" w:lineRule="auto"/>
      <w:ind w:firstLine="0"/>
      <w:jc w:val="left"/>
    </w:pPr>
    <w:rPr>
      <w:rFonts w:eastAsia="Times New Roman"/>
      <w:lang w:val="en-GB" w:eastAsia="en-GB"/>
    </w:rPr>
  </w:style>
  <w:style w:type="character" w:customStyle="1" w:styleId="url">
    <w:name w:val="url"/>
    <w:basedOn w:val="DefaultParagraphFont"/>
    <w:rsid w:val="00254010"/>
  </w:style>
  <w:style w:type="paragraph" w:styleId="BodyText">
    <w:name w:val="Body Text"/>
    <w:basedOn w:val="Normal"/>
    <w:link w:val="BodyTextChar"/>
    <w:uiPriority w:val="99"/>
    <w:unhideWhenUsed/>
    <w:rsid w:val="00254010"/>
    <w:pPr>
      <w:spacing w:after="120"/>
    </w:pPr>
  </w:style>
  <w:style w:type="character" w:customStyle="1" w:styleId="BodyTextChar">
    <w:name w:val="Body Text Char"/>
    <w:basedOn w:val="DefaultParagraphFont"/>
    <w:link w:val="BodyText"/>
    <w:uiPriority w:val="99"/>
    <w:rsid w:val="00254010"/>
    <w:rPr>
      <w:rFonts w:ascii="Times New Roman" w:hAnsi="Times New Roman" w:cs="Times New Roman"/>
      <w:sz w:val="24"/>
      <w:szCs w:val="24"/>
    </w:rPr>
  </w:style>
  <w:style w:type="paragraph" w:styleId="BodyTextIndent">
    <w:name w:val="Body Text Indent"/>
    <w:basedOn w:val="Normal"/>
    <w:link w:val="BodyTextIndentChar"/>
    <w:uiPriority w:val="99"/>
    <w:semiHidden/>
    <w:unhideWhenUsed/>
    <w:rsid w:val="00254010"/>
    <w:pPr>
      <w:spacing w:after="120"/>
      <w:ind w:left="360"/>
    </w:pPr>
  </w:style>
  <w:style w:type="character" w:customStyle="1" w:styleId="BodyTextIndentChar">
    <w:name w:val="Body Text Indent Char"/>
    <w:basedOn w:val="DefaultParagraphFont"/>
    <w:link w:val="BodyTextIndent"/>
    <w:uiPriority w:val="99"/>
    <w:semiHidden/>
    <w:rsid w:val="00254010"/>
    <w:rPr>
      <w:rFonts w:ascii="Times New Roman" w:hAnsi="Times New Roman" w:cs="Times New Roman"/>
      <w:sz w:val="24"/>
      <w:szCs w:val="24"/>
    </w:rPr>
  </w:style>
  <w:style w:type="paragraph" w:styleId="BodyTextFirstIndent2">
    <w:name w:val="Body Text First Indent 2"/>
    <w:basedOn w:val="BodyTextIndent"/>
    <w:link w:val="BodyTextFirstIndent2Char"/>
    <w:uiPriority w:val="99"/>
    <w:unhideWhenUsed/>
    <w:rsid w:val="00254010"/>
    <w:pPr>
      <w:spacing w:after="160"/>
      <w:ind w:firstLine="360"/>
    </w:pPr>
  </w:style>
  <w:style w:type="character" w:customStyle="1" w:styleId="BodyTextFirstIndent2Char">
    <w:name w:val="Body Text First Indent 2 Char"/>
    <w:basedOn w:val="BodyTextIndentChar"/>
    <w:link w:val="BodyTextFirstIndent2"/>
    <w:uiPriority w:val="99"/>
    <w:rsid w:val="00254010"/>
    <w:rPr>
      <w:rFonts w:ascii="Times New Roman" w:hAnsi="Times New Roman" w:cs="Times New Roman"/>
      <w:sz w:val="24"/>
      <w:szCs w:val="24"/>
    </w:rPr>
  </w:style>
  <w:style w:type="character" w:styleId="Hyperlink">
    <w:name w:val="Hyperlink"/>
    <w:basedOn w:val="DefaultParagraphFont"/>
    <w:uiPriority w:val="99"/>
    <w:unhideWhenUsed/>
    <w:rsid w:val="00254010"/>
    <w:rPr>
      <w:color w:val="0563C1" w:themeColor="hyperlink"/>
      <w:u w:val="single"/>
    </w:rPr>
  </w:style>
  <w:style w:type="character" w:styleId="UnresolvedMention">
    <w:name w:val="Unresolved Mention"/>
    <w:basedOn w:val="DefaultParagraphFont"/>
    <w:uiPriority w:val="99"/>
    <w:semiHidden/>
    <w:unhideWhenUsed/>
    <w:rsid w:val="002540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5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840/ijap20237171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2FB07-3853-4327-B236-0BB696ACA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697</Words>
  <Characters>4195</Characters>
  <Application>Microsoft Office Word</Application>
  <DocSecurity>0</DocSecurity>
  <Lines>57</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Alina Lis</cp:lastModifiedBy>
  <cp:revision>2</cp:revision>
  <dcterms:created xsi:type="dcterms:W3CDTF">2025-11-09T16:50:00Z</dcterms:created>
  <dcterms:modified xsi:type="dcterms:W3CDTF">2025-11-09T16:50:00Z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2c6ba9ee-fc39-4f61-9752-204190d668ec</vt:lpwstr>
  </property>
</Properties>
</file>