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59472AE" w14:textId="77777777" w:rsidR="005C040C" w:rsidRDefault="005C040C" w:rsidP="00BB63E9">
      <w:pPr>
        <w:rPr>
          <w:rFonts w:ascii="Arial" w:hAnsi="Arial" w:cs="Arial"/>
        </w:rPr>
      </w:pPr>
      <w:r w:rsidRPr="005C040C">
        <w:rPr>
          <w:rFonts w:ascii="Arial" w:hAnsi="Arial" w:cs="Arial"/>
          <w:b/>
          <w:bCs/>
          <w:sz w:val="32"/>
          <w:szCs w:val="32"/>
        </w:rPr>
        <w:t>REFERENCES</w:t>
      </w:r>
      <w:r>
        <w:rPr>
          <w:rFonts w:ascii="Arial" w:hAnsi="Arial" w:cs="Arial"/>
        </w:rPr>
        <w:t>:</w:t>
      </w:r>
    </w:p>
    <w:p w14:paraId="418C5F48" w14:textId="77777777" w:rsidR="005C040C" w:rsidRDefault="005C040C" w:rsidP="00BB63E9">
      <w:pPr>
        <w:rPr>
          <w:rFonts w:ascii="Arial" w:hAnsi="Arial" w:cs="Arial"/>
        </w:rPr>
      </w:pPr>
    </w:p>
    <w:p w14:paraId="4A9B4DD3" w14:textId="77777777" w:rsidR="00A01988" w:rsidRDefault="00A01988" w:rsidP="00BB63E9">
      <w:pPr>
        <w:rPr>
          <w:rFonts w:ascii="Arial" w:hAnsi="Arial" w:cs="Arial"/>
        </w:rPr>
      </w:pPr>
    </w:p>
    <w:p w14:paraId="43057B4F" w14:textId="77777777" w:rsidR="00A01988" w:rsidRPr="00BB63E9" w:rsidRDefault="00A01988" w:rsidP="00BB63E9">
      <w:pPr>
        <w:rPr>
          <w:rFonts w:ascii="Arial" w:hAnsi="Arial" w:cs="Arial"/>
        </w:rPr>
      </w:pPr>
    </w:p>
    <w:p w14:paraId="44584F81" w14:textId="2A4E9657" w:rsidR="00A01988" w:rsidRPr="00BB63E9" w:rsidRDefault="00A01988" w:rsidP="00BB63E9">
      <w:pPr>
        <w:rPr>
          <w:rFonts w:ascii="Arial" w:hAnsi="Arial" w:cs="Arial"/>
        </w:rPr>
      </w:pPr>
      <w:r w:rsidRPr="00A01988">
        <w:rPr>
          <w:rFonts w:ascii="Arial" w:hAnsi="Arial" w:cs="Arial"/>
          <w:color w:val="000000" w:themeColor="text1"/>
        </w:rPr>
        <w:t>ACE</w:t>
      </w:r>
      <w:r w:rsidRPr="00BB63E9">
        <w:rPr>
          <w:rFonts w:ascii="Arial" w:hAnsi="Arial" w:cs="Arial"/>
        </w:rPr>
        <w:t xml:space="preserve"> Hub Wales and Public Health Wales NHS Trust (2022) </w:t>
      </w:r>
      <w:r>
        <w:rPr>
          <w:rFonts w:ascii="Arial" w:hAnsi="Arial" w:cs="Arial"/>
        </w:rPr>
        <w:t>‘</w:t>
      </w:r>
      <w:r w:rsidRPr="00D06663">
        <w:rPr>
          <w:rFonts w:ascii="Arial" w:hAnsi="Arial" w:cs="Arial"/>
        </w:rPr>
        <w:t>Trauma-Informed Wales: A Societal Approach to Understanding</w:t>
      </w:r>
      <w:r w:rsidR="004F4775">
        <w:rPr>
          <w:rFonts w:ascii="Arial" w:hAnsi="Arial" w:cs="Arial"/>
        </w:rPr>
        <w:t xml:space="preserve">: </w:t>
      </w:r>
      <w:r w:rsidRPr="004F4775">
        <w:rPr>
          <w:rFonts w:ascii="Arial" w:hAnsi="Arial" w:cs="Arial"/>
        </w:rPr>
        <w:t>‘Preventing and Supporting the Impacts of Trauma and Adversity</w:t>
      </w:r>
      <w:r w:rsidR="004F4775">
        <w:rPr>
          <w:rFonts w:ascii="Arial" w:hAnsi="Arial" w:cs="Arial"/>
        </w:rPr>
        <w:t>’</w:t>
      </w:r>
      <w:r w:rsidRPr="00BB63E9">
        <w:rPr>
          <w:rFonts w:ascii="Arial" w:hAnsi="Arial" w:cs="Arial"/>
        </w:rPr>
        <w:t>. Available</w:t>
      </w:r>
      <w:r w:rsidRPr="004F4775">
        <w:rPr>
          <w:rFonts w:ascii="Arial" w:hAnsi="Arial" w:cs="Arial"/>
        </w:rPr>
        <w:t xml:space="preserve"> at: https://acehubwales.com/wp-content/uploads/2022/03/V11-Wales-Trauma-Informed-Approach-a</w:t>
      </w:r>
      <w:r w:rsidRPr="004F4775">
        <w:rPr>
          <w:rFonts w:ascii="Arial" w:hAnsi="Arial" w:cs="Arial"/>
        </w:rPr>
        <w:t>n</w:t>
      </w:r>
      <w:r w:rsidRPr="004F4775">
        <w:rPr>
          <w:rFonts w:ascii="Arial" w:hAnsi="Arial" w:cs="Arial"/>
        </w:rPr>
        <w:t>d-Practice-Framework-5.pdf</w:t>
      </w:r>
      <w:r w:rsidR="004F4775" w:rsidRPr="004F4775">
        <w:rPr>
          <w:rFonts w:ascii="Arial" w:hAnsi="Arial" w:cs="Arial"/>
        </w:rPr>
        <w:t>.</w:t>
      </w:r>
      <w:r w:rsidRPr="00BB63E9">
        <w:rPr>
          <w:rFonts w:ascii="Arial" w:hAnsi="Arial" w:cs="Arial"/>
        </w:rPr>
        <w:t xml:space="preserve">  (Accessed 24 November 2025).</w:t>
      </w:r>
    </w:p>
    <w:p w14:paraId="0AEEDE7C" w14:textId="709AF03D" w:rsidR="00A01988" w:rsidRPr="00BB63E9" w:rsidRDefault="00A01988" w:rsidP="00BB63E9">
      <w:pPr>
        <w:rPr>
          <w:rFonts w:ascii="Arial" w:hAnsi="Arial" w:cs="Arial"/>
        </w:rPr>
      </w:pPr>
      <w:r w:rsidRPr="00A01988">
        <w:rPr>
          <w:rFonts w:ascii="Arial" w:hAnsi="Arial" w:cs="Arial"/>
          <w:color w:val="000000" w:themeColor="text1"/>
        </w:rPr>
        <w:t>Ashton</w:t>
      </w:r>
      <w:r w:rsidRPr="00BB63E9">
        <w:rPr>
          <w:rFonts w:ascii="Arial" w:hAnsi="Arial" w:cs="Arial"/>
        </w:rPr>
        <w:t xml:space="preserve">, K., Davies, A.R., Hughes, K., Ford, K., Cotter-Roberts, A. and Bellis, M.A. (2021) ‘Adult support during childhood: A retrospective study of trusted adult relationships, sources of personal adult support and their association with childhood resilience resources’, </w:t>
      </w:r>
      <w:r w:rsidRPr="00BB63E9">
        <w:rPr>
          <w:rFonts w:ascii="Arial" w:hAnsi="Arial" w:cs="Arial"/>
          <w:i/>
          <w:iCs/>
        </w:rPr>
        <w:t>BMC Psychology</w:t>
      </w:r>
      <w:r w:rsidRPr="00BB63E9">
        <w:rPr>
          <w:rFonts w:ascii="Arial" w:hAnsi="Arial" w:cs="Arial"/>
        </w:rPr>
        <w:t xml:space="preserve">, 9(1), Article 101. Available at: </w:t>
      </w:r>
      <w:r w:rsidRPr="004F4775">
        <w:rPr>
          <w:rFonts w:ascii="Arial" w:hAnsi="Arial" w:cs="Arial"/>
        </w:rPr>
        <w:t>https://www.proqu</w:t>
      </w:r>
      <w:r w:rsidRPr="004F4775">
        <w:rPr>
          <w:rFonts w:ascii="Arial" w:hAnsi="Arial" w:cs="Arial"/>
        </w:rPr>
        <w:t>e</w:t>
      </w:r>
      <w:r w:rsidRPr="004F4775">
        <w:rPr>
          <w:rFonts w:ascii="Arial" w:hAnsi="Arial" w:cs="Arial"/>
        </w:rPr>
        <w:t>st.com/scholarly-journals/adult-support-during-childhood-retrospective/docview/2552843845/se-2</w:t>
      </w:r>
      <w:r w:rsidRPr="00BB63E9">
        <w:rPr>
          <w:rFonts w:ascii="Arial" w:hAnsi="Arial" w:cs="Arial"/>
        </w:rPr>
        <w:t xml:space="preserve">. (Accessed 14 November 2025). </w:t>
      </w:r>
    </w:p>
    <w:p w14:paraId="08D9EDA1" w14:textId="1479D92F" w:rsidR="00A01988" w:rsidRPr="00BB63E9" w:rsidRDefault="00A01988" w:rsidP="00BB63E9">
      <w:pPr>
        <w:rPr>
          <w:rFonts w:ascii="Arial" w:hAnsi="Arial" w:cs="Arial"/>
        </w:rPr>
      </w:pPr>
      <w:r w:rsidRPr="00A01988">
        <w:rPr>
          <w:rFonts w:ascii="Arial" w:hAnsi="Arial" w:cs="Arial"/>
          <w:color w:val="000000" w:themeColor="text1"/>
        </w:rPr>
        <w:t>Bellis</w:t>
      </w:r>
      <w:r w:rsidRPr="00BB63E9">
        <w:rPr>
          <w:rFonts w:ascii="Arial" w:hAnsi="Arial" w:cs="Arial"/>
        </w:rPr>
        <w:t>, M.A., Hardcastle, K., Ford, K., Hughes, K., Ashton, K., Quigg, Z. and Butler, N. (2022) ‘Does continuous trusted adult support in childhood impart life-course resilience against adverse childhood experiences</w:t>
      </w:r>
      <w:r>
        <w:rPr>
          <w:rFonts w:ascii="Arial" w:hAnsi="Arial" w:cs="Arial"/>
        </w:rPr>
        <w:t xml:space="preserve">, </w:t>
      </w:r>
      <w:r w:rsidRPr="00BB63E9">
        <w:rPr>
          <w:rFonts w:ascii="Arial" w:hAnsi="Arial" w:cs="Arial"/>
        </w:rPr>
        <w:t xml:space="preserve">a retrospective study on adult health-harming behaviours and mental well-being’, </w:t>
      </w:r>
      <w:r w:rsidRPr="00BB63E9">
        <w:rPr>
          <w:rFonts w:ascii="Arial" w:hAnsi="Arial" w:cs="Arial"/>
          <w:i/>
          <w:iCs/>
        </w:rPr>
        <w:t>BMC Psychiatry</w:t>
      </w:r>
      <w:r w:rsidRPr="00BB63E9">
        <w:rPr>
          <w:rFonts w:ascii="Arial" w:hAnsi="Arial" w:cs="Arial"/>
        </w:rPr>
        <w:t xml:space="preserve">, 17(1), Article 110. Available at: </w:t>
      </w:r>
      <w:r w:rsidR="004F4775" w:rsidRPr="004F4775">
        <w:t>https://link.springer.</w:t>
      </w:r>
      <w:r w:rsidR="004F4775" w:rsidRPr="004F4775">
        <w:t>c</w:t>
      </w:r>
      <w:r w:rsidR="004F4775" w:rsidRPr="004F4775">
        <w:t>om/article/10.1186/s12888-017-1260-z</w:t>
      </w:r>
      <w:r w:rsidR="004F4775">
        <w:t xml:space="preserve">. </w:t>
      </w:r>
      <w:r>
        <w:rPr>
          <w:rFonts w:ascii="Arial" w:hAnsi="Arial" w:cs="Arial"/>
        </w:rPr>
        <w:t xml:space="preserve"> </w:t>
      </w:r>
      <w:r w:rsidRPr="00BB63E9">
        <w:rPr>
          <w:rFonts w:ascii="Arial" w:hAnsi="Arial" w:cs="Arial"/>
        </w:rPr>
        <w:t xml:space="preserve"> (Accessed 14 November 2025). </w:t>
      </w:r>
    </w:p>
    <w:p w14:paraId="2B7DDDE8" w14:textId="4ED8601A" w:rsidR="00A01988" w:rsidRPr="00BB63E9" w:rsidRDefault="00A01988" w:rsidP="00BB63E9">
      <w:pPr>
        <w:rPr>
          <w:rFonts w:ascii="Arial" w:hAnsi="Arial" w:cs="Arial"/>
        </w:rPr>
      </w:pPr>
      <w:r w:rsidRPr="00A01988">
        <w:rPr>
          <w:rFonts w:ascii="Arial" w:hAnsi="Arial" w:cs="Arial"/>
          <w:color w:val="000000" w:themeColor="text1"/>
        </w:rPr>
        <w:t>Bellis</w:t>
      </w:r>
      <w:r w:rsidRPr="00BB63E9">
        <w:rPr>
          <w:rFonts w:ascii="Arial" w:hAnsi="Arial" w:cs="Arial"/>
        </w:rPr>
        <w:t xml:space="preserve">, M.A., Hughes, K., Ford, K., Rodriguez, G.M., Sethi, D., Passmore, J. and Hardcastle, K. (2019) ‘Life course health consequences and associated annual costs of adverse childhood experiences across Europe and North America: a systematic review and meta-analysis’, </w:t>
      </w:r>
      <w:r w:rsidRPr="00BB63E9">
        <w:rPr>
          <w:rFonts w:ascii="Arial" w:hAnsi="Arial" w:cs="Arial"/>
          <w:i/>
          <w:iCs/>
        </w:rPr>
        <w:t>The Lancet Public Health</w:t>
      </w:r>
      <w:r w:rsidRPr="00BB63E9">
        <w:rPr>
          <w:rFonts w:ascii="Arial" w:hAnsi="Arial" w:cs="Arial"/>
        </w:rPr>
        <w:t xml:space="preserve">, 4(10), </w:t>
      </w:r>
      <w:r>
        <w:rPr>
          <w:rFonts w:ascii="Arial" w:hAnsi="Arial" w:cs="Arial"/>
        </w:rPr>
        <w:t>pp.</w:t>
      </w:r>
      <w:r w:rsidRPr="00BB63E9">
        <w:rPr>
          <w:rFonts w:ascii="Arial" w:hAnsi="Arial" w:cs="Arial"/>
        </w:rPr>
        <w:t xml:space="preserve">517–528. Available at: </w:t>
      </w:r>
      <w:r w:rsidRPr="004F4775">
        <w:t>https://www.thelancet.com/journals/lanpub/article/</w:t>
      </w:r>
      <w:r w:rsidRPr="004F4775">
        <w:t>P</w:t>
      </w:r>
      <w:r w:rsidRPr="004F4775">
        <w:t>IIS2468-2667(19)30145-8/fulltext</w:t>
      </w:r>
      <w:r>
        <w:t xml:space="preserve"> </w:t>
      </w:r>
      <w:r w:rsidRPr="00BB63E9">
        <w:rPr>
          <w:rFonts w:ascii="Arial" w:hAnsi="Arial" w:cs="Arial"/>
        </w:rPr>
        <w:t>(Accessed 24 November 2025).</w:t>
      </w:r>
    </w:p>
    <w:p w14:paraId="16B6CB66" w14:textId="77777777" w:rsidR="00A01988" w:rsidRPr="00BB63E9" w:rsidRDefault="00A01988" w:rsidP="00BB63E9">
      <w:pPr>
        <w:rPr>
          <w:rFonts w:ascii="Arial" w:hAnsi="Arial" w:cs="Arial"/>
        </w:rPr>
      </w:pPr>
      <w:r w:rsidRPr="00A01988">
        <w:rPr>
          <w:rFonts w:ascii="Arial" w:hAnsi="Arial" w:cs="Arial"/>
          <w:color w:val="000000" w:themeColor="text1"/>
        </w:rPr>
        <w:t>Blaustein</w:t>
      </w:r>
      <w:r w:rsidRPr="00BB63E9">
        <w:rPr>
          <w:rFonts w:ascii="Arial" w:hAnsi="Arial" w:cs="Arial"/>
        </w:rPr>
        <w:t xml:space="preserve">, M.E. and Kinniburgh, K.M. (2019) </w:t>
      </w:r>
      <w:r w:rsidRPr="004F4775">
        <w:rPr>
          <w:rFonts w:ascii="Arial" w:hAnsi="Arial" w:cs="Arial"/>
          <w:i/>
          <w:iCs/>
        </w:rPr>
        <w:t xml:space="preserve">Treating Traumatic Stress in Children and Adolescents: </w:t>
      </w:r>
      <w:r w:rsidRPr="00BB63E9">
        <w:rPr>
          <w:rFonts w:ascii="Arial" w:hAnsi="Arial" w:cs="Arial"/>
          <w:i/>
          <w:iCs/>
        </w:rPr>
        <w:t>How to Foster Resilience through Attachment, Self-Regulation and Competency</w:t>
      </w:r>
      <w:r w:rsidRPr="00BB63E9">
        <w:rPr>
          <w:rFonts w:ascii="Arial" w:hAnsi="Arial" w:cs="Arial"/>
        </w:rPr>
        <w:t>. 2</w:t>
      </w:r>
      <w:r w:rsidRPr="00D06663">
        <w:rPr>
          <w:rFonts w:ascii="Arial" w:hAnsi="Arial" w:cs="Arial"/>
          <w:vertAlign w:val="superscript"/>
        </w:rPr>
        <w:t>nd</w:t>
      </w:r>
      <w:r w:rsidRPr="00BB63E9">
        <w:rPr>
          <w:rFonts w:ascii="Arial" w:hAnsi="Arial" w:cs="Arial"/>
        </w:rPr>
        <w:t xml:space="preserve"> edn. New York: Guilford Press.</w:t>
      </w:r>
    </w:p>
    <w:p w14:paraId="7DA5D1C8" w14:textId="77777777" w:rsidR="00A01988" w:rsidRDefault="00A01988" w:rsidP="00BB63E9">
      <w:pPr>
        <w:rPr>
          <w:rFonts w:ascii="Arial" w:hAnsi="Arial" w:cs="Arial"/>
        </w:rPr>
      </w:pPr>
      <w:r w:rsidRPr="00A01988">
        <w:rPr>
          <w:rFonts w:ascii="Arial" w:hAnsi="Arial" w:cs="Arial"/>
          <w:color w:val="000000" w:themeColor="text1"/>
        </w:rPr>
        <w:t>Bloom</w:t>
      </w:r>
      <w:r w:rsidRPr="00BB63E9">
        <w:rPr>
          <w:rFonts w:ascii="Arial" w:hAnsi="Arial" w:cs="Arial"/>
        </w:rPr>
        <w:t xml:space="preserve">, S.L. and Farragher, B. (2013) </w:t>
      </w:r>
      <w:r w:rsidRPr="004F4775">
        <w:rPr>
          <w:rFonts w:ascii="Arial" w:hAnsi="Arial" w:cs="Arial"/>
          <w:i/>
          <w:iCs/>
        </w:rPr>
        <w:t>Restoring Sanctuary: A New Operating System for Trauma-Informed Systems of Care</w:t>
      </w:r>
      <w:r w:rsidRPr="00BB63E9">
        <w:rPr>
          <w:rFonts w:ascii="Arial" w:hAnsi="Arial" w:cs="Arial"/>
        </w:rPr>
        <w:t xml:space="preserve">. </w:t>
      </w:r>
      <w:r>
        <w:rPr>
          <w:rFonts w:ascii="Arial" w:hAnsi="Arial" w:cs="Arial"/>
        </w:rPr>
        <w:t>1</w:t>
      </w:r>
      <w:r w:rsidRPr="00D06663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edn.</w:t>
      </w:r>
      <w:r w:rsidRPr="00BB63E9">
        <w:rPr>
          <w:rFonts w:ascii="Arial" w:hAnsi="Arial" w:cs="Arial"/>
        </w:rPr>
        <w:t xml:space="preserve"> Oxford University Press</w:t>
      </w:r>
    </w:p>
    <w:p w14:paraId="5D6DDBAB" w14:textId="528D7AF0" w:rsidR="00A01988" w:rsidRPr="00BB63E9" w:rsidRDefault="00A01988" w:rsidP="00BB63E9">
      <w:pPr>
        <w:rPr>
          <w:rFonts w:ascii="Arial" w:hAnsi="Arial" w:cs="Arial"/>
        </w:rPr>
      </w:pPr>
      <w:r w:rsidRPr="00A01988">
        <w:rPr>
          <w:rFonts w:ascii="Arial" w:hAnsi="Arial" w:cs="Arial"/>
          <w:color w:val="000000" w:themeColor="text1"/>
        </w:rPr>
        <w:t>Day</w:t>
      </w:r>
      <w:r w:rsidRPr="00D06663">
        <w:rPr>
          <w:rFonts w:ascii="Arial" w:hAnsi="Arial" w:cs="Arial"/>
          <w:color w:val="EE0000"/>
        </w:rPr>
        <w:t xml:space="preserve">, </w:t>
      </w:r>
      <w:r w:rsidRPr="00BB63E9">
        <w:rPr>
          <w:rFonts w:ascii="Arial" w:hAnsi="Arial" w:cs="Arial"/>
        </w:rPr>
        <w:t xml:space="preserve">A., Malvaso, C., Boyd, C., Hawkins, K. and Pilkington, R. (2023) ‘The effectiveness of trauma-informed youth justice: a discussion and review’, </w:t>
      </w:r>
      <w:r w:rsidRPr="00BB63E9">
        <w:rPr>
          <w:rFonts w:ascii="Arial" w:hAnsi="Arial" w:cs="Arial"/>
          <w:i/>
          <w:iCs/>
        </w:rPr>
        <w:t>Frontiers in Psychology</w:t>
      </w:r>
      <w:r w:rsidRPr="00BB63E9">
        <w:rPr>
          <w:rFonts w:ascii="Arial" w:hAnsi="Arial" w:cs="Arial"/>
        </w:rPr>
        <w:t xml:space="preserve">, 14, </w:t>
      </w:r>
      <w:r>
        <w:rPr>
          <w:rFonts w:ascii="Arial" w:hAnsi="Arial" w:cs="Arial"/>
        </w:rPr>
        <w:t>pp.</w:t>
      </w:r>
      <w:r w:rsidRPr="00BB63E9">
        <w:rPr>
          <w:rFonts w:ascii="Arial" w:hAnsi="Arial" w:cs="Arial"/>
        </w:rPr>
        <w:t xml:space="preserve">1157695. Available at: </w:t>
      </w:r>
      <w:r w:rsidRPr="002921A9">
        <w:t>https://www</w:t>
      </w:r>
      <w:r w:rsidRPr="002921A9">
        <w:t>.</w:t>
      </w:r>
      <w:r w:rsidRPr="002921A9">
        <w:t>frontiersin.org/journals/psychology/articles/10.3389/fpsyg.2023.1157695/full</w:t>
      </w:r>
      <w:r w:rsidR="002921A9">
        <w:t>.</w:t>
      </w:r>
      <w:r>
        <w:t xml:space="preserve"> </w:t>
      </w:r>
      <w:r w:rsidRPr="00BB63E9">
        <w:rPr>
          <w:rFonts w:ascii="Arial" w:hAnsi="Arial" w:cs="Arial"/>
        </w:rPr>
        <w:t xml:space="preserve"> (Accessed 24 November 2025).</w:t>
      </w:r>
    </w:p>
    <w:p w14:paraId="5A910C41" w14:textId="0DF2568B" w:rsidR="00A01988" w:rsidRPr="00BB63E9" w:rsidRDefault="00A01988" w:rsidP="00BB63E9">
      <w:pPr>
        <w:rPr>
          <w:rFonts w:ascii="Arial" w:hAnsi="Arial" w:cs="Arial"/>
        </w:rPr>
      </w:pPr>
      <w:r w:rsidRPr="00A01988">
        <w:rPr>
          <w:rFonts w:ascii="Arial" w:hAnsi="Arial" w:cs="Arial"/>
          <w:color w:val="000000" w:themeColor="text1"/>
        </w:rPr>
        <w:lastRenderedPageBreak/>
        <w:t>Department</w:t>
      </w:r>
      <w:r w:rsidRPr="00BB63E9">
        <w:rPr>
          <w:rFonts w:ascii="Arial" w:hAnsi="Arial" w:cs="Arial"/>
        </w:rPr>
        <w:t xml:space="preserve"> of Health and Social Care </w:t>
      </w:r>
      <w:r>
        <w:rPr>
          <w:rFonts w:ascii="Arial" w:hAnsi="Arial" w:cs="Arial"/>
        </w:rPr>
        <w:t>(</w:t>
      </w:r>
      <w:r w:rsidRPr="00BB63E9">
        <w:rPr>
          <w:rFonts w:ascii="Arial" w:hAnsi="Arial" w:cs="Arial"/>
        </w:rPr>
        <w:t>2022</w:t>
      </w:r>
      <w:r>
        <w:rPr>
          <w:rFonts w:ascii="Arial" w:hAnsi="Arial" w:cs="Arial"/>
        </w:rPr>
        <w:t xml:space="preserve">) </w:t>
      </w:r>
      <w:r w:rsidRPr="00FF249D">
        <w:rPr>
          <w:rFonts w:ascii="Arial" w:hAnsi="Arial" w:cs="Arial"/>
        </w:rPr>
        <w:t>‘Working Definition of Trauma-Informed Practice</w:t>
      </w:r>
      <w:r>
        <w:rPr>
          <w:rFonts w:ascii="Arial" w:hAnsi="Arial" w:cs="Arial"/>
        </w:rPr>
        <w:t>’,</w:t>
      </w:r>
      <w:r w:rsidRPr="00BB63E9">
        <w:rPr>
          <w:rFonts w:ascii="Arial" w:hAnsi="Arial" w:cs="Arial"/>
        </w:rPr>
        <w:t xml:space="preserve"> </w:t>
      </w:r>
      <w:r w:rsidRPr="00FF249D">
        <w:rPr>
          <w:rFonts w:ascii="Arial" w:hAnsi="Arial" w:cs="Arial"/>
          <w:i/>
          <w:iCs/>
        </w:rPr>
        <w:t>UK Government</w:t>
      </w:r>
      <w:r>
        <w:rPr>
          <w:rFonts w:ascii="Arial" w:hAnsi="Arial" w:cs="Arial"/>
        </w:rPr>
        <w:t xml:space="preserve">. Available at: </w:t>
      </w:r>
      <w:r w:rsidRPr="002921A9">
        <w:rPr>
          <w:rFonts w:ascii="Arial" w:hAnsi="Arial" w:cs="Arial"/>
        </w:rPr>
        <w:t>https://www.gov.uk/government/publications/working-de</w:t>
      </w:r>
      <w:r w:rsidRPr="002921A9">
        <w:rPr>
          <w:rFonts w:ascii="Arial" w:hAnsi="Arial" w:cs="Arial"/>
        </w:rPr>
        <w:t>f</w:t>
      </w:r>
      <w:r w:rsidRPr="002921A9">
        <w:rPr>
          <w:rFonts w:ascii="Arial" w:hAnsi="Arial" w:cs="Arial"/>
        </w:rPr>
        <w:t>inition-of-trauma-informed-practice</w:t>
      </w:r>
      <w:r w:rsidR="002921A9">
        <w:t>.</w:t>
      </w:r>
      <w:r>
        <w:rPr>
          <w:rFonts w:ascii="Arial" w:hAnsi="Arial" w:cs="Arial"/>
        </w:rPr>
        <w:t xml:space="preserve"> (Accessed 23 November 2025).</w:t>
      </w:r>
    </w:p>
    <w:p w14:paraId="0990115A" w14:textId="7BF7F41C" w:rsidR="00A01988" w:rsidRPr="00BB63E9" w:rsidRDefault="00A01988" w:rsidP="00BB63E9">
      <w:pPr>
        <w:rPr>
          <w:rFonts w:ascii="Arial" w:hAnsi="Arial" w:cs="Arial"/>
        </w:rPr>
      </w:pPr>
      <w:r w:rsidRPr="00A01988">
        <w:rPr>
          <w:rFonts w:ascii="Arial" w:hAnsi="Arial" w:cs="Arial"/>
          <w:color w:val="000000" w:themeColor="text1"/>
        </w:rPr>
        <w:t>Early</w:t>
      </w:r>
      <w:r w:rsidRPr="00BB63E9">
        <w:rPr>
          <w:rFonts w:ascii="Arial" w:hAnsi="Arial" w:cs="Arial"/>
        </w:rPr>
        <w:t xml:space="preserve"> Intervention Foundation (2020) </w:t>
      </w:r>
      <w:r w:rsidRPr="00BB63E9">
        <w:rPr>
          <w:rFonts w:ascii="Arial" w:hAnsi="Arial" w:cs="Arial"/>
          <w:i/>
          <w:iCs/>
        </w:rPr>
        <w:t>Adverse childhood experiences: What we know, what we don’t know, and what should happen next</w:t>
      </w:r>
      <w:r w:rsidRPr="00BB63E9">
        <w:rPr>
          <w:rFonts w:ascii="Arial" w:hAnsi="Arial" w:cs="Arial"/>
        </w:rPr>
        <w:t xml:space="preserve">. Available at: </w:t>
      </w:r>
      <w:r w:rsidRPr="002921A9">
        <w:rPr>
          <w:rFonts w:ascii="Arial" w:hAnsi="Arial" w:cs="Arial"/>
        </w:rPr>
        <w:t>https://www.eif.org.uk/report/adverse-childhood-experiences-what-we-know-what-we-dont-know-and-wh</w:t>
      </w:r>
      <w:r w:rsidRPr="002921A9">
        <w:rPr>
          <w:rFonts w:ascii="Arial" w:hAnsi="Arial" w:cs="Arial"/>
        </w:rPr>
        <w:t>a</w:t>
      </w:r>
      <w:r w:rsidRPr="002921A9">
        <w:rPr>
          <w:rFonts w:ascii="Arial" w:hAnsi="Arial" w:cs="Arial"/>
        </w:rPr>
        <w:t>t-should-happen-next</w:t>
      </w:r>
      <w:r w:rsidR="002921A9">
        <w:rPr>
          <w:rFonts w:ascii="Arial" w:hAnsi="Arial" w:cs="Arial"/>
        </w:rPr>
        <w:t>.</w:t>
      </w:r>
      <w:r w:rsidRPr="00BB63E9">
        <w:rPr>
          <w:rFonts w:ascii="Arial" w:hAnsi="Arial" w:cs="Arial"/>
        </w:rPr>
        <w:t xml:space="preserve"> (Accessed 24 November 2025).</w:t>
      </w:r>
    </w:p>
    <w:p w14:paraId="76F66735" w14:textId="6F0BED72" w:rsidR="00A01988" w:rsidRPr="00BB63E9" w:rsidRDefault="00A01988" w:rsidP="00BB63E9">
      <w:pPr>
        <w:rPr>
          <w:rFonts w:ascii="Arial" w:hAnsi="Arial" w:cs="Arial"/>
        </w:rPr>
      </w:pPr>
      <w:r w:rsidRPr="00A01988">
        <w:rPr>
          <w:rFonts w:ascii="Arial" w:hAnsi="Arial" w:cs="Arial"/>
          <w:color w:val="000000" w:themeColor="text1"/>
        </w:rPr>
        <w:t>Hickle</w:t>
      </w:r>
      <w:r w:rsidRPr="00BB63E9">
        <w:rPr>
          <w:rFonts w:ascii="Arial" w:hAnsi="Arial" w:cs="Arial"/>
        </w:rPr>
        <w:t xml:space="preserve">, K. (2020) ‘Introducing a trauma-informed capability approach in youth services’, </w:t>
      </w:r>
      <w:r w:rsidRPr="00BB63E9">
        <w:rPr>
          <w:rFonts w:ascii="Arial" w:hAnsi="Arial" w:cs="Arial"/>
          <w:i/>
          <w:iCs/>
        </w:rPr>
        <w:t>Child and Adolescent Social Work Journal</w:t>
      </w:r>
      <w:r w:rsidRPr="00BB63E9">
        <w:rPr>
          <w:rFonts w:ascii="Arial" w:hAnsi="Arial" w:cs="Arial"/>
        </w:rPr>
        <w:t xml:space="preserve">, 33(4), pp. 303–312. Available at </w:t>
      </w:r>
      <w:r w:rsidRPr="002921A9">
        <w:rPr>
          <w:rFonts w:ascii="Arial" w:hAnsi="Arial" w:cs="Arial"/>
        </w:rPr>
        <w:t>https://onlinelibrary.wiley.com/</w:t>
      </w:r>
      <w:r w:rsidRPr="002921A9">
        <w:rPr>
          <w:rFonts w:ascii="Arial" w:hAnsi="Arial" w:cs="Arial"/>
        </w:rPr>
        <w:t>d</w:t>
      </w:r>
      <w:r w:rsidRPr="002921A9">
        <w:rPr>
          <w:rFonts w:ascii="Arial" w:hAnsi="Arial" w:cs="Arial"/>
        </w:rPr>
        <w:t>oi/10.1111/chso</w:t>
      </w:r>
      <w:r w:rsidRPr="002921A9">
        <w:rPr>
          <w:rFonts w:ascii="Arial" w:hAnsi="Arial" w:cs="Arial"/>
        </w:rPr>
        <w:t>.</w:t>
      </w:r>
      <w:r w:rsidRPr="002921A9">
        <w:rPr>
          <w:rFonts w:ascii="Arial" w:hAnsi="Arial" w:cs="Arial"/>
        </w:rPr>
        <w:t>12388</w:t>
      </w:r>
      <w:r w:rsidRPr="00BB63E9">
        <w:rPr>
          <w:rFonts w:ascii="Arial" w:hAnsi="Arial" w:cs="Arial"/>
        </w:rPr>
        <w:t xml:space="preserve">  (Accessed 2</w:t>
      </w:r>
      <w:r>
        <w:rPr>
          <w:rFonts w:ascii="Arial" w:hAnsi="Arial" w:cs="Arial"/>
        </w:rPr>
        <w:t>3</w:t>
      </w:r>
      <w:r w:rsidRPr="00BB63E9">
        <w:rPr>
          <w:rFonts w:ascii="Arial" w:hAnsi="Arial" w:cs="Arial"/>
        </w:rPr>
        <w:t xml:space="preserve"> November 2025).</w:t>
      </w:r>
    </w:p>
    <w:p w14:paraId="65E26153" w14:textId="32836847" w:rsidR="00A01988" w:rsidRPr="00BB63E9" w:rsidRDefault="00A01988" w:rsidP="00BB63E9">
      <w:pPr>
        <w:rPr>
          <w:rFonts w:ascii="Arial" w:hAnsi="Arial" w:cs="Arial"/>
        </w:rPr>
      </w:pPr>
      <w:r w:rsidRPr="00A01988">
        <w:rPr>
          <w:rFonts w:ascii="Arial" w:hAnsi="Arial" w:cs="Arial"/>
          <w:color w:val="000000" w:themeColor="text1"/>
        </w:rPr>
        <w:t>Hughes</w:t>
      </w:r>
      <w:r w:rsidRPr="00BB63E9">
        <w:rPr>
          <w:rFonts w:ascii="Arial" w:hAnsi="Arial" w:cs="Arial"/>
        </w:rPr>
        <w:t xml:space="preserve">, K. and Beighle, A. (2020) </w:t>
      </w:r>
      <w:r w:rsidRPr="00AA3965">
        <w:rPr>
          <w:rFonts w:ascii="Arial" w:hAnsi="Arial" w:cs="Arial"/>
        </w:rPr>
        <w:t>‘Supporting children and young people after potentially traumatic events</w:t>
      </w:r>
      <w:r w:rsidR="002921A9">
        <w:rPr>
          <w:rFonts w:ascii="Arial" w:hAnsi="Arial" w:cs="Arial"/>
        </w:rPr>
        <w:t>’</w:t>
      </w:r>
      <w:r>
        <w:rPr>
          <w:rFonts w:ascii="Arial" w:hAnsi="Arial" w:cs="Arial"/>
        </w:rPr>
        <w:t xml:space="preserve">, </w:t>
      </w:r>
      <w:r w:rsidRPr="00AA3965">
        <w:rPr>
          <w:rFonts w:ascii="Arial" w:hAnsi="Arial" w:cs="Arial"/>
          <w:i/>
          <w:iCs/>
        </w:rPr>
        <w:t>UK Trauma Council</w:t>
      </w:r>
      <w:r w:rsidRPr="00BB63E9">
        <w:rPr>
          <w:rFonts w:ascii="Arial" w:hAnsi="Arial" w:cs="Arial"/>
        </w:rPr>
        <w:t xml:space="preserve">. Available at: </w:t>
      </w:r>
      <w:r w:rsidRPr="002921A9">
        <w:t>https://uktraumacoun</w:t>
      </w:r>
      <w:r w:rsidRPr="002921A9">
        <w:t>c</w:t>
      </w:r>
      <w:r w:rsidRPr="002921A9">
        <w:t>il.link/documents/UKTC_Supporting_after_event.pdf</w:t>
      </w:r>
      <w:r>
        <w:t xml:space="preserve"> (Accessed 24 November 2025).</w:t>
      </w:r>
    </w:p>
    <w:p w14:paraId="38BC9DC5" w14:textId="417BFEF1" w:rsidR="00A01988" w:rsidRPr="00BB63E9" w:rsidRDefault="00A01988" w:rsidP="00BB63E9">
      <w:pPr>
        <w:rPr>
          <w:rFonts w:ascii="Arial" w:hAnsi="Arial" w:cs="Arial"/>
        </w:rPr>
      </w:pPr>
      <w:r w:rsidRPr="00A01988">
        <w:rPr>
          <w:rFonts w:ascii="Arial" w:hAnsi="Arial" w:cs="Arial"/>
          <w:color w:val="000000" w:themeColor="text1"/>
        </w:rPr>
        <w:t>McCrory</w:t>
      </w:r>
      <w:r w:rsidRPr="00F671CE">
        <w:rPr>
          <w:rFonts w:ascii="Arial" w:hAnsi="Arial" w:cs="Arial"/>
          <w:color w:val="EE0000"/>
        </w:rPr>
        <w:t xml:space="preserve">, </w:t>
      </w:r>
      <w:r w:rsidRPr="00BB63E9">
        <w:rPr>
          <w:rFonts w:ascii="Arial" w:hAnsi="Arial" w:cs="Arial"/>
        </w:rPr>
        <w:t xml:space="preserve">E.J., Gerin, M.I. and Viding, E. (2017) ‘Annual Research Review: Childhood maltreatment, latent vulnerability and the shift to preventative psychiatry – the contribution of functional brain imaging’, </w:t>
      </w:r>
      <w:r w:rsidRPr="00BB63E9">
        <w:rPr>
          <w:rFonts w:ascii="Arial" w:hAnsi="Arial" w:cs="Arial"/>
          <w:i/>
          <w:iCs/>
        </w:rPr>
        <w:t>Journal of Child Psychology and Psychiatry</w:t>
      </w:r>
      <w:r w:rsidRPr="00BB63E9">
        <w:rPr>
          <w:rFonts w:ascii="Arial" w:hAnsi="Arial" w:cs="Arial"/>
        </w:rPr>
        <w:t xml:space="preserve">, 58(4), pp. 338–357. Available at: </w:t>
      </w:r>
      <w:r w:rsidR="00CE2D3F" w:rsidRPr="00CE2D3F">
        <w:rPr>
          <w:rFonts w:ascii="Arial" w:hAnsi="Arial" w:cs="Arial"/>
        </w:rPr>
        <w:t>https://doi.org/10.1111</w:t>
      </w:r>
      <w:r w:rsidR="00CE2D3F" w:rsidRPr="00CE2D3F">
        <w:rPr>
          <w:rFonts w:ascii="Arial" w:hAnsi="Arial" w:cs="Arial"/>
        </w:rPr>
        <w:t>/</w:t>
      </w:r>
      <w:r w:rsidR="00CE2D3F" w:rsidRPr="00CE2D3F">
        <w:rPr>
          <w:rFonts w:ascii="Arial" w:hAnsi="Arial" w:cs="Arial"/>
        </w:rPr>
        <w:t>jcpp.12713</w:t>
      </w:r>
      <w:r w:rsidR="00CE2D3F">
        <w:t>.</w:t>
      </w:r>
      <w:r w:rsidRPr="00BB63E9">
        <w:rPr>
          <w:rFonts w:ascii="Arial" w:hAnsi="Arial" w:cs="Arial"/>
        </w:rPr>
        <w:t xml:space="preserve"> (Accessed 14 November 2025). </w:t>
      </w:r>
    </w:p>
    <w:p w14:paraId="36FD68A2" w14:textId="38EC3427" w:rsidR="00A01988" w:rsidRDefault="00A01988" w:rsidP="00BB63E9">
      <w:pPr>
        <w:rPr>
          <w:rFonts w:ascii="Arial" w:hAnsi="Arial" w:cs="Arial"/>
        </w:rPr>
      </w:pPr>
      <w:r w:rsidRPr="00A01988">
        <w:rPr>
          <w:rFonts w:ascii="Arial" w:hAnsi="Arial" w:cs="Arial"/>
          <w:color w:val="000000" w:themeColor="text1"/>
        </w:rPr>
        <w:t>Murphy, A., Steele, M. and Steele, H. (2022</w:t>
      </w:r>
      <w:r w:rsidR="00CE2D3F" w:rsidRPr="00A01988">
        <w:rPr>
          <w:rFonts w:ascii="Arial" w:hAnsi="Arial" w:cs="Arial"/>
          <w:color w:val="000000" w:themeColor="text1"/>
        </w:rPr>
        <w:t xml:space="preserve">) </w:t>
      </w:r>
      <w:r w:rsidR="00CE2D3F" w:rsidRPr="00CE2D3F">
        <w:rPr>
          <w:rFonts w:ascii="Arial" w:hAnsi="Arial" w:cs="Arial"/>
          <w:color w:val="000000" w:themeColor="text1"/>
        </w:rPr>
        <w:t>‘</w:t>
      </w:r>
      <w:r w:rsidR="00CE2D3F" w:rsidRPr="00CE2D3F">
        <w:rPr>
          <w:rFonts w:ascii="Arial" w:hAnsi="Arial" w:cs="Arial"/>
          <w:color w:val="000000" w:themeColor="text1"/>
        </w:rPr>
        <w:t>Bringing Reflective Functioning to the Community: Aspects of psychotherapy process in the Group Attachment Based Intervention’, </w:t>
      </w:r>
      <w:r w:rsidR="00CE2D3F" w:rsidRPr="00CE2D3F">
        <w:rPr>
          <w:rFonts w:ascii="Arial" w:hAnsi="Arial" w:cs="Arial"/>
          <w:i/>
          <w:iCs/>
          <w:color w:val="000000" w:themeColor="text1"/>
        </w:rPr>
        <w:t>The Psychoanalytic Study of the Child</w:t>
      </w:r>
      <w:r w:rsidR="00CE2D3F" w:rsidRPr="00CE2D3F">
        <w:rPr>
          <w:rFonts w:ascii="Arial" w:hAnsi="Arial" w:cs="Arial"/>
          <w:color w:val="000000" w:themeColor="text1"/>
        </w:rPr>
        <w:t>, 75(1), pp. 299–</w:t>
      </w:r>
      <w:r w:rsidR="000D534D" w:rsidRPr="00CE2D3F">
        <w:rPr>
          <w:rFonts w:ascii="Arial" w:hAnsi="Arial" w:cs="Arial"/>
          <w:color w:val="000000" w:themeColor="text1"/>
        </w:rPr>
        <w:t>314.</w:t>
      </w:r>
      <w:r w:rsidRPr="001025A4">
        <w:rPr>
          <w:rFonts w:ascii="Arial" w:hAnsi="Arial" w:cs="Arial"/>
          <w:color w:val="EE0000"/>
        </w:rPr>
        <w:t xml:space="preserve"> </w:t>
      </w:r>
      <w:r w:rsidRPr="00BB63E9">
        <w:rPr>
          <w:rFonts w:ascii="Arial" w:hAnsi="Arial" w:cs="Arial"/>
        </w:rPr>
        <w:t>Available at</w:t>
      </w:r>
      <w:r w:rsidRPr="000D534D">
        <w:rPr>
          <w:rFonts w:ascii="Arial" w:hAnsi="Arial" w:cs="Arial"/>
        </w:rPr>
        <w:t>:  </w:t>
      </w:r>
      <w:r w:rsidR="000D534D" w:rsidRPr="000D534D">
        <w:rPr>
          <w:rFonts w:ascii="Arial" w:hAnsi="Arial" w:cs="Arial"/>
        </w:rPr>
        <w:t>https://doi-org.ezproxy.uwtsd.ac.uk/10.1080/00797308.2021.20</w:t>
      </w:r>
      <w:r w:rsidR="000D534D" w:rsidRPr="000D534D">
        <w:rPr>
          <w:rFonts w:ascii="Arial" w:hAnsi="Arial" w:cs="Arial"/>
        </w:rPr>
        <w:t>2</w:t>
      </w:r>
      <w:r w:rsidR="000D534D" w:rsidRPr="000D534D">
        <w:rPr>
          <w:rFonts w:ascii="Arial" w:hAnsi="Arial" w:cs="Arial"/>
        </w:rPr>
        <w:t>2417</w:t>
      </w:r>
      <w:r w:rsidR="000D534D">
        <w:rPr>
          <w:rFonts w:ascii="Arial" w:hAnsi="Arial" w:cs="Arial"/>
        </w:rPr>
        <w:t>.</w:t>
      </w:r>
      <w:r w:rsidRPr="00BB63E9">
        <w:rPr>
          <w:rFonts w:ascii="Arial" w:hAnsi="Arial" w:cs="Arial"/>
        </w:rPr>
        <w:t xml:space="preserve"> (Accessed 14 November 2025).</w:t>
      </w:r>
    </w:p>
    <w:p w14:paraId="32A3CF11" w14:textId="4D90D4DE" w:rsidR="00A01988" w:rsidRDefault="00A01988" w:rsidP="00BB63E9">
      <w:pPr>
        <w:rPr>
          <w:rFonts w:ascii="Arial" w:hAnsi="Arial" w:cs="Arial"/>
        </w:rPr>
      </w:pPr>
      <w:r w:rsidRPr="00A01988">
        <w:rPr>
          <w:rFonts w:ascii="Arial" w:hAnsi="Arial" w:cs="Arial"/>
          <w:color w:val="000000" w:themeColor="text1"/>
        </w:rPr>
        <w:t>NHS</w:t>
      </w:r>
      <w:r w:rsidRPr="00BB63E9">
        <w:rPr>
          <w:rFonts w:ascii="Arial" w:hAnsi="Arial" w:cs="Arial"/>
        </w:rPr>
        <w:t xml:space="preserve"> Education for Scotland (2021) </w:t>
      </w:r>
      <w:r w:rsidR="00AA26B4">
        <w:rPr>
          <w:rFonts w:ascii="Arial" w:hAnsi="Arial" w:cs="Arial"/>
        </w:rPr>
        <w:t>‘</w:t>
      </w:r>
      <w:r w:rsidRPr="00F75CE1">
        <w:rPr>
          <w:rFonts w:ascii="Arial" w:hAnsi="Arial" w:cs="Arial"/>
        </w:rPr>
        <w:t>Transforming Psychological Trauma: A Knowledge and Skills Framework for the Scottish Workforce</w:t>
      </w:r>
      <w:r w:rsidR="00AA26B4">
        <w:rPr>
          <w:rFonts w:ascii="Arial" w:hAnsi="Arial" w:cs="Arial"/>
        </w:rPr>
        <w:t>’</w:t>
      </w:r>
      <w:r w:rsidRPr="00F75CE1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</w:t>
      </w:r>
      <w:r w:rsidRPr="00F75CE1">
        <w:rPr>
          <w:rFonts w:ascii="Arial" w:hAnsi="Arial" w:cs="Arial"/>
          <w:i/>
          <w:iCs/>
        </w:rPr>
        <w:t>Education for Scotland</w:t>
      </w:r>
      <w:r>
        <w:rPr>
          <w:rFonts w:ascii="Arial" w:hAnsi="Arial" w:cs="Arial"/>
        </w:rPr>
        <w:t>.</w:t>
      </w:r>
      <w:r w:rsidRPr="00BB63E9">
        <w:rPr>
          <w:rFonts w:ascii="Arial" w:hAnsi="Arial" w:cs="Arial"/>
        </w:rPr>
        <w:t xml:space="preserve"> Available at:  </w:t>
      </w:r>
      <w:r w:rsidRPr="00AA26B4">
        <w:rPr>
          <w:rFonts w:ascii="Arial" w:hAnsi="Arial" w:cs="Arial"/>
        </w:rPr>
        <w:t>https://traumatransformation.scot/app/uploads/2023/09/nationaltraumatrainingframework-final.pdf</w:t>
      </w:r>
      <w:r w:rsidR="00AA26B4">
        <w:t>.</w:t>
      </w:r>
      <w:r w:rsidRPr="00BB63E9">
        <w:rPr>
          <w:rFonts w:ascii="Arial" w:hAnsi="Arial" w:cs="Arial"/>
        </w:rPr>
        <w:t xml:space="preserve">  (Accessed: 24 November 2025).</w:t>
      </w:r>
    </w:p>
    <w:p w14:paraId="514B8C34" w14:textId="50DB7DD9" w:rsidR="00A01988" w:rsidRPr="00BB63E9" w:rsidRDefault="00A01988" w:rsidP="00BB63E9">
      <w:pPr>
        <w:rPr>
          <w:rFonts w:ascii="Arial" w:hAnsi="Arial" w:cs="Arial"/>
        </w:rPr>
      </w:pPr>
      <w:r w:rsidRPr="00A01988">
        <w:rPr>
          <w:rFonts w:ascii="Arial" w:hAnsi="Arial" w:cs="Arial"/>
          <w:color w:val="000000" w:themeColor="text1"/>
        </w:rPr>
        <w:t>Office</w:t>
      </w:r>
      <w:r w:rsidRPr="00BB63E9">
        <w:rPr>
          <w:rFonts w:ascii="Arial" w:hAnsi="Arial" w:cs="Arial"/>
        </w:rPr>
        <w:t xml:space="preserve"> for Health Improvements and Disparities (2022) </w:t>
      </w:r>
      <w:r w:rsidR="00AA26B4">
        <w:rPr>
          <w:rFonts w:ascii="Arial" w:hAnsi="Arial" w:cs="Arial"/>
        </w:rPr>
        <w:t>‘</w:t>
      </w:r>
      <w:r w:rsidRPr="00F75CE1">
        <w:rPr>
          <w:rFonts w:ascii="Arial" w:hAnsi="Arial" w:cs="Arial"/>
        </w:rPr>
        <w:t>Working definition of trauma-informed practice</w:t>
      </w:r>
      <w:r w:rsidR="00AA26B4">
        <w:rPr>
          <w:rFonts w:ascii="Arial" w:hAnsi="Arial" w:cs="Arial"/>
        </w:rPr>
        <w:t>’</w:t>
      </w:r>
      <w:r w:rsidRPr="00F75CE1">
        <w:rPr>
          <w:rFonts w:ascii="Arial" w:hAnsi="Arial" w:cs="Arial"/>
        </w:rPr>
        <w:t>.</w:t>
      </w:r>
      <w:r w:rsidRPr="00BB63E9">
        <w:rPr>
          <w:rFonts w:ascii="Arial" w:hAnsi="Arial" w:cs="Arial"/>
        </w:rPr>
        <w:t xml:space="preserve"> </w:t>
      </w:r>
      <w:r w:rsidRPr="00F75CE1">
        <w:rPr>
          <w:rFonts w:ascii="Arial" w:hAnsi="Arial" w:cs="Arial"/>
          <w:i/>
          <w:iCs/>
        </w:rPr>
        <w:t>Gov UK</w:t>
      </w:r>
      <w:r>
        <w:rPr>
          <w:rFonts w:ascii="Arial" w:hAnsi="Arial" w:cs="Arial"/>
        </w:rPr>
        <w:t xml:space="preserve">. </w:t>
      </w:r>
      <w:r w:rsidRPr="00BB63E9">
        <w:rPr>
          <w:rFonts w:ascii="Arial" w:hAnsi="Arial" w:cs="Arial"/>
        </w:rPr>
        <w:t xml:space="preserve">Available at: </w:t>
      </w:r>
      <w:r w:rsidRPr="00AA26B4">
        <w:rPr>
          <w:rFonts w:ascii="Arial" w:hAnsi="Arial" w:cs="Arial"/>
        </w:rPr>
        <w:t>https://www.gov.uk/government/publications/working-definition-of-trauma-informed-practice/working-definiti</w:t>
      </w:r>
      <w:r w:rsidRPr="00AA26B4">
        <w:rPr>
          <w:rFonts w:ascii="Arial" w:hAnsi="Arial" w:cs="Arial"/>
        </w:rPr>
        <w:t>o</w:t>
      </w:r>
      <w:r w:rsidRPr="00AA26B4">
        <w:rPr>
          <w:rFonts w:ascii="Arial" w:hAnsi="Arial" w:cs="Arial"/>
        </w:rPr>
        <w:t>n-of-trauma-informed-practice</w:t>
      </w:r>
      <w:r w:rsidR="00AA26B4">
        <w:t>.</w:t>
      </w:r>
      <w:r>
        <w:t xml:space="preserve"> </w:t>
      </w:r>
      <w:r w:rsidRPr="00BB63E9">
        <w:rPr>
          <w:rFonts w:ascii="Arial" w:hAnsi="Arial" w:cs="Arial"/>
        </w:rPr>
        <w:t>(Accessed</w:t>
      </w:r>
      <w:r>
        <w:rPr>
          <w:rFonts w:ascii="Arial" w:hAnsi="Arial" w:cs="Arial"/>
        </w:rPr>
        <w:t xml:space="preserve"> </w:t>
      </w:r>
      <w:r w:rsidRPr="00BB63E9">
        <w:rPr>
          <w:rFonts w:ascii="Arial" w:hAnsi="Arial" w:cs="Arial"/>
        </w:rPr>
        <w:t>24 November 2025).</w:t>
      </w:r>
    </w:p>
    <w:p w14:paraId="5A4E763D" w14:textId="77777777" w:rsidR="00A01988" w:rsidRPr="00BB63E9" w:rsidRDefault="00A01988" w:rsidP="00BB63E9">
      <w:pPr>
        <w:rPr>
          <w:rFonts w:ascii="Arial" w:hAnsi="Arial" w:cs="Arial"/>
        </w:rPr>
      </w:pPr>
      <w:r w:rsidRPr="00BB63E9">
        <w:rPr>
          <w:rFonts w:ascii="Arial" w:hAnsi="Arial" w:cs="Arial"/>
        </w:rPr>
        <w:t xml:space="preserve">Perry, B.D. and Szalavitz, M. (2017) </w:t>
      </w:r>
      <w:r w:rsidRPr="00BB63E9">
        <w:rPr>
          <w:rFonts w:ascii="Arial" w:hAnsi="Arial" w:cs="Arial"/>
          <w:i/>
          <w:iCs/>
        </w:rPr>
        <w:t>The Boy Who Was Raised as a Dog</w:t>
      </w:r>
      <w:r w:rsidRPr="00BB63E9">
        <w:rPr>
          <w:rFonts w:ascii="Arial" w:hAnsi="Arial" w:cs="Arial"/>
        </w:rPr>
        <w:t>. 3</w:t>
      </w:r>
      <w:r>
        <w:rPr>
          <w:rFonts w:ascii="Arial" w:hAnsi="Arial" w:cs="Arial"/>
          <w:vertAlign w:val="superscript"/>
        </w:rPr>
        <w:t>rd</w:t>
      </w:r>
      <w:r w:rsidRPr="00BB63E9">
        <w:rPr>
          <w:rFonts w:ascii="Arial" w:hAnsi="Arial" w:cs="Arial"/>
        </w:rPr>
        <w:t xml:space="preserve"> edn. New York: Basic Books</w:t>
      </w:r>
      <w:r>
        <w:rPr>
          <w:rFonts w:ascii="Arial" w:hAnsi="Arial" w:cs="Arial"/>
        </w:rPr>
        <w:t>.</w:t>
      </w:r>
    </w:p>
    <w:p w14:paraId="0F1AE9B7" w14:textId="52E2F1E9" w:rsidR="00A01988" w:rsidRPr="00BB63E9" w:rsidRDefault="00A01988" w:rsidP="00BB63E9">
      <w:pPr>
        <w:rPr>
          <w:rFonts w:ascii="Arial" w:hAnsi="Arial" w:cs="Arial"/>
        </w:rPr>
      </w:pPr>
      <w:r w:rsidRPr="00A01988">
        <w:rPr>
          <w:rFonts w:ascii="Arial" w:hAnsi="Arial" w:cs="Arial"/>
          <w:color w:val="000000" w:themeColor="text1"/>
        </w:rPr>
        <w:lastRenderedPageBreak/>
        <w:t>Sweetman</w:t>
      </w:r>
      <w:r w:rsidRPr="00BB63E9">
        <w:rPr>
          <w:rFonts w:ascii="Arial" w:hAnsi="Arial" w:cs="Arial"/>
        </w:rPr>
        <w:t>, N</w:t>
      </w:r>
      <w:r>
        <w:rPr>
          <w:rFonts w:ascii="Arial" w:hAnsi="Arial" w:cs="Arial"/>
        </w:rPr>
        <w:t>. (</w:t>
      </w:r>
      <w:r w:rsidRPr="00BB63E9">
        <w:rPr>
          <w:rFonts w:ascii="Arial" w:hAnsi="Arial" w:cs="Arial"/>
        </w:rPr>
        <w:t>2022</w:t>
      </w:r>
      <w:r>
        <w:rPr>
          <w:rFonts w:ascii="Arial" w:hAnsi="Arial" w:cs="Arial"/>
        </w:rPr>
        <w:t>)</w:t>
      </w:r>
      <w:r w:rsidRPr="00BB63E9">
        <w:rPr>
          <w:rFonts w:ascii="Arial" w:hAnsi="Arial" w:cs="Arial"/>
        </w:rPr>
        <w:t xml:space="preserve"> ‘What Is a Trauma Informed Classroom? What Are the Benefits and Challenges Involved?’, </w:t>
      </w:r>
      <w:r w:rsidRPr="00BB63E9">
        <w:rPr>
          <w:rFonts w:ascii="Arial" w:hAnsi="Arial" w:cs="Arial"/>
          <w:i/>
          <w:iCs/>
        </w:rPr>
        <w:t>Frontiers in Education</w:t>
      </w:r>
      <w:r w:rsidRPr="00BB63E9">
        <w:rPr>
          <w:rFonts w:ascii="Arial" w:hAnsi="Arial" w:cs="Arial"/>
        </w:rPr>
        <w:t xml:space="preserve">, vol. 7, </w:t>
      </w:r>
      <w:r>
        <w:rPr>
          <w:rFonts w:ascii="Arial" w:hAnsi="Arial" w:cs="Arial"/>
        </w:rPr>
        <w:t>pp.</w:t>
      </w:r>
      <w:r w:rsidRPr="00BB63E9">
        <w:rPr>
          <w:rFonts w:ascii="Arial" w:hAnsi="Arial" w:cs="Arial"/>
        </w:rPr>
        <w:t xml:space="preserve">914448. Available at: </w:t>
      </w:r>
      <w:r w:rsidRPr="00B515D5">
        <w:rPr>
          <w:rFonts w:ascii="Arial" w:hAnsi="Arial" w:cs="Arial"/>
        </w:rPr>
        <w:t>https://www.frontiersin.org/journals/education/articl</w:t>
      </w:r>
      <w:r w:rsidRPr="00B515D5">
        <w:rPr>
          <w:rFonts w:ascii="Arial" w:hAnsi="Arial" w:cs="Arial"/>
        </w:rPr>
        <w:t>e</w:t>
      </w:r>
      <w:r w:rsidRPr="00B515D5">
        <w:rPr>
          <w:rFonts w:ascii="Arial" w:hAnsi="Arial" w:cs="Arial"/>
        </w:rPr>
        <w:t>s/10.3</w:t>
      </w:r>
      <w:r w:rsidRPr="00B515D5">
        <w:rPr>
          <w:rFonts w:ascii="Arial" w:hAnsi="Arial" w:cs="Arial"/>
        </w:rPr>
        <w:t>3</w:t>
      </w:r>
      <w:r w:rsidRPr="00B515D5">
        <w:rPr>
          <w:rFonts w:ascii="Arial" w:hAnsi="Arial" w:cs="Arial"/>
        </w:rPr>
        <w:t>89/feduc.2022.914448/full</w:t>
      </w:r>
      <w:r w:rsidR="00B515D5">
        <w:rPr>
          <w:rFonts w:ascii="Arial" w:hAnsi="Arial" w:cs="Arial"/>
        </w:rPr>
        <w:t>.</w:t>
      </w:r>
      <w:r w:rsidRPr="00BB63E9">
        <w:rPr>
          <w:rFonts w:ascii="Arial" w:hAnsi="Arial" w:cs="Arial"/>
        </w:rPr>
        <w:t xml:space="preserve"> (Accessed 24 November 2025). </w:t>
      </w:r>
    </w:p>
    <w:p w14:paraId="1684C602" w14:textId="15BE17D0" w:rsidR="00A01988" w:rsidRPr="00BB63E9" w:rsidRDefault="00A01988" w:rsidP="00BB63E9">
      <w:pPr>
        <w:rPr>
          <w:rFonts w:ascii="Arial" w:hAnsi="Arial" w:cs="Arial"/>
        </w:rPr>
      </w:pPr>
      <w:r w:rsidRPr="00BB63E9">
        <w:rPr>
          <w:rFonts w:ascii="Arial" w:hAnsi="Arial" w:cs="Arial"/>
        </w:rPr>
        <w:t xml:space="preserve">Wilson-Ching, M and Berger, E </w:t>
      </w:r>
      <w:r>
        <w:rPr>
          <w:rFonts w:ascii="Arial" w:hAnsi="Arial" w:cs="Arial"/>
        </w:rPr>
        <w:t>(</w:t>
      </w:r>
      <w:r w:rsidRPr="00BB63E9">
        <w:rPr>
          <w:rFonts w:ascii="Arial" w:hAnsi="Arial" w:cs="Arial"/>
        </w:rPr>
        <w:t>2024</w:t>
      </w:r>
      <w:r>
        <w:rPr>
          <w:rFonts w:ascii="Arial" w:hAnsi="Arial" w:cs="Arial"/>
        </w:rPr>
        <w:t>)</w:t>
      </w:r>
      <w:r w:rsidRPr="00BB63E9">
        <w:rPr>
          <w:rFonts w:ascii="Arial" w:hAnsi="Arial" w:cs="Arial"/>
        </w:rPr>
        <w:t xml:space="preserve"> ‘Relationship-building strategies within trauma-informed frameworks in educational settings’, </w:t>
      </w:r>
      <w:r w:rsidRPr="00BB63E9">
        <w:rPr>
          <w:rFonts w:ascii="Arial" w:hAnsi="Arial" w:cs="Arial"/>
          <w:i/>
          <w:iCs/>
        </w:rPr>
        <w:t>Current Psychology</w:t>
      </w:r>
      <w:r w:rsidRPr="00BB63E9">
        <w:rPr>
          <w:rFonts w:ascii="Arial" w:hAnsi="Arial" w:cs="Arial"/>
        </w:rPr>
        <w:t xml:space="preserve">, vol. 43, pp. 3464–3485. Available at: </w:t>
      </w:r>
      <w:r w:rsidRPr="00B515D5">
        <w:rPr>
          <w:rFonts w:ascii="Arial" w:hAnsi="Arial" w:cs="Arial"/>
        </w:rPr>
        <w:t>https://www.proquest.com/scholarly-journals/relationship-building-strategies-within-tra</w:t>
      </w:r>
      <w:r w:rsidRPr="00B515D5">
        <w:rPr>
          <w:rFonts w:ascii="Arial" w:hAnsi="Arial" w:cs="Arial"/>
        </w:rPr>
        <w:t>u</w:t>
      </w:r>
      <w:r w:rsidRPr="00B515D5">
        <w:rPr>
          <w:rFonts w:ascii="Arial" w:hAnsi="Arial" w:cs="Arial"/>
        </w:rPr>
        <w:t>ma/docview/2924579851/se-2</w:t>
      </w:r>
      <w:r w:rsidR="00B515D5">
        <w:t>.</w:t>
      </w:r>
      <w:r w:rsidRPr="00BB63E9">
        <w:rPr>
          <w:rFonts w:ascii="Arial" w:hAnsi="Arial" w:cs="Arial"/>
        </w:rPr>
        <w:t xml:space="preserve"> (Accessed 24 November 2025). </w:t>
      </w:r>
    </w:p>
    <w:sectPr w:rsidR="00A01988" w:rsidRPr="00BB63E9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04D38"/>
    <w:rsid w:val="000D534D"/>
    <w:rsid w:val="001025A4"/>
    <w:rsid w:val="00192CFE"/>
    <w:rsid w:val="0023611F"/>
    <w:rsid w:val="00275012"/>
    <w:rsid w:val="002921A9"/>
    <w:rsid w:val="00305AEF"/>
    <w:rsid w:val="00336CB6"/>
    <w:rsid w:val="003C6808"/>
    <w:rsid w:val="004F4775"/>
    <w:rsid w:val="005C040C"/>
    <w:rsid w:val="005D710A"/>
    <w:rsid w:val="007F269E"/>
    <w:rsid w:val="00904D38"/>
    <w:rsid w:val="009C4704"/>
    <w:rsid w:val="00A01988"/>
    <w:rsid w:val="00AA26B4"/>
    <w:rsid w:val="00AA3965"/>
    <w:rsid w:val="00B515D5"/>
    <w:rsid w:val="00BB63E9"/>
    <w:rsid w:val="00CE2D3F"/>
    <w:rsid w:val="00D06663"/>
    <w:rsid w:val="00E45C3C"/>
    <w:rsid w:val="00F671CE"/>
    <w:rsid w:val="00F75CE1"/>
    <w:rsid w:val="00FF249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12506D7"/>
  <w15:chartTrackingRefBased/>
  <w15:docId w15:val="{532B6A55-ED6C-4DC4-B6F3-F31EE8CFF61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04D38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04D38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04D38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04D38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04D38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04D38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04D38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04D38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04D38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04D38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04D38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04D38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04D38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04D38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04D38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04D38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04D38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04D38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04D38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04D38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04D38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04D38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04D38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04D38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04D38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04D38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04D38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04D38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04D38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BB63E9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BB63E9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9C4704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C7A880E1-FA7C-455D-8802-1C2557674EE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399</TotalTime>
  <Pages>3</Pages>
  <Words>583</Words>
  <Characters>4844</Characters>
  <Application>Microsoft Office Word</Application>
  <DocSecurity>0</DocSecurity>
  <Lines>86</Lines>
  <Paragraphs>21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5406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 Cojocaru (2207413)</dc:creator>
  <cp:keywords/>
  <dc:description/>
  <cp:lastModifiedBy>Paul Cojocaru (2207413)</cp:lastModifiedBy>
  <cp:revision>7</cp:revision>
  <dcterms:created xsi:type="dcterms:W3CDTF">2025-12-10T11:31:00Z</dcterms:created>
  <dcterms:modified xsi:type="dcterms:W3CDTF">2025-12-11T11:51:00Z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bef145fa-6a36-42d7-a122-ea980a90d46b</vt:lpwstr>
  </property>
</Properties>
</file>