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3C6616" w14:textId="11E79201" w:rsidR="00E84AE1" w:rsidRDefault="00507FBF">
      <w:r>
        <w:rPr>
          <w:noProof/>
        </w:rPr>
        <w:drawing>
          <wp:anchor distT="0" distB="0" distL="114300" distR="114300" simplePos="0" relativeHeight="251658240" behindDoc="0" locked="0" layoutInCell="1" allowOverlap="1" wp14:anchorId="199C9714" wp14:editId="5B79D881">
            <wp:simplePos x="0" y="0"/>
            <wp:positionH relativeFrom="page">
              <wp:posOffset>251460</wp:posOffset>
            </wp:positionH>
            <wp:positionV relativeFrom="paragraph">
              <wp:posOffset>0</wp:posOffset>
            </wp:positionV>
            <wp:extent cx="6911340" cy="2430780"/>
            <wp:effectExtent l="0" t="0" r="3810" b="7620"/>
            <wp:wrapNone/>
            <wp:docPr id="2896024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911340" cy="2430780"/>
                    </a:xfrm>
                    <a:prstGeom prst="rect">
                      <a:avLst/>
                    </a:prstGeom>
                    <a:noFill/>
                  </pic:spPr>
                </pic:pic>
              </a:graphicData>
            </a:graphic>
            <wp14:sizeRelH relativeFrom="margin">
              <wp14:pctWidth>0</wp14:pctWidth>
            </wp14:sizeRelH>
          </wp:anchor>
        </w:drawing>
      </w:r>
    </w:p>
    <w:p w14:paraId="308F025C" w14:textId="77777777" w:rsidR="00507FBF" w:rsidRPr="00507FBF" w:rsidRDefault="00507FBF" w:rsidP="00507FBF"/>
    <w:p w14:paraId="2C8B5AF0" w14:textId="77777777" w:rsidR="00507FBF" w:rsidRPr="00507FBF" w:rsidRDefault="00507FBF" w:rsidP="00507FBF"/>
    <w:p w14:paraId="3AC85F6F" w14:textId="77777777" w:rsidR="00507FBF" w:rsidRPr="00507FBF" w:rsidRDefault="00507FBF" w:rsidP="00507FBF"/>
    <w:p w14:paraId="48A46297" w14:textId="77777777" w:rsidR="00507FBF" w:rsidRPr="00507FBF" w:rsidRDefault="00507FBF" w:rsidP="00507FBF"/>
    <w:p w14:paraId="3D4A1114" w14:textId="77777777" w:rsidR="00507FBF" w:rsidRPr="00507FBF" w:rsidRDefault="00507FBF" w:rsidP="00507FBF"/>
    <w:p w14:paraId="4815FBF6" w14:textId="77777777" w:rsidR="00507FBF" w:rsidRPr="00507FBF" w:rsidRDefault="00507FBF" w:rsidP="00507FBF"/>
    <w:p w14:paraId="766F0A75" w14:textId="77777777" w:rsidR="00507FBF" w:rsidRPr="00507FBF" w:rsidRDefault="00507FBF" w:rsidP="00507FBF"/>
    <w:p w14:paraId="68CCCCD9" w14:textId="77777777" w:rsidR="00507FBF" w:rsidRPr="00507FBF" w:rsidRDefault="00507FBF" w:rsidP="00507FBF"/>
    <w:p w14:paraId="67487B48" w14:textId="77777777" w:rsidR="00507FBF" w:rsidRPr="00507FBF" w:rsidRDefault="00507FBF" w:rsidP="00507FBF"/>
    <w:p w14:paraId="58590847" w14:textId="77777777" w:rsidR="00507FBF" w:rsidRPr="00507FBF" w:rsidRDefault="00507FBF" w:rsidP="00507FBF"/>
    <w:p w14:paraId="559FD8A6" w14:textId="70472CE5" w:rsidR="00507FBF" w:rsidRDefault="00507FBF" w:rsidP="00507FBF">
      <w:pPr>
        <w:tabs>
          <w:tab w:val="left" w:pos="2520"/>
        </w:tabs>
      </w:pPr>
      <w:r>
        <w:tab/>
      </w:r>
    </w:p>
    <w:p w14:paraId="091A4895" w14:textId="24A91F62" w:rsidR="00507FBF" w:rsidRPr="00507FBF" w:rsidRDefault="00507FBF" w:rsidP="00507FBF">
      <w:pPr>
        <w:tabs>
          <w:tab w:val="left" w:pos="2520"/>
        </w:tabs>
        <w:rPr>
          <w:rFonts w:ascii="Arial" w:hAnsi="Arial" w:cs="Arial"/>
          <w:b/>
          <w:bCs/>
          <w:sz w:val="32"/>
          <w:szCs w:val="32"/>
        </w:rPr>
      </w:pPr>
      <w:r w:rsidRPr="00507FBF">
        <w:rPr>
          <w:rFonts w:ascii="Arial" w:hAnsi="Arial" w:cs="Arial"/>
          <w:b/>
          <w:bCs/>
          <w:sz w:val="32"/>
          <w:szCs w:val="32"/>
        </w:rPr>
        <w:t>Student: Nicholas Djaoui</w:t>
      </w:r>
    </w:p>
    <w:p w14:paraId="1297512F" w14:textId="77777777" w:rsidR="00507FBF" w:rsidRPr="00507FBF" w:rsidRDefault="00507FBF" w:rsidP="00507FBF">
      <w:pPr>
        <w:tabs>
          <w:tab w:val="left" w:pos="2520"/>
        </w:tabs>
        <w:rPr>
          <w:rFonts w:ascii="Arial" w:hAnsi="Arial" w:cs="Arial"/>
          <w:b/>
          <w:bCs/>
          <w:sz w:val="32"/>
          <w:szCs w:val="32"/>
        </w:rPr>
      </w:pPr>
    </w:p>
    <w:p w14:paraId="5900E3BE" w14:textId="7B5ECAF7" w:rsidR="00507FBF" w:rsidRPr="00507FBF" w:rsidRDefault="00507FBF" w:rsidP="00507FBF">
      <w:pPr>
        <w:tabs>
          <w:tab w:val="left" w:pos="2520"/>
        </w:tabs>
        <w:rPr>
          <w:rFonts w:ascii="Arial" w:hAnsi="Arial" w:cs="Arial"/>
          <w:b/>
          <w:bCs/>
          <w:sz w:val="32"/>
          <w:szCs w:val="32"/>
        </w:rPr>
      </w:pPr>
      <w:r w:rsidRPr="00507FBF">
        <w:rPr>
          <w:rFonts w:ascii="Arial" w:hAnsi="Arial" w:cs="Arial"/>
          <w:b/>
          <w:bCs/>
          <w:sz w:val="32"/>
          <w:szCs w:val="32"/>
        </w:rPr>
        <w:t>Student number: 2319870</w:t>
      </w:r>
    </w:p>
    <w:p w14:paraId="1DECB418" w14:textId="77777777" w:rsidR="00507FBF" w:rsidRPr="00507FBF" w:rsidRDefault="00507FBF" w:rsidP="00507FBF">
      <w:pPr>
        <w:tabs>
          <w:tab w:val="left" w:pos="2520"/>
        </w:tabs>
        <w:rPr>
          <w:rFonts w:ascii="Arial" w:hAnsi="Arial" w:cs="Arial"/>
          <w:b/>
          <w:bCs/>
          <w:sz w:val="32"/>
          <w:szCs w:val="32"/>
        </w:rPr>
      </w:pPr>
    </w:p>
    <w:p w14:paraId="781FCAC6" w14:textId="7C9CF29A" w:rsidR="00507FBF" w:rsidRDefault="00507FBF" w:rsidP="00507FBF">
      <w:pPr>
        <w:tabs>
          <w:tab w:val="left" w:pos="2520"/>
        </w:tabs>
        <w:rPr>
          <w:rFonts w:ascii="Arial" w:hAnsi="Arial" w:cs="Arial"/>
          <w:b/>
          <w:bCs/>
          <w:sz w:val="32"/>
          <w:szCs w:val="32"/>
        </w:rPr>
      </w:pPr>
      <w:r w:rsidRPr="00507FBF">
        <w:rPr>
          <w:rFonts w:ascii="Arial" w:hAnsi="Arial" w:cs="Arial"/>
          <w:b/>
          <w:bCs/>
          <w:sz w:val="32"/>
          <w:szCs w:val="32"/>
        </w:rPr>
        <w:t xml:space="preserve">Study: Professional Policing Practice </w:t>
      </w:r>
    </w:p>
    <w:p w14:paraId="06CE0DE4" w14:textId="77777777" w:rsidR="00507FBF" w:rsidRDefault="00507FBF" w:rsidP="00507FBF">
      <w:pPr>
        <w:tabs>
          <w:tab w:val="left" w:pos="2520"/>
        </w:tabs>
        <w:rPr>
          <w:rFonts w:ascii="Arial" w:hAnsi="Arial" w:cs="Arial"/>
          <w:b/>
          <w:bCs/>
          <w:sz w:val="32"/>
          <w:szCs w:val="32"/>
        </w:rPr>
      </w:pPr>
    </w:p>
    <w:p w14:paraId="040B4EA7" w14:textId="77777777" w:rsidR="00507FBF" w:rsidRDefault="00507FBF" w:rsidP="00507FBF">
      <w:pPr>
        <w:tabs>
          <w:tab w:val="left" w:pos="2520"/>
        </w:tabs>
        <w:rPr>
          <w:rFonts w:ascii="Arial" w:hAnsi="Arial" w:cs="Arial"/>
          <w:b/>
          <w:bCs/>
          <w:sz w:val="32"/>
          <w:szCs w:val="32"/>
        </w:rPr>
      </w:pPr>
      <w:r>
        <w:rPr>
          <w:rFonts w:ascii="Arial" w:hAnsi="Arial" w:cs="Arial"/>
          <w:b/>
          <w:bCs/>
          <w:sz w:val="32"/>
          <w:szCs w:val="32"/>
        </w:rPr>
        <w:t xml:space="preserve">Project Title:  </w:t>
      </w:r>
    </w:p>
    <w:p w14:paraId="1CA7C3AA" w14:textId="72A0207D" w:rsidR="00507FBF" w:rsidRDefault="00507FBF" w:rsidP="00507FBF">
      <w:pPr>
        <w:tabs>
          <w:tab w:val="left" w:pos="2520"/>
        </w:tabs>
        <w:rPr>
          <w:rFonts w:ascii="Arial" w:hAnsi="Arial" w:cs="Arial"/>
          <w:b/>
          <w:bCs/>
          <w:i/>
          <w:iCs/>
          <w:sz w:val="32"/>
          <w:szCs w:val="32"/>
        </w:rPr>
      </w:pPr>
      <w:r w:rsidRPr="00507FBF">
        <w:rPr>
          <w:rFonts w:ascii="Arial" w:hAnsi="Arial" w:cs="Arial"/>
          <w:b/>
          <w:bCs/>
          <w:i/>
          <w:iCs/>
          <w:sz w:val="32"/>
          <w:szCs w:val="32"/>
        </w:rPr>
        <w:t>To What Extent Have Equality and Diversity Policies Been Effective in British Policing?</w:t>
      </w:r>
    </w:p>
    <w:p w14:paraId="4AF594CD" w14:textId="77777777" w:rsidR="00507FBF" w:rsidRDefault="00507FBF" w:rsidP="00507FBF">
      <w:pPr>
        <w:tabs>
          <w:tab w:val="left" w:pos="2520"/>
        </w:tabs>
        <w:rPr>
          <w:rFonts w:ascii="Arial" w:hAnsi="Arial" w:cs="Arial"/>
          <w:b/>
          <w:bCs/>
          <w:i/>
          <w:iCs/>
          <w:sz w:val="32"/>
          <w:szCs w:val="32"/>
        </w:rPr>
      </w:pPr>
    </w:p>
    <w:p w14:paraId="057D5A72" w14:textId="77777777" w:rsidR="00507FBF" w:rsidRDefault="00507FBF" w:rsidP="00507FBF">
      <w:pPr>
        <w:tabs>
          <w:tab w:val="left" w:pos="2520"/>
        </w:tabs>
        <w:rPr>
          <w:rFonts w:ascii="Arial" w:hAnsi="Arial" w:cs="Arial"/>
          <w:b/>
          <w:bCs/>
          <w:i/>
          <w:iCs/>
          <w:sz w:val="32"/>
          <w:szCs w:val="32"/>
        </w:rPr>
      </w:pPr>
    </w:p>
    <w:p w14:paraId="63B635AB" w14:textId="77777777" w:rsidR="00507FBF" w:rsidRDefault="00507FBF" w:rsidP="00507FBF">
      <w:pPr>
        <w:tabs>
          <w:tab w:val="left" w:pos="2520"/>
        </w:tabs>
        <w:rPr>
          <w:rFonts w:ascii="Arial" w:hAnsi="Arial" w:cs="Arial"/>
          <w:b/>
          <w:bCs/>
          <w:i/>
          <w:iCs/>
          <w:sz w:val="32"/>
          <w:szCs w:val="32"/>
        </w:rPr>
      </w:pPr>
    </w:p>
    <w:p w14:paraId="0A68E8FD" w14:textId="77777777" w:rsidR="00507FBF" w:rsidRDefault="00507FBF" w:rsidP="00507FBF">
      <w:pPr>
        <w:tabs>
          <w:tab w:val="left" w:pos="2520"/>
        </w:tabs>
        <w:rPr>
          <w:rFonts w:ascii="Arial" w:hAnsi="Arial" w:cs="Arial"/>
          <w:b/>
          <w:bCs/>
          <w:i/>
          <w:iCs/>
          <w:sz w:val="32"/>
          <w:szCs w:val="32"/>
        </w:rPr>
      </w:pPr>
    </w:p>
    <w:p w14:paraId="377E581F" w14:textId="77777777" w:rsidR="00507FBF" w:rsidRDefault="00507FBF" w:rsidP="00507FBF">
      <w:pPr>
        <w:tabs>
          <w:tab w:val="left" w:pos="2520"/>
        </w:tabs>
        <w:rPr>
          <w:rFonts w:ascii="Arial" w:hAnsi="Arial" w:cs="Arial"/>
          <w:b/>
          <w:bCs/>
          <w:i/>
          <w:iCs/>
          <w:sz w:val="32"/>
          <w:szCs w:val="32"/>
        </w:rPr>
      </w:pPr>
    </w:p>
    <w:p w14:paraId="26492FDC" w14:textId="039169A9" w:rsidR="00507FBF" w:rsidRPr="0062474F" w:rsidRDefault="00507FBF" w:rsidP="00507FBF">
      <w:pPr>
        <w:tabs>
          <w:tab w:val="left" w:pos="2520"/>
        </w:tabs>
        <w:rPr>
          <w:rFonts w:ascii="Arial" w:hAnsi="Arial" w:cs="Arial"/>
          <w:b/>
          <w:bCs/>
          <w:i/>
          <w:iCs/>
          <w:sz w:val="40"/>
          <w:szCs w:val="40"/>
        </w:rPr>
      </w:pPr>
    </w:p>
    <w:p w14:paraId="0D684AC8" w14:textId="35520166" w:rsidR="00507FBF" w:rsidRPr="00507FBF" w:rsidRDefault="00507FBF" w:rsidP="00507FBF">
      <w:pPr>
        <w:tabs>
          <w:tab w:val="left" w:pos="2520"/>
        </w:tabs>
        <w:rPr>
          <w:rFonts w:ascii="Arial" w:hAnsi="Arial" w:cs="Arial"/>
          <w:b/>
          <w:bCs/>
          <w:i/>
          <w:iCs/>
          <w:sz w:val="36"/>
          <w:szCs w:val="36"/>
        </w:rPr>
      </w:pPr>
      <w:r w:rsidRPr="00507FBF">
        <w:rPr>
          <w:rFonts w:ascii="Arial" w:hAnsi="Arial" w:cs="Arial"/>
          <w:b/>
          <w:bCs/>
          <w:i/>
          <w:iCs/>
          <w:sz w:val="36"/>
          <w:szCs w:val="36"/>
        </w:rPr>
        <w:lastRenderedPageBreak/>
        <w:t>Declaration</w:t>
      </w:r>
    </w:p>
    <w:p w14:paraId="72B90E0C" w14:textId="77777777" w:rsidR="00507FBF" w:rsidRDefault="00507FBF" w:rsidP="00507FBF">
      <w:pPr>
        <w:spacing w:after="0"/>
      </w:pPr>
      <w:r>
        <w:t>This work has not previously been accepted in substance for any degree and is not being concurrently submitted in candidature for any degree.</w:t>
      </w:r>
    </w:p>
    <w:p w14:paraId="405CE256" w14:textId="03A40851" w:rsidR="00507FBF" w:rsidRDefault="00507FBF" w:rsidP="00507FBF">
      <w:pPr>
        <w:spacing w:after="0"/>
      </w:pPr>
      <w:r>
        <w:t xml:space="preserve">Signed: </w:t>
      </w:r>
      <w:r>
        <w:t>ND</w:t>
      </w:r>
    </w:p>
    <w:p w14:paraId="4663E05F" w14:textId="2300A5C2" w:rsidR="00507FBF" w:rsidRDefault="00507FBF" w:rsidP="00507FBF">
      <w:pPr>
        <w:spacing w:after="0"/>
      </w:pPr>
      <w:r>
        <w:t xml:space="preserve">Date: </w:t>
      </w:r>
      <w:r>
        <w:t>21/06/26</w:t>
      </w:r>
    </w:p>
    <w:p w14:paraId="00A38245" w14:textId="77777777" w:rsidR="00507FBF" w:rsidRDefault="00507FBF" w:rsidP="00507FBF"/>
    <w:p w14:paraId="1BC937CF" w14:textId="77777777" w:rsidR="00507FBF" w:rsidRDefault="00507FBF" w:rsidP="00507FBF">
      <w:pPr>
        <w:spacing w:after="0"/>
      </w:pPr>
      <w:r>
        <w:t xml:space="preserve">STATEMENT 1 </w:t>
      </w:r>
    </w:p>
    <w:p w14:paraId="116EB028" w14:textId="77777777" w:rsidR="00507FBF" w:rsidRDefault="00507FBF" w:rsidP="00507FBF">
      <w:pPr>
        <w:spacing w:after="0"/>
      </w:pPr>
      <w:r>
        <w:t>This dissertation is being submitted in partial fulfilment of the requirements for the degree of BA.</w:t>
      </w:r>
    </w:p>
    <w:p w14:paraId="5E68B719" w14:textId="27EF8D1F" w:rsidR="00507FBF" w:rsidRDefault="00507FBF" w:rsidP="00507FBF">
      <w:pPr>
        <w:spacing w:after="0"/>
      </w:pPr>
      <w:r>
        <w:t>Signed:</w:t>
      </w:r>
      <w:r>
        <w:t xml:space="preserve"> ND</w:t>
      </w:r>
    </w:p>
    <w:p w14:paraId="724523FE" w14:textId="4E035672" w:rsidR="00507FBF" w:rsidRDefault="00507FBF" w:rsidP="00507FBF">
      <w:r>
        <w:t xml:space="preserve">Date: </w:t>
      </w:r>
      <w:r>
        <w:t>21/06/26</w:t>
      </w:r>
    </w:p>
    <w:p w14:paraId="6182AAA0" w14:textId="77777777" w:rsidR="00507FBF" w:rsidRDefault="00507FBF" w:rsidP="00507FBF"/>
    <w:p w14:paraId="6CD8B6EE" w14:textId="77777777" w:rsidR="00507FBF" w:rsidRDefault="00507FBF" w:rsidP="00507FBF">
      <w:pPr>
        <w:spacing w:after="0"/>
      </w:pPr>
      <w:r>
        <w:t>STATEMENT 2</w:t>
      </w:r>
    </w:p>
    <w:p w14:paraId="50EEBD80" w14:textId="77777777" w:rsidR="00507FBF" w:rsidRDefault="00507FBF" w:rsidP="00507FBF">
      <w:pPr>
        <w:spacing w:after="0"/>
      </w:pPr>
      <w:r>
        <w:t>This dissertation is the result of my own independent work/investigation, except where otherwise stated.</w:t>
      </w:r>
    </w:p>
    <w:p w14:paraId="71E8A6D9" w14:textId="77777777" w:rsidR="00507FBF" w:rsidRDefault="00507FBF" w:rsidP="00507FBF">
      <w:pPr>
        <w:spacing w:after="0"/>
      </w:pPr>
      <w:r>
        <w:t>Other sources are acknowledged by footnotes giving explicit references.  A bibliography is appended.</w:t>
      </w:r>
    </w:p>
    <w:p w14:paraId="0555BA63" w14:textId="4B080032" w:rsidR="00507FBF" w:rsidRDefault="00507FBF" w:rsidP="00507FBF">
      <w:pPr>
        <w:spacing w:after="0"/>
      </w:pPr>
      <w:r>
        <w:t xml:space="preserve">Signed: </w:t>
      </w:r>
      <w:r>
        <w:t>ND</w:t>
      </w:r>
    </w:p>
    <w:p w14:paraId="44DC1CA4" w14:textId="097FA0CC" w:rsidR="00507FBF" w:rsidRDefault="00507FBF" w:rsidP="00507FBF">
      <w:pPr>
        <w:spacing w:after="0"/>
      </w:pPr>
      <w:r>
        <w:t xml:space="preserve">Date: </w:t>
      </w:r>
      <w:r>
        <w:t>21/06/26</w:t>
      </w:r>
    </w:p>
    <w:p w14:paraId="4B438DA7" w14:textId="77777777" w:rsidR="00507FBF" w:rsidRDefault="00507FBF" w:rsidP="00507FBF">
      <w:pPr>
        <w:spacing w:after="0"/>
      </w:pPr>
    </w:p>
    <w:p w14:paraId="799E23D8" w14:textId="77777777" w:rsidR="00507FBF" w:rsidRDefault="00507FBF" w:rsidP="00507FBF">
      <w:pPr>
        <w:spacing w:after="0"/>
      </w:pPr>
      <w:r>
        <w:t>STATEMENT 3</w:t>
      </w:r>
    </w:p>
    <w:p w14:paraId="42D2100D" w14:textId="77777777" w:rsidR="00507FBF" w:rsidRDefault="00507FBF" w:rsidP="00507FBF">
      <w:pPr>
        <w:spacing w:after="0"/>
      </w:pPr>
      <w:r>
        <w:t>I hereby give consent for my dissertation, if accepted, to be available for photocopying and for interlibrary loan, and for the title and summary to be made available to outside organisations.</w:t>
      </w:r>
    </w:p>
    <w:p w14:paraId="0FBEA2DC" w14:textId="6132CA31" w:rsidR="00507FBF" w:rsidRDefault="00507FBF" w:rsidP="00507FBF">
      <w:pPr>
        <w:spacing w:after="0"/>
      </w:pPr>
      <w:r>
        <w:t>Signed</w:t>
      </w:r>
      <w:r>
        <w:t>: ND</w:t>
      </w:r>
    </w:p>
    <w:p w14:paraId="1F7A8720" w14:textId="6BA6B96B" w:rsidR="00507FBF" w:rsidRDefault="00507FBF" w:rsidP="00507FBF">
      <w:pPr>
        <w:spacing w:after="0"/>
      </w:pPr>
      <w:r>
        <w:t>Date:</w:t>
      </w:r>
      <w:r>
        <w:t xml:space="preserve"> 21/06/26</w:t>
      </w:r>
    </w:p>
    <w:p w14:paraId="3A9E88C1" w14:textId="77777777" w:rsidR="00507FBF" w:rsidRDefault="00507FBF" w:rsidP="00507FBF">
      <w:pPr>
        <w:spacing w:after="0"/>
      </w:pPr>
    </w:p>
    <w:p w14:paraId="6EF11B71" w14:textId="77777777" w:rsidR="00507FBF" w:rsidRDefault="00507FBF" w:rsidP="00507FBF">
      <w:pPr>
        <w:spacing w:after="0"/>
      </w:pPr>
      <w:r>
        <w:t>STATEMENT 4</w:t>
      </w:r>
    </w:p>
    <w:p w14:paraId="32B6BB42" w14:textId="77777777" w:rsidR="00507FBF" w:rsidRDefault="00507FBF" w:rsidP="00507FBF">
      <w:pPr>
        <w:spacing w:after="0"/>
      </w:pPr>
      <w:r>
        <w:t>I hereby give consent for my dissertation, if accepted, to be available on the university’s IT system to those who have consent to use the system.</w:t>
      </w:r>
    </w:p>
    <w:p w14:paraId="273A9A89" w14:textId="63C7FAC1" w:rsidR="00507FBF" w:rsidRDefault="00507FBF" w:rsidP="00507FBF">
      <w:pPr>
        <w:spacing w:after="0"/>
      </w:pPr>
      <w:r>
        <w:t xml:space="preserve">Signed: </w:t>
      </w:r>
      <w:r>
        <w:t>ND</w:t>
      </w:r>
    </w:p>
    <w:p w14:paraId="0E473F28" w14:textId="44994962" w:rsidR="00507FBF" w:rsidRDefault="00507FBF" w:rsidP="00507FBF">
      <w:pPr>
        <w:spacing w:after="0"/>
      </w:pPr>
      <w:r>
        <w:t>Date:</w:t>
      </w:r>
      <w:r>
        <w:t xml:space="preserve"> 21/06/26</w:t>
      </w:r>
    </w:p>
    <w:p w14:paraId="07A882C1" w14:textId="77777777" w:rsidR="00507FBF" w:rsidRDefault="00507FBF" w:rsidP="00507FBF">
      <w:pPr>
        <w:spacing w:after="0"/>
      </w:pPr>
    </w:p>
    <w:p w14:paraId="1004A8F4" w14:textId="77777777" w:rsidR="00507FBF" w:rsidRDefault="00507FBF" w:rsidP="00507FBF">
      <w:pPr>
        <w:spacing w:after="0"/>
      </w:pPr>
    </w:p>
    <w:p w14:paraId="28B90152" w14:textId="77777777" w:rsidR="00507FBF" w:rsidRDefault="00507FBF" w:rsidP="00507FBF">
      <w:pPr>
        <w:spacing w:after="0"/>
      </w:pPr>
    </w:p>
    <w:p w14:paraId="7A6969D3" w14:textId="77777777" w:rsidR="00507FBF" w:rsidRDefault="00507FBF" w:rsidP="00507FBF">
      <w:pPr>
        <w:spacing w:after="0"/>
      </w:pPr>
    </w:p>
    <w:p w14:paraId="5E1731C9" w14:textId="77777777" w:rsidR="00507FBF" w:rsidRDefault="00507FBF" w:rsidP="00507FBF">
      <w:pPr>
        <w:spacing w:after="0"/>
      </w:pPr>
    </w:p>
    <w:p w14:paraId="6D8E45F5" w14:textId="77777777" w:rsidR="00507FBF" w:rsidRDefault="00507FBF" w:rsidP="00507FBF">
      <w:pPr>
        <w:spacing w:after="0"/>
      </w:pPr>
    </w:p>
    <w:p w14:paraId="61BD7B6C" w14:textId="77777777" w:rsidR="00507FBF" w:rsidRDefault="00507FBF" w:rsidP="00507FBF">
      <w:pPr>
        <w:spacing w:after="0"/>
      </w:pPr>
    </w:p>
    <w:p w14:paraId="2C161099" w14:textId="77777777" w:rsidR="00507FBF" w:rsidRDefault="00507FBF" w:rsidP="00507FBF">
      <w:pPr>
        <w:spacing w:after="0"/>
      </w:pPr>
    </w:p>
    <w:p w14:paraId="494E1D75" w14:textId="77777777" w:rsidR="00507FBF" w:rsidRDefault="00507FBF" w:rsidP="00507FBF">
      <w:pPr>
        <w:tabs>
          <w:tab w:val="left" w:pos="2520"/>
        </w:tabs>
        <w:rPr>
          <w:rFonts w:ascii="Arial" w:hAnsi="Arial" w:cs="Arial"/>
          <w:sz w:val="40"/>
          <w:szCs w:val="40"/>
        </w:rPr>
      </w:pPr>
    </w:p>
    <w:p w14:paraId="2C113F22" w14:textId="77777777" w:rsidR="00507FBF" w:rsidRDefault="00507FBF" w:rsidP="00507FBF">
      <w:pPr>
        <w:tabs>
          <w:tab w:val="left" w:pos="2520"/>
        </w:tabs>
        <w:rPr>
          <w:rFonts w:ascii="Arial" w:hAnsi="Arial" w:cs="Arial"/>
          <w:sz w:val="40"/>
          <w:szCs w:val="40"/>
        </w:rPr>
      </w:pPr>
    </w:p>
    <w:p w14:paraId="6D1D324D" w14:textId="77777777" w:rsidR="00507FBF" w:rsidRDefault="00507FBF" w:rsidP="00507FBF">
      <w:pPr>
        <w:tabs>
          <w:tab w:val="left" w:pos="2520"/>
        </w:tabs>
        <w:rPr>
          <w:rFonts w:ascii="Arial" w:hAnsi="Arial" w:cs="Arial"/>
          <w:sz w:val="40"/>
          <w:szCs w:val="40"/>
        </w:rPr>
      </w:pPr>
    </w:p>
    <w:sdt>
      <w:sdtPr>
        <w:id w:val="37928811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CF95F5C" w14:textId="0B20FB19" w:rsidR="0062474F" w:rsidRPr="00172686" w:rsidRDefault="0062474F">
          <w:pPr>
            <w:pStyle w:val="TOCHeading"/>
            <w:rPr>
              <w:rFonts w:ascii="Arial" w:hAnsi="Arial" w:cs="Arial"/>
              <w:b/>
              <w:bCs/>
              <w:color w:val="auto"/>
            </w:rPr>
          </w:pPr>
          <w:r w:rsidRPr="00172686">
            <w:rPr>
              <w:rFonts w:ascii="Arial" w:hAnsi="Arial" w:cs="Arial"/>
              <w:b/>
              <w:bCs/>
              <w:color w:val="auto"/>
            </w:rPr>
            <w:t>Contents</w:t>
          </w:r>
        </w:p>
        <w:p w14:paraId="744AE402" w14:textId="5B373D6F" w:rsidR="0062474F" w:rsidRDefault="0062474F">
          <w:pPr>
            <w:pStyle w:val="TOC1"/>
            <w:tabs>
              <w:tab w:val="right" w:leader="dot" w:pos="9016"/>
            </w:tabs>
            <w:rPr>
              <w:noProof/>
            </w:rPr>
          </w:pPr>
          <w:r>
            <w:fldChar w:fldCharType="begin"/>
          </w:r>
          <w:r>
            <w:instrText xml:space="preserve"> TOC \o "1-3" \h \z \u </w:instrText>
          </w:r>
          <w:r>
            <w:fldChar w:fldCharType="separate"/>
          </w:r>
          <w:hyperlink w:anchor="_Toc232938054" w:history="1">
            <w:r w:rsidRPr="003D2B2A">
              <w:rPr>
                <w:rStyle w:val="Hyperlink"/>
                <w:noProof/>
              </w:rPr>
              <w:t>Chapter One – Introduction</w:t>
            </w:r>
            <w:r>
              <w:rPr>
                <w:noProof/>
                <w:webHidden/>
              </w:rPr>
              <w:tab/>
            </w:r>
            <w:r>
              <w:rPr>
                <w:noProof/>
                <w:webHidden/>
              </w:rPr>
              <w:fldChar w:fldCharType="begin"/>
            </w:r>
            <w:r>
              <w:rPr>
                <w:noProof/>
                <w:webHidden/>
              </w:rPr>
              <w:instrText xml:space="preserve"> PAGEREF _Toc232938054 \h </w:instrText>
            </w:r>
            <w:r>
              <w:rPr>
                <w:noProof/>
                <w:webHidden/>
              </w:rPr>
            </w:r>
            <w:r>
              <w:rPr>
                <w:noProof/>
                <w:webHidden/>
              </w:rPr>
              <w:fldChar w:fldCharType="separate"/>
            </w:r>
            <w:r>
              <w:rPr>
                <w:noProof/>
                <w:webHidden/>
              </w:rPr>
              <w:t>5</w:t>
            </w:r>
            <w:r>
              <w:rPr>
                <w:noProof/>
                <w:webHidden/>
              </w:rPr>
              <w:fldChar w:fldCharType="end"/>
            </w:r>
          </w:hyperlink>
        </w:p>
        <w:p w14:paraId="781A0D12" w14:textId="3DE9B5D2" w:rsidR="0062474F" w:rsidRDefault="0062474F">
          <w:pPr>
            <w:pStyle w:val="TOC2"/>
            <w:tabs>
              <w:tab w:val="right" w:leader="dot" w:pos="9016"/>
            </w:tabs>
            <w:rPr>
              <w:noProof/>
            </w:rPr>
          </w:pPr>
          <w:hyperlink w:anchor="_Toc232938055" w:history="1">
            <w:r w:rsidRPr="003D2B2A">
              <w:rPr>
                <w:rStyle w:val="Hyperlink"/>
                <w:noProof/>
              </w:rPr>
              <w:t>1.1 Background and Context</w:t>
            </w:r>
            <w:r>
              <w:rPr>
                <w:noProof/>
                <w:webHidden/>
              </w:rPr>
              <w:tab/>
            </w:r>
            <w:r>
              <w:rPr>
                <w:noProof/>
                <w:webHidden/>
              </w:rPr>
              <w:fldChar w:fldCharType="begin"/>
            </w:r>
            <w:r>
              <w:rPr>
                <w:noProof/>
                <w:webHidden/>
              </w:rPr>
              <w:instrText xml:space="preserve"> PAGEREF _Toc232938055 \h </w:instrText>
            </w:r>
            <w:r>
              <w:rPr>
                <w:noProof/>
                <w:webHidden/>
              </w:rPr>
            </w:r>
            <w:r>
              <w:rPr>
                <w:noProof/>
                <w:webHidden/>
              </w:rPr>
              <w:fldChar w:fldCharType="separate"/>
            </w:r>
            <w:r>
              <w:rPr>
                <w:noProof/>
                <w:webHidden/>
              </w:rPr>
              <w:t>5</w:t>
            </w:r>
            <w:r>
              <w:rPr>
                <w:noProof/>
                <w:webHidden/>
              </w:rPr>
              <w:fldChar w:fldCharType="end"/>
            </w:r>
          </w:hyperlink>
        </w:p>
        <w:p w14:paraId="1A745E8E" w14:textId="3DD708EC" w:rsidR="0062474F" w:rsidRDefault="0062474F">
          <w:pPr>
            <w:pStyle w:val="TOC2"/>
            <w:tabs>
              <w:tab w:val="right" w:leader="dot" w:pos="9016"/>
            </w:tabs>
            <w:rPr>
              <w:noProof/>
            </w:rPr>
          </w:pPr>
          <w:hyperlink w:anchor="_Toc232938056" w:history="1">
            <w:r w:rsidRPr="003D2B2A">
              <w:rPr>
                <w:rStyle w:val="Hyperlink"/>
                <w:noProof/>
              </w:rPr>
              <w:t>1.2 Historical Context</w:t>
            </w:r>
            <w:r>
              <w:rPr>
                <w:noProof/>
                <w:webHidden/>
              </w:rPr>
              <w:tab/>
            </w:r>
            <w:r>
              <w:rPr>
                <w:noProof/>
                <w:webHidden/>
              </w:rPr>
              <w:fldChar w:fldCharType="begin"/>
            </w:r>
            <w:r>
              <w:rPr>
                <w:noProof/>
                <w:webHidden/>
              </w:rPr>
              <w:instrText xml:space="preserve"> PAGEREF _Toc232938056 \h </w:instrText>
            </w:r>
            <w:r>
              <w:rPr>
                <w:noProof/>
                <w:webHidden/>
              </w:rPr>
            </w:r>
            <w:r>
              <w:rPr>
                <w:noProof/>
                <w:webHidden/>
              </w:rPr>
              <w:fldChar w:fldCharType="separate"/>
            </w:r>
            <w:r>
              <w:rPr>
                <w:noProof/>
                <w:webHidden/>
              </w:rPr>
              <w:t>6</w:t>
            </w:r>
            <w:r>
              <w:rPr>
                <w:noProof/>
                <w:webHidden/>
              </w:rPr>
              <w:fldChar w:fldCharType="end"/>
            </w:r>
          </w:hyperlink>
        </w:p>
        <w:p w14:paraId="7D5C4087" w14:textId="6B4613CC" w:rsidR="0062474F" w:rsidRDefault="0062474F">
          <w:pPr>
            <w:pStyle w:val="TOC2"/>
            <w:tabs>
              <w:tab w:val="right" w:leader="dot" w:pos="9016"/>
            </w:tabs>
            <w:rPr>
              <w:noProof/>
            </w:rPr>
          </w:pPr>
          <w:hyperlink w:anchor="_Toc232938057" w:history="1">
            <w:r w:rsidRPr="003D2B2A">
              <w:rPr>
                <w:rStyle w:val="Hyperlink"/>
                <w:noProof/>
              </w:rPr>
              <w:t>1.3 The Policy–Practice Gap</w:t>
            </w:r>
            <w:r>
              <w:rPr>
                <w:noProof/>
                <w:webHidden/>
              </w:rPr>
              <w:tab/>
            </w:r>
            <w:r>
              <w:rPr>
                <w:noProof/>
                <w:webHidden/>
              </w:rPr>
              <w:fldChar w:fldCharType="begin"/>
            </w:r>
            <w:r>
              <w:rPr>
                <w:noProof/>
                <w:webHidden/>
              </w:rPr>
              <w:instrText xml:space="preserve"> PAGEREF _Toc232938057 \h </w:instrText>
            </w:r>
            <w:r>
              <w:rPr>
                <w:noProof/>
                <w:webHidden/>
              </w:rPr>
            </w:r>
            <w:r>
              <w:rPr>
                <w:noProof/>
                <w:webHidden/>
              </w:rPr>
              <w:fldChar w:fldCharType="separate"/>
            </w:r>
            <w:r>
              <w:rPr>
                <w:noProof/>
                <w:webHidden/>
              </w:rPr>
              <w:t>7</w:t>
            </w:r>
            <w:r>
              <w:rPr>
                <w:noProof/>
                <w:webHidden/>
              </w:rPr>
              <w:fldChar w:fldCharType="end"/>
            </w:r>
          </w:hyperlink>
        </w:p>
        <w:p w14:paraId="57247E2B" w14:textId="0F917E45" w:rsidR="0062474F" w:rsidRDefault="0062474F">
          <w:pPr>
            <w:pStyle w:val="TOC2"/>
            <w:tabs>
              <w:tab w:val="right" w:leader="dot" w:pos="9016"/>
            </w:tabs>
            <w:rPr>
              <w:noProof/>
            </w:rPr>
          </w:pPr>
          <w:hyperlink w:anchor="_Toc232938058" w:history="1">
            <w:r w:rsidRPr="003D2B2A">
              <w:rPr>
                <w:rStyle w:val="Hyperlink"/>
                <w:noProof/>
              </w:rPr>
              <w:t>1.4 Research Focus and Scope</w:t>
            </w:r>
            <w:r>
              <w:rPr>
                <w:noProof/>
                <w:webHidden/>
              </w:rPr>
              <w:tab/>
            </w:r>
            <w:r>
              <w:rPr>
                <w:noProof/>
                <w:webHidden/>
              </w:rPr>
              <w:fldChar w:fldCharType="begin"/>
            </w:r>
            <w:r>
              <w:rPr>
                <w:noProof/>
                <w:webHidden/>
              </w:rPr>
              <w:instrText xml:space="preserve"> PAGEREF _Toc232938058 \h </w:instrText>
            </w:r>
            <w:r>
              <w:rPr>
                <w:noProof/>
                <w:webHidden/>
              </w:rPr>
            </w:r>
            <w:r>
              <w:rPr>
                <w:noProof/>
                <w:webHidden/>
              </w:rPr>
              <w:fldChar w:fldCharType="separate"/>
            </w:r>
            <w:r>
              <w:rPr>
                <w:noProof/>
                <w:webHidden/>
              </w:rPr>
              <w:t>7</w:t>
            </w:r>
            <w:r>
              <w:rPr>
                <w:noProof/>
                <w:webHidden/>
              </w:rPr>
              <w:fldChar w:fldCharType="end"/>
            </w:r>
          </w:hyperlink>
        </w:p>
        <w:p w14:paraId="2E090CAB" w14:textId="01ABC847" w:rsidR="0062474F" w:rsidRDefault="0062474F">
          <w:pPr>
            <w:pStyle w:val="TOC2"/>
            <w:tabs>
              <w:tab w:val="right" w:leader="dot" w:pos="9016"/>
            </w:tabs>
            <w:rPr>
              <w:noProof/>
            </w:rPr>
          </w:pPr>
          <w:hyperlink w:anchor="_Toc232938059" w:history="1">
            <w:r w:rsidRPr="003D2B2A">
              <w:rPr>
                <w:rStyle w:val="Hyperlink"/>
                <w:noProof/>
              </w:rPr>
              <w:t>1.5 Research Aim</w:t>
            </w:r>
            <w:r>
              <w:rPr>
                <w:noProof/>
                <w:webHidden/>
              </w:rPr>
              <w:tab/>
            </w:r>
            <w:r>
              <w:rPr>
                <w:noProof/>
                <w:webHidden/>
              </w:rPr>
              <w:fldChar w:fldCharType="begin"/>
            </w:r>
            <w:r>
              <w:rPr>
                <w:noProof/>
                <w:webHidden/>
              </w:rPr>
              <w:instrText xml:space="preserve"> PAGEREF _Toc232938059 \h </w:instrText>
            </w:r>
            <w:r>
              <w:rPr>
                <w:noProof/>
                <w:webHidden/>
              </w:rPr>
            </w:r>
            <w:r>
              <w:rPr>
                <w:noProof/>
                <w:webHidden/>
              </w:rPr>
              <w:fldChar w:fldCharType="separate"/>
            </w:r>
            <w:r>
              <w:rPr>
                <w:noProof/>
                <w:webHidden/>
              </w:rPr>
              <w:t>8</w:t>
            </w:r>
            <w:r>
              <w:rPr>
                <w:noProof/>
                <w:webHidden/>
              </w:rPr>
              <w:fldChar w:fldCharType="end"/>
            </w:r>
          </w:hyperlink>
        </w:p>
        <w:p w14:paraId="2C37B5D1" w14:textId="442C09EE" w:rsidR="0062474F" w:rsidRDefault="0062474F">
          <w:pPr>
            <w:pStyle w:val="TOC2"/>
            <w:tabs>
              <w:tab w:val="right" w:leader="dot" w:pos="9016"/>
            </w:tabs>
            <w:rPr>
              <w:noProof/>
            </w:rPr>
          </w:pPr>
          <w:hyperlink w:anchor="_Toc232938060" w:history="1">
            <w:r w:rsidRPr="003D2B2A">
              <w:rPr>
                <w:rStyle w:val="Hyperlink"/>
                <w:noProof/>
              </w:rPr>
              <w:t>1.6 Research Objectives</w:t>
            </w:r>
            <w:r>
              <w:rPr>
                <w:noProof/>
                <w:webHidden/>
              </w:rPr>
              <w:tab/>
            </w:r>
            <w:r>
              <w:rPr>
                <w:noProof/>
                <w:webHidden/>
              </w:rPr>
              <w:fldChar w:fldCharType="begin"/>
            </w:r>
            <w:r>
              <w:rPr>
                <w:noProof/>
                <w:webHidden/>
              </w:rPr>
              <w:instrText xml:space="preserve"> PAGEREF _Toc232938060 \h </w:instrText>
            </w:r>
            <w:r>
              <w:rPr>
                <w:noProof/>
                <w:webHidden/>
              </w:rPr>
            </w:r>
            <w:r>
              <w:rPr>
                <w:noProof/>
                <w:webHidden/>
              </w:rPr>
              <w:fldChar w:fldCharType="separate"/>
            </w:r>
            <w:r>
              <w:rPr>
                <w:noProof/>
                <w:webHidden/>
              </w:rPr>
              <w:t>8</w:t>
            </w:r>
            <w:r>
              <w:rPr>
                <w:noProof/>
                <w:webHidden/>
              </w:rPr>
              <w:fldChar w:fldCharType="end"/>
            </w:r>
          </w:hyperlink>
        </w:p>
        <w:p w14:paraId="7046E784" w14:textId="7003FB15" w:rsidR="0062474F" w:rsidRDefault="0062474F">
          <w:pPr>
            <w:pStyle w:val="TOC2"/>
            <w:tabs>
              <w:tab w:val="right" w:leader="dot" w:pos="9016"/>
            </w:tabs>
            <w:rPr>
              <w:noProof/>
            </w:rPr>
          </w:pPr>
          <w:hyperlink w:anchor="_Toc232938061" w:history="1">
            <w:r w:rsidRPr="003D2B2A">
              <w:rPr>
                <w:rStyle w:val="Hyperlink"/>
                <w:noProof/>
              </w:rPr>
              <w:t>1.7 Rationale for the Study</w:t>
            </w:r>
            <w:r>
              <w:rPr>
                <w:noProof/>
                <w:webHidden/>
              </w:rPr>
              <w:tab/>
            </w:r>
            <w:r>
              <w:rPr>
                <w:noProof/>
                <w:webHidden/>
              </w:rPr>
              <w:fldChar w:fldCharType="begin"/>
            </w:r>
            <w:r>
              <w:rPr>
                <w:noProof/>
                <w:webHidden/>
              </w:rPr>
              <w:instrText xml:space="preserve"> PAGEREF _Toc232938061 \h </w:instrText>
            </w:r>
            <w:r>
              <w:rPr>
                <w:noProof/>
                <w:webHidden/>
              </w:rPr>
            </w:r>
            <w:r>
              <w:rPr>
                <w:noProof/>
                <w:webHidden/>
              </w:rPr>
              <w:fldChar w:fldCharType="separate"/>
            </w:r>
            <w:r>
              <w:rPr>
                <w:noProof/>
                <w:webHidden/>
              </w:rPr>
              <w:t>8</w:t>
            </w:r>
            <w:r>
              <w:rPr>
                <w:noProof/>
                <w:webHidden/>
              </w:rPr>
              <w:fldChar w:fldCharType="end"/>
            </w:r>
          </w:hyperlink>
        </w:p>
        <w:p w14:paraId="6B2CB5ED" w14:textId="7A56CAD2" w:rsidR="0062474F" w:rsidRDefault="0062474F">
          <w:pPr>
            <w:pStyle w:val="TOC1"/>
            <w:tabs>
              <w:tab w:val="right" w:leader="dot" w:pos="9016"/>
            </w:tabs>
            <w:rPr>
              <w:noProof/>
            </w:rPr>
          </w:pPr>
          <w:hyperlink w:anchor="_Toc232938062" w:history="1">
            <w:r w:rsidRPr="003D2B2A">
              <w:rPr>
                <w:rStyle w:val="Hyperlink"/>
                <w:noProof/>
              </w:rPr>
              <w:t>Chapter Two – Literature Review</w:t>
            </w:r>
            <w:r>
              <w:rPr>
                <w:noProof/>
                <w:webHidden/>
              </w:rPr>
              <w:tab/>
            </w:r>
            <w:r>
              <w:rPr>
                <w:noProof/>
                <w:webHidden/>
              </w:rPr>
              <w:fldChar w:fldCharType="begin"/>
            </w:r>
            <w:r>
              <w:rPr>
                <w:noProof/>
                <w:webHidden/>
              </w:rPr>
              <w:instrText xml:space="preserve"> PAGEREF _Toc232938062 \h </w:instrText>
            </w:r>
            <w:r>
              <w:rPr>
                <w:noProof/>
                <w:webHidden/>
              </w:rPr>
            </w:r>
            <w:r>
              <w:rPr>
                <w:noProof/>
                <w:webHidden/>
              </w:rPr>
              <w:fldChar w:fldCharType="separate"/>
            </w:r>
            <w:r>
              <w:rPr>
                <w:noProof/>
                <w:webHidden/>
              </w:rPr>
              <w:t>9</w:t>
            </w:r>
            <w:r>
              <w:rPr>
                <w:noProof/>
                <w:webHidden/>
              </w:rPr>
              <w:fldChar w:fldCharType="end"/>
            </w:r>
          </w:hyperlink>
        </w:p>
        <w:p w14:paraId="2D4C326B" w14:textId="698F1A6A" w:rsidR="0062474F" w:rsidRDefault="0062474F">
          <w:pPr>
            <w:pStyle w:val="TOC2"/>
            <w:tabs>
              <w:tab w:val="right" w:leader="dot" w:pos="9016"/>
            </w:tabs>
            <w:rPr>
              <w:noProof/>
            </w:rPr>
          </w:pPr>
          <w:hyperlink w:anchor="_Toc232938063" w:history="1">
            <w:r w:rsidRPr="003D2B2A">
              <w:rPr>
                <w:rStyle w:val="Hyperlink"/>
                <w:noProof/>
              </w:rPr>
              <w:t>2.1 Equality and Diversity in British Policing</w:t>
            </w:r>
            <w:r>
              <w:rPr>
                <w:noProof/>
                <w:webHidden/>
              </w:rPr>
              <w:tab/>
            </w:r>
            <w:r>
              <w:rPr>
                <w:noProof/>
                <w:webHidden/>
              </w:rPr>
              <w:fldChar w:fldCharType="begin"/>
            </w:r>
            <w:r>
              <w:rPr>
                <w:noProof/>
                <w:webHidden/>
              </w:rPr>
              <w:instrText xml:space="preserve"> PAGEREF _Toc232938063 \h </w:instrText>
            </w:r>
            <w:r>
              <w:rPr>
                <w:noProof/>
                <w:webHidden/>
              </w:rPr>
            </w:r>
            <w:r>
              <w:rPr>
                <w:noProof/>
                <w:webHidden/>
              </w:rPr>
              <w:fldChar w:fldCharType="separate"/>
            </w:r>
            <w:r>
              <w:rPr>
                <w:noProof/>
                <w:webHidden/>
              </w:rPr>
              <w:t>9</w:t>
            </w:r>
            <w:r>
              <w:rPr>
                <w:noProof/>
                <w:webHidden/>
              </w:rPr>
              <w:fldChar w:fldCharType="end"/>
            </w:r>
          </w:hyperlink>
        </w:p>
        <w:p w14:paraId="5F370D4F" w14:textId="29BA3312" w:rsidR="0062474F" w:rsidRDefault="0062474F">
          <w:pPr>
            <w:pStyle w:val="TOC2"/>
            <w:tabs>
              <w:tab w:val="right" w:leader="dot" w:pos="9016"/>
            </w:tabs>
            <w:rPr>
              <w:noProof/>
            </w:rPr>
          </w:pPr>
          <w:hyperlink w:anchor="_Toc232938064" w:history="1">
            <w:r w:rsidRPr="003D2B2A">
              <w:rPr>
                <w:rStyle w:val="Hyperlink"/>
                <w:noProof/>
              </w:rPr>
              <w:t>2.2 Representation and Workforce Diversity</w:t>
            </w:r>
            <w:r>
              <w:rPr>
                <w:noProof/>
                <w:webHidden/>
              </w:rPr>
              <w:tab/>
            </w:r>
            <w:r>
              <w:rPr>
                <w:noProof/>
                <w:webHidden/>
              </w:rPr>
              <w:fldChar w:fldCharType="begin"/>
            </w:r>
            <w:r>
              <w:rPr>
                <w:noProof/>
                <w:webHidden/>
              </w:rPr>
              <w:instrText xml:space="preserve"> PAGEREF _Toc232938064 \h </w:instrText>
            </w:r>
            <w:r>
              <w:rPr>
                <w:noProof/>
                <w:webHidden/>
              </w:rPr>
            </w:r>
            <w:r>
              <w:rPr>
                <w:noProof/>
                <w:webHidden/>
              </w:rPr>
              <w:fldChar w:fldCharType="separate"/>
            </w:r>
            <w:r>
              <w:rPr>
                <w:noProof/>
                <w:webHidden/>
              </w:rPr>
              <w:t>10</w:t>
            </w:r>
            <w:r>
              <w:rPr>
                <w:noProof/>
                <w:webHidden/>
              </w:rPr>
              <w:fldChar w:fldCharType="end"/>
            </w:r>
          </w:hyperlink>
        </w:p>
        <w:p w14:paraId="5E0672C1" w14:textId="027FAEA9" w:rsidR="0062474F" w:rsidRDefault="0062474F">
          <w:pPr>
            <w:pStyle w:val="TOC2"/>
            <w:tabs>
              <w:tab w:val="right" w:leader="dot" w:pos="9016"/>
            </w:tabs>
            <w:rPr>
              <w:noProof/>
            </w:rPr>
          </w:pPr>
          <w:hyperlink w:anchor="_Toc232938065" w:history="1">
            <w:r w:rsidRPr="003D2B2A">
              <w:rPr>
                <w:rStyle w:val="Hyperlink"/>
                <w:noProof/>
              </w:rPr>
              <w:t>2.3 Police Culture and Organisational Barriers</w:t>
            </w:r>
            <w:r>
              <w:rPr>
                <w:noProof/>
                <w:webHidden/>
              </w:rPr>
              <w:tab/>
            </w:r>
            <w:r>
              <w:rPr>
                <w:noProof/>
                <w:webHidden/>
              </w:rPr>
              <w:fldChar w:fldCharType="begin"/>
            </w:r>
            <w:r>
              <w:rPr>
                <w:noProof/>
                <w:webHidden/>
              </w:rPr>
              <w:instrText xml:space="preserve"> PAGEREF _Toc232938065 \h </w:instrText>
            </w:r>
            <w:r>
              <w:rPr>
                <w:noProof/>
                <w:webHidden/>
              </w:rPr>
            </w:r>
            <w:r>
              <w:rPr>
                <w:noProof/>
                <w:webHidden/>
              </w:rPr>
              <w:fldChar w:fldCharType="separate"/>
            </w:r>
            <w:r>
              <w:rPr>
                <w:noProof/>
                <w:webHidden/>
              </w:rPr>
              <w:t>11</w:t>
            </w:r>
            <w:r>
              <w:rPr>
                <w:noProof/>
                <w:webHidden/>
              </w:rPr>
              <w:fldChar w:fldCharType="end"/>
            </w:r>
          </w:hyperlink>
        </w:p>
        <w:p w14:paraId="386D34E6" w14:textId="297DFE57" w:rsidR="0062474F" w:rsidRDefault="0062474F">
          <w:pPr>
            <w:pStyle w:val="TOC2"/>
            <w:tabs>
              <w:tab w:val="right" w:leader="dot" w:pos="9016"/>
            </w:tabs>
            <w:rPr>
              <w:noProof/>
            </w:rPr>
          </w:pPr>
          <w:hyperlink w:anchor="_Toc232938066" w:history="1">
            <w:r w:rsidRPr="003D2B2A">
              <w:rPr>
                <w:rStyle w:val="Hyperlink"/>
                <w:noProof/>
              </w:rPr>
              <w:t>2.4 Policy vs Practice: Evaluating the Effectiveness of Equality Frameworks</w:t>
            </w:r>
            <w:r>
              <w:rPr>
                <w:noProof/>
                <w:webHidden/>
              </w:rPr>
              <w:tab/>
            </w:r>
            <w:r>
              <w:rPr>
                <w:noProof/>
                <w:webHidden/>
              </w:rPr>
              <w:fldChar w:fldCharType="begin"/>
            </w:r>
            <w:r>
              <w:rPr>
                <w:noProof/>
                <w:webHidden/>
              </w:rPr>
              <w:instrText xml:space="preserve"> PAGEREF _Toc232938066 \h </w:instrText>
            </w:r>
            <w:r>
              <w:rPr>
                <w:noProof/>
                <w:webHidden/>
              </w:rPr>
            </w:r>
            <w:r>
              <w:rPr>
                <w:noProof/>
                <w:webHidden/>
              </w:rPr>
              <w:fldChar w:fldCharType="separate"/>
            </w:r>
            <w:r>
              <w:rPr>
                <w:noProof/>
                <w:webHidden/>
              </w:rPr>
              <w:t>12</w:t>
            </w:r>
            <w:r>
              <w:rPr>
                <w:noProof/>
                <w:webHidden/>
              </w:rPr>
              <w:fldChar w:fldCharType="end"/>
            </w:r>
          </w:hyperlink>
        </w:p>
        <w:p w14:paraId="50932CC7" w14:textId="65A40C58" w:rsidR="0062474F" w:rsidRDefault="0062474F">
          <w:pPr>
            <w:pStyle w:val="TOC2"/>
            <w:tabs>
              <w:tab w:val="right" w:leader="dot" w:pos="9016"/>
            </w:tabs>
            <w:rPr>
              <w:noProof/>
            </w:rPr>
          </w:pPr>
          <w:hyperlink w:anchor="_Toc232938067" w:history="1">
            <w:r w:rsidRPr="003D2B2A">
              <w:rPr>
                <w:rStyle w:val="Hyperlink"/>
                <w:noProof/>
              </w:rPr>
              <w:t>2.5 Impact on Trust, Legitimacy and Policing Outcomes</w:t>
            </w:r>
            <w:r>
              <w:rPr>
                <w:noProof/>
                <w:webHidden/>
              </w:rPr>
              <w:tab/>
            </w:r>
            <w:r>
              <w:rPr>
                <w:noProof/>
                <w:webHidden/>
              </w:rPr>
              <w:fldChar w:fldCharType="begin"/>
            </w:r>
            <w:r>
              <w:rPr>
                <w:noProof/>
                <w:webHidden/>
              </w:rPr>
              <w:instrText xml:space="preserve"> PAGEREF _Toc232938067 \h </w:instrText>
            </w:r>
            <w:r>
              <w:rPr>
                <w:noProof/>
                <w:webHidden/>
              </w:rPr>
            </w:r>
            <w:r>
              <w:rPr>
                <w:noProof/>
                <w:webHidden/>
              </w:rPr>
              <w:fldChar w:fldCharType="separate"/>
            </w:r>
            <w:r>
              <w:rPr>
                <w:noProof/>
                <w:webHidden/>
              </w:rPr>
              <w:t>14</w:t>
            </w:r>
            <w:r>
              <w:rPr>
                <w:noProof/>
                <w:webHidden/>
              </w:rPr>
              <w:fldChar w:fldCharType="end"/>
            </w:r>
          </w:hyperlink>
        </w:p>
        <w:p w14:paraId="3929A43D" w14:textId="30CB7A6C" w:rsidR="0062474F" w:rsidRDefault="0062474F">
          <w:pPr>
            <w:pStyle w:val="TOC1"/>
            <w:tabs>
              <w:tab w:val="right" w:leader="dot" w:pos="9016"/>
            </w:tabs>
            <w:rPr>
              <w:noProof/>
            </w:rPr>
          </w:pPr>
          <w:hyperlink w:anchor="_Toc232938068" w:history="1">
            <w:r w:rsidRPr="003D2B2A">
              <w:rPr>
                <w:rStyle w:val="Hyperlink"/>
                <w:noProof/>
              </w:rPr>
              <w:t>Chapter Three – Methodology</w:t>
            </w:r>
            <w:r>
              <w:rPr>
                <w:noProof/>
                <w:webHidden/>
              </w:rPr>
              <w:tab/>
            </w:r>
            <w:r>
              <w:rPr>
                <w:noProof/>
                <w:webHidden/>
              </w:rPr>
              <w:fldChar w:fldCharType="begin"/>
            </w:r>
            <w:r>
              <w:rPr>
                <w:noProof/>
                <w:webHidden/>
              </w:rPr>
              <w:instrText xml:space="preserve"> PAGEREF _Toc232938068 \h </w:instrText>
            </w:r>
            <w:r>
              <w:rPr>
                <w:noProof/>
                <w:webHidden/>
              </w:rPr>
            </w:r>
            <w:r>
              <w:rPr>
                <w:noProof/>
                <w:webHidden/>
              </w:rPr>
              <w:fldChar w:fldCharType="separate"/>
            </w:r>
            <w:r>
              <w:rPr>
                <w:noProof/>
                <w:webHidden/>
              </w:rPr>
              <w:t>15</w:t>
            </w:r>
            <w:r>
              <w:rPr>
                <w:noProof/>
                <w:webHidden/>
              </w:rPr>
              <w:fldChar w:fldCharType="end"/>
            </w:r>
          </w:hyperlink>
        </w:p>
        <w:p w14:paraId="0D8E78C0" w14:textId="51B885BB" w:rsidR="0062474F" w:rsidRDefault="0062474F">
          <w:pPr>
            <w:pStyle w:val="TOC2"/>
            <w:tabs>
              <w:tab w:val="right" w:leader="dot" w:pos="9016"/>
            </w:tabs>
            <w:rPr>
              <w:noProof/>
            </w:rPr>
          </w:pPr>
          <w:hyperlink w:anchor="_Toc232938069" w:history="1">
            <w:r w:rsidRPr="003D2B2A">
              <w:rPr>
                <w:rStyle w:val="Hyperlink"/>
                <w:noProof/>
              </w:rPr>
              <w:t>3.1 Research Approach</w:t>
            </w:r>
            <w:r>
              <w:rPr>
                <w:noProof/>
                <w:webHidden/>
              </w:rPr>
              <w:tab/>
            </w:r>
            <w:r>
              <w:rPr>
                <w:noProof/>
                <w:webHidden/>
              </w:rPr>
              <w:fldChar w:fldCharType="begin"/>
            </w:r>
            <w:r>
              <w:rPr>
                <w:noProof/>
                <w:webHidden/>
              </w:rPr>
              <w:instrText xml:space="preserve"> PAGEREF _Toc232938069 \h </w:instrText>
            </w:r>
            <w:r>
              <w:rPr>
                <w:noProof/>
                <w:webHidden/>
              </w:rPr>
            </w:r>
            <w:r>
              <w:rPr>
                <w:noProof/>
                <w:webHidden/>
              </w:rPr>
              <w:fldChar w:fldCharType="separate"/>
            </w:r>
            <w:r>
              <w:rPr>
                <w:noProof/>
                <w:webHidden/>
              </w:rPr>
              <w:t>15</w:t>
            </w:r>
            <w:r>
              <w:rPr>
                <w:noProof/>
                <w:webHidden/>
              </w:rPr>
              <w:fldChar w:fldCharType="end"/>
            </w:r>
          </w:hyperlink>
        </w:p>
        <w:p w14:paraId="2DBB2742" w14:textId="044E8A2D" w:rsidR="0062474F" w:rsidRDefault="0062474F">
          <w:pPr>
            <w:pStyle w:val="TOC2"/>
            <w:tabs>
              <w:tab w:val="right" w:leader="dot" w:pos="9016"/>
            </w:tabs>
            <w:rPr>
              <w:noProof/>
            </w:rPr>
          </w:pPr>
          <w:hyperlink w:anchor="_Toc232938070" w:history="1">
            <w:r w:rsidRPr="003D2B2A">
              <w:rPr>
                <w:rStyle w:val="Hyperlink"/>
                <w:noProof/>
              </w:rPr>
              <w:t>.</w:t>
            </w:r>
            <w:r>
              <w:rPr>
                <w:noProof/>
                <w:webHidden/>
              </w:rPr>
              <w:tab/>
            </w:r>
            <w:r>
              <w:rPr>
                <w:noProof/>
                <w:webHidden/>
              </w:rPr>
              <w:fldChar w:fldCharType="begin"/>
            </w:r>
            <w:r>
              <w:rPr>
                <w:noProof/>
                <w:webHidden/>
              </w:rPr>
              <w:instrText xml:space="preserve"> PAGEREF _Toc232938070 \h </w:instrText>
            </w:r>
            <w:r>
              <w:rPr>
                <w:noProof/>
                <w:webHidden/>
              </w:rPr>
            </w:r>
            <w:r>
              <w:rPr>
                <w:noProof/>
                <w:webHidden/>
              </w:rPr>
              <w:fldChar w:fldCharType="separate"/>
            </w:r>
            <w:r>
              <w:rPr>
                <w:noProof/>
                <w:webHidden/>
              </w:rPr>
              <w:t>15</w:t>
            </w:r>
            <w:r>
              <w:rPr>
                <w:noProof/>
                <w:webHidden/>
              </w:rPr>
              <w:fldChar w:fldCharType="end"/>
            </w:r>
          </w:hyperlink>
        </w:p>
        <w:p w14:paraId="7FDDC9B7" w14:textId="2B43A864" w:rsidR="0062474F" w:rsidRDefault="0062474F">
          <w:pPr>
            <w:pStyle w:val="TOC2"/>
            <w:tabs>
              <w:tab w:val="right" w:leader="dot" w:pos="9016"/>
            </w:tabs>
            <w:rPr>
              <w:noProof/>
            </w:rPr>
          </w:pPr>
          <w:hyperlink w:anchor="_Toc232938071" w:history="1">
            <w:r w:rsidRPr="003D2B2A">
              <w:rPr>
                <w:rStyle w:val="Hyperlink"/>
                <w:noProof/>
              </w:rPr>
              <w:t>3.2 Research Design: Secondary Data Analysis</w:t>
            </w:r>
            <w:r>
              <w:rPr>
                <w:noProof/>
                <w:webHidden/>
              </w:rPr>
              <w:tab/>
            </w:r>
            <w:r>
              <w:rPr>
                <w:noProof/>
                <w:webHidden/>
              </w:rPr>
              <w:fldChar w:fldCharType="begin"/>
            </w:r>
            <w:r>
              <w:rPr>
                <w:noProof/>
                <w:webHidden/>
              </w:rPr>
              <w:instrText xml:space="preserve"> PAGEREF _Toc232938071 \h </w:instrText>
            </w:r>
            <w:r>
              <w:rPr>
                <w:noProof/>
                <w:webHidden/>
              </w:rPr>
            </w:r>
            <w:r>
              <w:rPr>
                <w:noProof/>
                <w:webHidden/>
              </w:rPr>
              <w:fldChar w:fldCharType="separate"/>
            </w:r>
            <w:r>
              <w:rPr>
                <w:noProof/>
                <w:webHidden/>
              </w:rPr>
              <w:t>15</w:t>
            </w:r>
            <w:r>
              <w:rPr>
                <w:noProof/>
                <w:webHidden/>
              </w:rPr>
              <w:fldChar w:fldCharType="end"/>
            </w:r>
          </w:hyperlink>
        </w:p>
        <w:p w14:paraId="7A908144" w14:textId="56C50431" w:rsidR="0062474F" w:rsidRDefault="0062474F">
          <w:pPr>
            <w:pStyle w:val="TOC2"/>
            <w:tabs>
              <w:tab w:val="right" w:leader="dot" w:pos="9016"/>
            </w:tabs>
            <w:rPr>
              <w:noProof/>
            </w:rPr>
          </w:pPr>
          <w:hyperlink w:anchor="_Toc232938072" w:history="1">
            <w:r w:rsidRPr="003D2B2A">
              <w:rPr>
                <w:rStyle w:val="Hyperlink"/>
                <w:noProof/>
              </w:rPr>
              <w:t>3.3 Data Sources</w:t>
            </w:r>
            <w:r>
              <w:rPr>
                <w:noProof/>
                <w:webHidden/>
              </w:rPr>
              <w:tab/>
            </w:r>
            <w:r>
              <w:rPr>
                <w:noProof/>
                <w:webHidden/>
              </w:rPr>
              <w:fldChar w:fldCharType="begin"/>
            </w:r>
            <w:r>
              <w:rPr>
                <w:noProof/>
                <w:webHidden/>
              </w:rPr>
              <w:instrText xml:space="preserve"> PAGEREF _Toc232938072 \h </w:instrText>
            </w:r>
            <w:r>
              <w:rPr>
                <w:noProof/>
                <w:webHidden/>
              </w:rPr>
            </w:r>
            <w:r>
              <w:rPr>
                <w:noProof/>
                <w:webHidden/>
              </w:rPr>
              <w:fldChar w:fldCharType="separate"/>
            </w:r>
            <w:r>
              <w:rPr>
                <w:noProof/>
                <w:webHidden/>
              </w:rPr>
              <w:t>16</w:t>
            </w:r>
            <w:r>
              <w:rPr>
                <w:noProof/>
                <w:webHidden/>
              </w:rPr>
              <w:fldChar w:fldCharType="end"/>
            </w:r>
          </w:hyperlink>
        </w:p>
        <w:p w14:paraId="14BBFD6D" w14:textId="034E0045" w:rsidR="0062474F" w:rsidRDefault="0062474F">
          <w:pPr>
            <w:pStyle w:val="TOC2"/>
            <w:tabs>
              <w:tab w:val="right" w:leader="dot" w:pos="9016"/>
            </w:tabs>
            <w:rPr>
              <w:noProof/>
            </w:rPr>
          </w:pPr>
          <w:hyperlink w:anchor="_Toc232938073" w:history="1">
            <w:r w:rsidRPr="003D2B2A">
              <w:rPr>
                <w:rStyle w:val="Hyperlink"/>
                <w:noProof/>
              </w:rPr>
              <w:t>3.4 Justification of Methodological Approach – Secondary Research</w:t>
            </w:r>
            <w:r>
              <w:rPr>
                <w:noProof/>
                <w:webHidden/>
              </w:rPr>
              <w:tab/>
            </w:r>
            <w:r>
              <w:rPr>
                <w:noProof/>
                <w:webHidden/>
              </w:rPr>
              <w:fldChar w:fldCharType="begin"/>
            </w:r>
            <w:r>
              <w:rPr>
                <w:noProof/>
                <w:webHidden/>
              </w:rPr>
              <w:instrText xml:space="preserve"> PAGEREF _Toc232938073 \h </w:instrText>
            </w:r>
            <w:r>
              <w:rPr>
                <w:noProof/>
                <w:webHidden/>
              </w:rPr>
            </w:r>
            <w:r>
              <w:rPr>
                <w:noProof/>
                <w:webHidden/>
              </w:rPr>
              <w:fldChar w:fldCharType="separate"/>
            </w:r>
            <w:r>
              <w:rPr>
                <w:noProof/>
                <w:webHidden/>
              </w:rPr>
              <w:t>17</w:t>
            </w:r>
            <w:r>
              <w:rPr>
                <w:noProof/>
                <w:webHidden/>
              </w:rPr>
              <w:fldChar w:fldCharType="end"/>
            </w:r>
          </w:hyperlink>
        </w:p>
        <w:p w14:paraId="0AF5EB7C" w14:textId="0AA7DA48" w:rsidR="0062474F" w:rsidRDefault="0062474F">
          <w:pPr>
            <w:pStyle w:val="TOC2"/>
            <w:tabs>
              <w:tab w:val="right" w:leader="dot" w:pos="9016"/>
            </w:tabs>
            <w:rPr>
              <w:noProof/>
            </w:rPr>
          </w:pPr>
          <w:hyperlink w:anchor="_Toc232938074" w:history="1">
            <w:r w:rsidRPr="003D2B2A">
              <w:rPr>
                <w:rStyle w:val="Hyperlink"/>
                <w:noProof/>
              </w:rPr>
              <w:t>3.5 Limitations</w:t>
            </w:r>
            <w:r>
              <w:rPr>
                <w:noProof/>
                <w:webHidden/>
              </w:rPr>
              <w:tab/>
            </w:r>
            <w:r>
              <w:rPr>
                <w:noProof/>
                <w:webHidden/>
              </w:rPr>
              <w:fldChar w:fldCharType="begin"/>
            </w:r>
            <w:r>
              <w:rPr>
                <w:noProof/>
                <w:webHidden/>
              </w:rPr>
              <w:instrText xml:space="preserve"> PAGEREF _Toc232938074 \h </w:instrText>
            </w:r>
            <w:r>
              <w:rPr>
                <w:noProof/>
                <w:webHidden/>
              </w:rPr>
            </w:r>
            <w:r>
              <w:rPr>
                <w:noProof/>
                <w:webHidden/>
              </w:rPr>
              <w:fldChar w:fldCharType="separate"/>
            </w:r>
            <w:r>
              <w:rPr>
                <w:noProof/>
                <w:webHidden/>
              </w:rPr>
              <w:t>18</w:t>
            </w:r>
            <w:r>
              <w:rPr>
                <w:noProof/>
                <w:webHidden/>
              </w:rPr>
              <w:fldChar w:fldCharType="end"/>
            </w:r>
          </w:hyperlink>
        </w:p>
        <w:p w14:paraId="17579FF5" w14:textId="5CD2A439" w:rsidR="0062474F" w:rsidRDefault="0062474F">
          <w:pPr>
            <w:pStyle w:val="TOC2"/>
            <w:tabs>
              <w:tab w:val="right" w:leader="dot" w:pos="9016"/>
            </w:tabs>
            <w:rPr>
              <w:noProof/>
            </w:rPr>
          </w:pPr>
          <w:hyperlink w:anchor="_Toc232938075" w:history="1">
            <w:r w:rsidRPr="003D2B2A">
              <w:rPr>
                <w:rStyle w:val="Hyperlink"/>
                <w:noProof/>
              </w:rPr>
              <w:t>3.6 Ethical Considerations</w:t>
            </w:r>
            <w:r>
              <w:rPr>
                <w:noProof/>
                <w:webHidden/>
              </w:rPr>
              <w:tab/>
            </w:r>
            <w:r>
              <w:rPr>
                <w:noProof/>
                <w:webHidden/>
              </w:rPr>
              <w:fldChar w:fldCharType="begin"/>
            </w:r>
            <w:r>
              <w:rPr>
                <w:noProof/>
                <w:webHidden/>
              </w:rPr>
              <w:instrText xml:space="preserve"> PAGEREF _Toc232938075 \h </w:instrText>
            </w:r>
            <w:r>
              <w:rPr>
                <w:noProof/>
                <w:webHidden/>
              </w:rPr>
            </w:r>
            <w:r>
              <w:rPr>
                <w:noProof/>
                <w:webHidden/>
              </w:rPr>
              <w:fldChar w:fldCharType="separate"/>
            </w:r>
            <w:r>
              <w:rPr>
                <w:noProof/>
                <w:webHidden/>
              </w:rPr>
              <w:t>18</w:t>
            </w:r>
            <w:r>
              <w:rPr>
                <w:noProof/>
                <w:webHidden/>
              </w:rPr>
              <w:fldChar w:fldCharType="end"/>
            </w:r>
          </w:hyperlink>
        </w:p>
        <w:p w14:paraId="17A03E6B" w14:textId="621E6309" w:rsidR="0062474F" w:rsidRDefault="0062474F">
          <w:pPr>
            <w:pStyle w:val="TOC1"/>
            <w:tabs>
              <w:tab w:val="right" w:leader="dot" w:pos="9016"/>
            </w:tabs>
            <w:rPr>
              <w:noProof/>
            </w:rPr>
          </w:pPr>
          <w:hyperlink w:anchor="_Toc232938076" w:history="1">
            <w:r w:rsidRPr="003D2B2A">
              <w:rPr>
                <w:rStyle w:val="Hyperlink"/>
                <w:noProof/>
              </w:rPr>
              <w:t>Chapter Four – Analysis of Results</w:t>
            </w:r>
            <w:r>
              <w:rPr>
                <w:noProof/>
                <w:webHidden/>
              </w:rPr>
              <w:tab/>
            </w:r>
            <w:r>
              <w:rPr>
                <w:noProof/>
                <w:webHidden/>
              </w:rPr>
              <w:fldChar w:fldCharType="begin"/>
            </w:r>
            <w:r>
              <w:rPr>
                <w:noProof/>
                <w:webHidden/>
              </w:rPr>
              <w:instrText xml:space="preserve"> PAGEREF _Toc232938076 \h </w:instrText>
            </w:r>
            <w:r>
              <w:rPr>
                <w:noProof/>
                <w:webHidden/>
              </w:rPr>
            </w:r>
            <w:r>
              <w:rPr>
                <w:noProof/>
                <w:webHidden/>
              </w:rPr>
              <w:fldChar w:fldCharType="separate"/>
            </w:r>
            <w:r>
              <w:rPr>
                <w:noProof/>
                <w:webHidden/>
              </w:rPr>
              <w:t>19</w:t>
            </w:r>
            <w:r>
              <w:rPr>
                <w:noProof/>
                <w:webHidden/>
              </w:rPr>
              <w:fldChar w:fldCharType="end"/>
            </w:r>
          </w:hyperlink>
        </w:p>
        <w:p w14:paraId="79873C20" w14:textId="61B29AD9" w:rsidR="0062474F" w:rsidRDefault="0062474F">
          <w:pPr>
            <w:pStyle w:val="TOC2"/>
            <w:tabs>
              <w:tab w:val="right" w:leader="dot" w:pos="9016"/>
            </w:tabs>
            <w:rPr>
              <w:noProof/>
            </w:rPr>
          </w:pPr>
          <w:hyperlink w:anchor="_Toc232938077" w:history="1">
            <w:r w:rsidRPr="003D2B2A">
              <w:rPr>
                <w:rStyle w:val="Hyperlink"/>
                <w:noProof/>
              </w:rPr>
              <w:t>4.1 Representation and Operational Outcomes</w:t>
            </w:r>
            <w:r>
              <w:rPr>
                <w:noProof/>
                <w:webHidden/>
              </w:rPr>
              <w:tab/>
            </w:r>
            <w:r>
              <w:rPr>
                <w:noProof/>
                <w:webHidden/>
              </w:rPr>
              <w:fldChar w:fldCharType="begin"/>
            </w:r>
            <w:r>
              <w:rPr>
                <w:noProof/>
                <w:webHidden/>
              </w:rPr>
              <w:instrText xml:space="preserve"> PAGEREF _Toc232938077 \h </w:instrText>
            </w:r>
            <w:r>
              <w:rPr>
                <w:noProof/>
                <w:webHidden/>
              </w:rPr>
            </w:r>
            <w:r>
              <w:rPr>
                <w:noProof/>
                <w:webHidden/>
              </w:rPr>
              <w:fldChar w:fldCharType="separate"/>
            </w:r>
            <w:r>
              <w:rPr>
                <w:noProof/>
                <w:webHidden/>
              </w:rPr>
              <w:t>19</w:t>
            </w:r>
            <w:r>
              <w:rPr>
                <w:noProof/>
                <w:webHidden/>
              </w:rPr>
              <w:fldChar w:fldCharType="end"/>
            </w:r>
          </w:hyperlink>
        </w:p>
        <w:p w14:paraId="541A8CBD" w14:textId="32708F62" w:rsidR="0062474F" w:rsidRDefault="0062474F">
          <w:pPr>
            <w:pStyle w:val="TOC2"/>
            <w:tabs>
              <w:tab w:val="right" w:leader="dot" w:pos="9016"/>
            </w:tabs>
            <w:rPr>
              <w:noProof/>
            </w:rPr>
          </w:pPr>
          <w:hyperlink w:anchor="_Toc232938078" w:history="1">
            <w:r w:rsidRPr="003D2B2A">
              <w:rPr>
                <w:rStyle w:val="Hyperlink"/>
                <w:noProof/>
              </w:rPr>
              <w:t>4.2 Organisational Culture and Institutional Barriers</w:t>
            </w:r>
            <w:r>
              <w:rPr>
                <w:noProof/>
                <w:webHidden/>
              </w:rPr>
              <w:tab/>
            </w:r>
            <w:r>
              <w:rPr>
                <w:noProof/>
                <w:webHidden/>
              </w:rPr>
              <w:fldChar w:fldCharType="begin"/>
            </w:r>
            <w:r>
              <w:rPr>
                <w:noProof/>
                <w:webHidden/>
              </w:rPr>
              <w:instrText xml:space="preserve"> PAGEREF _Toc232938078 \h </w:instrText>
            </w:r>
            <w:r>
              <w:rPr>
                <w:noProof/>
                <w:webHidden/>
              </w:rPr>
            </w:r>
            <w:r>
              <w:rPr>
                <w:noProof/>
                <w:webHidden/>
              </w:rPr>
              <w:fldChar w:fldCharType="separate"/>
            </w:r>
            <w:r>
              <w:rPr>
                <w:noProof/>
                <w:webHidden/>
              </w:rPr>
              <w:t>21</w:t>
            </w:r>
            <w:r>
              <w:rPr>
                <w:noProof/>
                <w:webHidden/>
              </w:rPr>
              <w:fldChar w:fldCharType="end"/>
            </w:r>
          </w:hyperlink>
        </w:p>
        <w:p w14:paraId="199604E8" w14:textId="6E6DB7F9" w:rsidR="0062474F" w:rsidRDefault="0062474F">
          <w:pPr>
            <w:pStyle w:val="TOC2"/>
            <w:tabs>
              <w:tab w:val="right" w:leader="dot" w:pos="9016"/>
            </w:tabs>
            <w:rPr>
              <w:noProof/>
            </w:rPr>
          </w:pPr>
          <w:hyperlink w:anchor="_Toc232938079" w:history="1">
            <w:r w:rsidRPr="003D2B2A">
              <w:rPr>
                <w:rStyle w:val="Hyperlink"/>
                <w:noProof/>
              </w:rPr>
              <w:t>4.3 Public Trust, Legitimacy and Policy Effectiveness</w:t>
            </w:r>
            <w:r>
              <w:rPr>
                <w:noProof/>
                <w:webHidden/>
              </w:rPr>
              <w:tab/>
            </w:r>
            <w:r>
              <w:rPr>
                <w:noProof/>
                <w:webHidden/>
              </w:rPr>
              <w:fldChar w:fldCharType="begin"/>
            </w:r>
            <w:r>
              <w:rPr>
                <w:noProof/>
                <w:webHidden/>
              </w:rPr>
              <w:instrText xml:space="preserve"> PAGEREF _Toc232938079 \h </w:instrText>
            </w:r>
            <w:r>
              <w:rPr>
                <w:noProof/>
                <w:webHidden/>
              </w:rPr>
            </w:r>
            <w:r>
              <w:rPr>
                <w:noProof/>
                <w:webHidden/>
              </w:rPr>
              <w:fldChar w:fldCharType="separate"/>
            </w:r>
            <w:r>
              <w:rPr>
                <w:noProof/>
                <w:webHidden/>
              </w:rPr>
              <w:t>23</w:t>
            </w:r>
            <w:r>
              <w:rPr>
                <w:noProof/>
                <w:webHidden/>
              </w:rPr>
              <w:fldChar w:fldCharType="end"/>
            </w:r>
          </w:hyperlink>
        </w:p>
        <w:p w14:paraId="2B46EE62" w14:textId="2DB8B051" w:rsidR="0062474F" w:rsidRDefault="0062474F">
          <w:pPr>
            <w:pStyle w:val="TOC1"/>
            <w:tabs>
              <w:tab w:val="right" w:leader="dot" w:pos="9016"/>
            </w:tabs>
            <w:rPr>
              <w:noProof/>
            </w:rPr>
          </w:pPr>
          <w:hyperlink w:anchor="_Toc232938080" w:history="1">
            <w:r w:rsidRPr="003D2B2A">
              <w:rPr>
                <w:rStyle w:val="Hyperlink"/>
                <w:noProof/>
              </w:rPr>
              <w:t>Chapter Five - Discussion</w:t>
            </w:r>
            <w:r>
              <w:rPr>
                <w:noProof/>
                <w:webHidden/>
              </w:rPr>
              <w:tab/>
            </w:r>
            <w:r>
              <w:rPr>
                <w:noProof/>
                <w:webHidden/>
              </w:rPr>
              <w:fldChar w:fldCharType="begin"/>
            </w:r>
            <w:r>
              <w:rPr>
                <w:noProof/>
                <w:webHidden/>
              </w:rPr>
              <w:instrText xml:space="preserve"> PAGEREF _Toc232938080 \h </w:instrText>
            </w:r>
            <w:r>
              <w:rPr>
                <w:noProof/>
                <w:webHidden/>
              </w:rPr>
            </w:r>
            <w:r>
              <w:rPr>
                <w:noProof/>
                <w:webHidden/>
              </w:rPr>
              <w:fldChar w:fldCharType="separate"/>
            </w:r>
            <w:r>
              <w:rPr>
                <w:noProof/>
                <w:webHidden/>
              </w:rPr>
              <w:t>25</w:t>
            </w:r>
            <w:r>
              <w:rPr>
                <w:noProof/>
                <w:webHidden/>
              </w:rPr>
              <w:fldChar w:fldCharType="end"/>
            </w:r>
          </w:hyperlink>
        </w:p>
        <w:p w14:paraId="5B33DE9F" w14:textId="3891538B" w:rsidR="0062474F" w:rsidRDefault="0062474F">
          <w:pPr>
            <w:pStyle w:val="TOC2"/>
            <w:tabs>
              <w:tab w:val="right" w:leader="dot" w:pos="9016"/>
            </w:tabs>
            <w:rPr>
              <w:noProof/>
            </w:rPr>
          </w:pPr>
          <w:hyperlink w:anchor="_Toc232938081" w:history="1">
            <w:r w:rsidRPr="003D2B2A">
              <w:rPr>
                <w:rStyle w:val="Hyperlink"/>
                <w:noProof/>
              </w:rPr>
              <w:t>5.1 Overall Effectiveness of Equality and Diversity Policies</w:t>
            </w:r>
            <w:r>
              <w:rPr>
                <w:noProof/>
                <w:webHidden/>
              </w:rPr>
              <w:tab/>
            </w:r>
            <w:r>
              <w:rPr>
                <w:noProof/>
                <w:webHidden/>
              </w:rPr>
              <w:fldChar w:fldCharType="begin"/>
            </w:r>
            <w:r>
              <w:rPr>
                <w:noProof/>
                <w:webHidden/>
              </w:rPr>
              <w:instrText xml:space="preserve"> PAGEREF _Toc232938081 \h </w:instrText>
            </w:r>
            <w:r>
              <w:rPr>
                <w:noProof/>
                <w:webHidden/>
              </w:rPr>
            </w:r>
            <w:r>
              <w:rPr>
                <w:noProof/>
                <w:webHidden/>
              </w:rPr>
              <w:fldChar w:fldCharType="separate"/>
            </w:r>
            <w:r>
              <w:rPr>
                <w:noProof/>
                <w:webHidden/>
              </w:rPr>
              <w:t>25</w:t>
            </w:r>
            <w:r>
              <w:rPr>
                <w:noProof/>
                <w:webHidden/>
              </w:rPr>
              <w:fldChar w:fldCharType="end"/>
            </w:r>
          </w:hyperlink>
        </w:p>
        <w:p w14:paraId="6FF05C5D" w14:textId="15ED288A" w:rsidR="0062474F" w:rsidRDefault="0062474F">
          <w:pPr>
            <w:pStyle w:val="TOC1"/>
            <w:tabs>
              <w:tab w:val="right" w:leader="dot" w:pos="9016"/>
            </w:tabs>
            <w:rPr>
              <w:noProof/>
            </w:rPr>
          </w:pPr>
          <w:hyperlink w:anchor="_Toc232938082" w:history="1">
            <w:r w:rsidRPr="003D2B2A">
              <w:rPr>
                <w:rStyle w:val="Hyperlink"/>
                <w:noProof/>
              </w:rPr>
              <w:t>Chapter Six – Conclusion</w:t>
            </w:r>
            <w:r>
              <w:rPr>
                <w:noProof/>
                <w:webHidden/>
              </w:rPr>
              <w:tab/>
            </w:r>
            <w:r>
              <w:rPr>
                <w:noProof/>
                <w:webHidden/>
              </w:rPr>
              <w:fldChar w:fldCharType="begin"/>
            </w:r>
            <w:r>
              <w:rPr>
                <w:noProof/>
                <w:webHidden/>
              </w:rPr>
              <w:instrText xml:space="preserve"> PAGEREF _Toc232938082 \h </w:instrText>
            </w:r>
            <w:r>
              <w:rPr>
                <w:noProof/>
                <w:webHidden/>
              </w:rPr>
            </w:r>
            <w:r>
              <w:rPr>
                <w:noProof/>
                <w:webHidden/>
              </w:rPr>
              <w:fldChar w:fldCharType="separate"/>
            </w:r>
            <w:r>
              <w:rPr>
                <w:noProof/>
                <w:webHidden/>
              </w:rPr>
              <w:t>27</w:t>
            </w:r>
            <w:r>
              <w:rPr>
                <w:noProof/>
                <w:webHidden/>
              </w:rPr>
              <w:fldChar w:fldCharType="end"/>
            </w:r>
          </w:hyperlink>
        </w:p>
        <w:p w14:paraId="73145D7C" w14:textId="13077916" w:rsidR="0062474F" w:rsidRDefault="0062474F">
          <w:pPr>
            <w:pStyle w:val="TOC2"/>
            <w:tabs>
              <w:tab w:val="right" w:leader="dot" w:pos="9016"/>
            </w:tabs>
            <w:rPr>
              <w:noProof/>
            </w:rPr>
          </w:pPr>
          <w:hyperlink w:anchor="_Toc232938083" w:history="1">
            <w:r w:rsidRPr="003D2B2A">
              <w:rPr>
                <w:rStyle w:val="Hyperlink"/>
                <w:noProof/>
              </w:rPr>
              <w:t>6. Conclusion</w:t>
            </w:r>
            <w:r>
              <w:rPr>
                <w:noProof/>
                <w:webHidden/>
              </w:rPr>
              <w:tab/>
            </w:r>
            <w:r>
              <w:rPr>
                <w:noProof/>
                <w:webHidden/>
              </w:rPr>
              <w:fldChar w:fldCharType="begin"/>
            </w:r>
            <w:r>
              <w:rPr>
                <w:noProof/>
                <w:webHidden/>
              </w:rPr>
              <w:instrText xml:space="preserve"> PAGEREF _Toc232938083 \h </w:instrText>
            </w:r>
            <w:r>
              <w:rPr>
                <w:noProof/>
                <w:webHidden/>
              </w:rPr>
            </w:r>
            <w:r>
              <w:rPr>
                <w:noProof/>
                <w:webHidden/>
              </w:rPr>
              <w:fldChar w:fldCharType="separate"/>
            </w:r>
            <w:r>
              <w:rPr>
                <w:noProof/>
                <w:webHidden/>
              </w:rPr>
              <w:t>27</w:t>
            </w:r>
            <w:r>
              <w:rPr>
                <w:noProof/>
                <w:webHidden/>
              </w:rPr>
              <w:fldChar w:fldCharType="end"/>
            </w:r>
          </w:hyperlink>
        </w:p>
        <w:p w14:paraId="45CC18B3" w14:textId="20BCEEC7" w:rsidR="0062474F" w:rsidRDefault="0062474F">
          <w:r>
            <w:rPr>
              <w:b/>
              <w:bCs/>
              <w:noProof/>
            </w:rPr>
            <w:fldChar w:fldCharType="end"/>
          </w:r>
        </w:p>
      </w:sdtContent>
    </w:sdt>
    <w:p w14:paraId="3BF0316C" w14:textId="77777777" w:rsidR="0062474F" w:rsidRDefault="0062474F" w:rsidP="00507FBF">
      <w:pPr>
        <w:tabs>
          <w:tab w:val="left" w:pos="2520"/>
        </w:tabs>
        <w:rPr>
          <w:rFonts w:ascii="Arial" w:hAnsi="Arial" w:cs="Arial"/>
          <w:b/>
          <w:bCs/>
          <w:i/>
          <w:iCs/>
          <w:sz w:val="40"/>
          <w:szCs w:val="40"/>
        </w:rPr>
      </w:pPr>
    </w:p>
    <w:p w14:paraId="37538176" w14:textId="77777777" w:rsidR="0062474F" w:rsidRDefault="0062474F" w:rsidP="00507FBF">
      <w:pPr>
        <w:tabs>
          <w:tab w:val="left" w:pos="2520"/>
        </w:tabs>
        <w:rPr>
          <w:rFonts w:ascii="Arial" w:hAnsi="Arial" w:cs="Arial"/>
          <w:b/>
          <w:bCs/>
          <w:i/>
          <w:iCs/>
          <w:sz w:val="40"/>
          <w:szCs w:val="40"/>
        </w:rPr>
      </w:pPr>
    </w:p>
    <w:p w14:paraId="1FBD2F2F" w14:textId="08A4DA33" w:rsidR="00507FBF" w:rsidRPr="00507FBF" w:rsidRDefault="00507FBF" w:rsidP="00507FBF">
      <w:pPr>
        <w:tabs>
          <w:tab w:val="left" w:pos="2520"/>
        </w:tabs>
        <w:rPr>
          <w:rFonts w:ascii="Arial" w:hAnsi="Arial" w:cs="Arial"/>
          <w:b/>
          <w:bCs/>
          <w:i/>
          <w:iCs/>
          <w:sz w:val="40"/>
          <w:szCs w:val="40"/>
        </w:rPr>
      </w:pPr>
      <w:r w:rsidRPr="00507FBF">
        <w:rPr>
          <w:rFonts w:ascii="Arial" w:hAnsi="Arial" w:cs="Arial"/>
          <w:b/>
          <w:bCs/>
          <w:i/>
          <w:iCs/>
          <w:sz w:val="40"/>
          <w:szCs w:val="40"/>
        </w:rPr>
        <w:lastRenderedPageBreak/>
        <w:t>Abstract</w:t>
      </w:r>
    </w:p>
    <w:p w14:paraId="2E17C7D8" w14:textId="77777777" w:rsidR="00507FBF" w:rsidRDefault="00507FBF" w:rsidP="00507FBF">
      <w:pPr>
        <w:tabs>
          <w:tab w:val="left" w:pos="2520"/>
        </w:tabs>
        <w:rPr>
          <w:rFonts w:ascii="Arial" w:hAnsi="Arial" w:cs="Arial"/>
          <w:b/>
          <w:bCs/>
          <w:sz w:val="32"/>
          <w:szCs w:val="32"/>
        </w:rPr>
      </w:pPr>
    </w:p>
    <w:p w14:paraId="20014C4A" w14:textId="2816C918" w:rsidR="00C60CA7" w:rsidRPr="00C60CA7" w:rsidRDefault="00C60CA7" w:rsidP="00C60CA7">
      <w:pPr>
        <w:tabs>
          <w:tab w:val="left" w:pos="2520"/>
        </w:tabs>
        <w:jc w:val="center"/>
        <w:rPr>
          <w:rFonts w:ascii="Calibri" w:hAnsi="Calibri" w:cs="Calibri"/>
          <w:sz w:val="24"/>
          <w:szCs w:val="24"/>
        </w:rPr>
      </w:pPr>
      <w:r w:rsidRPr="00C60CA7">
        <w:rPr>
          <w:rFonts w:ascii="Calibri" w:hAnsi="Calibri" w:cs="Calibri"/>
          <w:sz w:val="24"/>
          <w:szCs w:val="24"/>
        </w:rPr>
        <w:t>This dissertation critically evaluates the extent to which equality and diversity policies have been effective within British policing. Using a qualitative methodology based on secondary data analysis, the research examines academic literature, government publications, official policing reports, and statistical evidence to assess the impact of equality initiatives on workforce representation, organisational culture, operational policing outcomes, and public trust. The findings demonstrate that, while equality and diversity policies have contributed to measurable improvements in workforce diversity and strengthened institutional awareness of inclusion, significant structural, cultural, and operational barriers continue to limit their overall effectiveness. Persistent disparities in leadership representation, disproportionality in the use of police powers, organisational misconduct, and variations in public confidence indicate that formal policy commitments have not consistently translated into meaningful change in practice. The research concludes that equality and diversity policies within British policing have achieved meaningful but limited progress and that long-term improvement will require sustained cultural transformation, stronger accountability mechanisms, and the consistent integration of equality principles into everyday policing practice.</w:t>
      </w:r>
    </w:p>
    <w:p w14:paraId="673B8D14" w14:textId="77777777" w:rsidR="00507FBF" w:rsidRDefault="00507FBF" w:rsidP="00C60CA7">
      <w:pPr>
        <w:tabs>
          <w:tab w:val="left" w:pos="2520"/>
        </w:tabs>
        <w:jc w:val="center"/>
        <w:rPr>
          <w:rFonts w:ascii="Arial" w:hAnsi="Arial" w:cs="Arial"/>
          <w:b/>
          <w:bCs/>
          <w:sz w:val="28"/>
          <w:szCs w:val="28"/>
        </w:rPr>
      </w:pPr>
    </w:p>
    <w:p w14:paraId="44BC3F98" w14:textId="77777777" w:rsidR="00C60CA7" w:rsidRDefault="00C60CA7" w:rsidP="00C60CA7">
      <w:pPr>
        <w:tabs>
          <w:tab w:val="left" w:pos="2520"/>
        </w:tabs>
        <w:jc w:val="center"/>
        <w:rPr>
          <w:rFonts w:ascii="Arial" w:hAnsi="Arial" w:cs="Arial"/>
          <w:b/>
          <w:bCs/>
          <w:sz w:val="28"/>
          <w:szCs w:val="28"/>
        </w:rPr>
      </w:pPr>
    </w:p>
    <w:p w14:paraId="34EEFCD8" w14:textId="77777777" w:rsidR="00C60CA7" w:rsidRDefault="00C60CA7" w:rsidP="00C60CA7">
      <w:pPr>
        <w:tabs>
          <w:tab w:val="left" w:pos="2520"/>
        </w:tabs>
        <w:jc w:val="center"/>
        <w:rPr>
          <w:rFonts w:ascii="Arial" w:hAnsi="Arial" w:cs="Arial"/>
          <w:b/>
          <w:bCs/>
          <w:sz w:val="28"/>
          <w:szCs w:val="28"/>
        </w:rPr>
      </w:pPr>
    </w:p>
    <w:p w14:paraId="352C94DF" w14:textId="77777777" w:rsidR="00C60CA7" w:rsidRDefault="00C60CA7" w:rsidP="00C60CA7">
      <w:pPr>
        <w:tabs>
          <w:tab w:val="left" w:pos="2520"/>
        </w:tabs>
        <w:jc w:val="center"/>
        <w:rPr>
          <w:rFonts w:ascii="Arial" w:hAnsi="Arial" w:cs="Arial"/>
          <w:b/>
          <w:bCs/>
          <w:sz w:val="28"/>
          <w:szCs w:val="28"/>
        </w:rPr>
      </w:pPr>
    </w:p>
    <w:p w14:paraId="6CF3F4E7" w14:textId="77777777" w:rsidR="00C60CA7" w:rsidRDefault="00C60CA7" w:rsidP="00C60CA7">
      <w:pPr>
        <w:tabs>
          <w:tab w:val="left" w:pos="2520"/>
        </w:tabs>
        <w:jc w:val="center"/>
        <w:rPr>
          <w:rFonts w:ascii="Arial" w:hAnsi="Arial" w:cs="Arial"/>
          <w:b/>
          <w:bCs/>
          <w:sz w:val="28"/>
          <w:szCs w:val="28"/>
        </w:rPr>
      </w:pPr>
    </w:p>
    <w:p w14:paraId="3B86DECA" w14:textId="77777777" w:rsidR="00C60CA7" w:rsidRDefault="00C60CA7" w:rsidP="00C60CA7">
      <w:pPr>
        <w:tabs>
          <w:tab w:val="left" w:pos="2520"/>
        </w:tabs>
        <w:jc w:val="center"/>
        <w:rPr>
          <w:rFonts w:ascii="Arial" w:hAnsi="Arial" w:cs="Arial"/>
          <w:b/>
          <w:bCs/>
          <w:sz w:val="28"/>
          <w:szCs w:val="28"/>
        </w:rPr>
      </w:pPr>
    </w:p>
    <w:p w14:paraId="52464051" w14:textId="77777777" w:rsidR="00C60CA7" w:rsidRDefault="00C60CA7" w:rsidP="00C60CA7">
      <w:pPr>
        <w:tabs>
          <w:tab w:val="left" w:pos="2520"/>
        </w:tabs>
        <w:jc w:val="center"/>
        <w:rPr>
          <w:rFonts w:ascii="Arial" w:hAnsi="Arial" w:cs="Arial"/>
          <w:b/>
          <w:bCs/>
          <w:sz w:val="28"/>
          <w:szCs w:val="28"/>
        </w:rPr>
      </w:pPr>
    </w:p>
    <w:p w14:paraId="5FED4231" w14:textId="77777777" w:rsidR="00C60CA7" w:rsidRDefault="00C60CA7" w:rsidP="00C60CA7">
      <w:pPr>
        <w:tabs>
          <w:tab w:val="left" w:pos="2520"/>
        </w:tabs>
        <w:rPr>
          <w:rFonts w:ascii="Arial" w:hAnsi="Arial" w:cs="Arial"/>
          <w:b/>
          <w:bCs/>
          <w:sz w:val="28"/>
          <w:szCs w:val="28"/>
        </w:rPr>
      </w:pPr>
    </w:p>
    <w:p w14:paraId="2BDAAC32" w14:textId="77777777" w:rsidR="00C60CA7" w:rsidRDefault="00C60CA7" w:rsidP="00C60CA7">
      <w:pPr>
        <w:tabs>
          <w:tab w:val="left" w:pos="2520"/>
        </w:tabs>
        <w:rPr>
          <w:rFonts w:ascii="Arial" w:hAnsi="Arial" w:cs="Arial"/>
          <w:b/>
          <w:bCs/>
          <w:sz w:val="28"/>
          <w:szCs w:val="28"/>
        </w:rPr>
      </w:pPr>
    </w:p>
    <w:p w14:paraId="2A397B85" w14:textId="77777777" w:rsidR="00C60CA7" w:rsidRDefault="00C60CA7" w:rsidP="00C60CA7">
      <w:pPr>
        <w:tabs>
          <w:tab w:val="left" w:pos="2520"/>
        </w:tabs>
        <w:rPr>
          <w:rFonts w:ascii="Arial" w:hAnsi="Arial" w:cs="Arial"/>
          <w:b/>
          <w:bCs/>
          <w:sz w:val="28"/>
          <w:szCs w:val="28"/>
        </w:rPr>
      </w:pPr>
    </w:p>
    <w:p w14:paraId="2D18282C" w14:textId="77777777" w:rsidR="00C60CA7" w:rsidRDefault="00C60CA7" w:rsidP="00C60CA7">
      <w:pPr>
        <w:tabs>
          <w:tab w:val="left" w:pos="2520"/>
        </w:tabs>
        <w:rPr>
          <w:rFonts w:ascii="Arial" w:hAnsi="Arial" w:cs="Arial"/>
          <w:b/>
          <w:bCs/>
          <w:sz w:val="28"/>
          <w:szCs w:val="28"/>
        </w:rPr>
      </w:pPr>
    </w:p>
    <w:p w14:paraId="69D261B3" w14:textId="77777777" w:rsidR="00C60CA7" w:rsidRDefault="00C60CA7" w:rsidP="00C60CA7">
      <w:pPr>
        <w:tabs>
          <w:tab w:val="left" w:pos="2520"/>
        </w:tabs>
        <w:rPr>
          <w:rFonts w:ascii="Arial" w:hAnsi="Arial" w:cs="Arial"/>
          <w:b/>
          <w:bCs/>
          <w:sz w:val="28"/>
          <w:szCs w:val="28"/>
        </w:rPr>
      </w:pPr>
    </w:p>
    <w:p w14:paraId="60E0DCC2" w14:textId="77777777" w:rsidR="00C60CA7" w:rsidRDefault="00C60CA7" w:rsidP="00C60CA7">
      <w:pPr>
        <w:tabs>
          <w:tab w:val="left" w:pos="2520"/>
        </w:tabs>
        <w:rPr>
          <w:rFonts w:ascii="Arial" w:hAnsi="Arial" w:cs="Arial"/>
          <w:b/>
          <w:bCs/>
          <w:sz w:val="28"/>
          <w:szCs w:val="28"/>
        </w:rPr>
      </w:pPr>
    </w:p>
    <w:p w14:paraId="6BE0EFBD" w14:textId="77777777" w:rsidR="00C60CA7" w:rsidRDefault="00C60CA7" w:rsidP="00C60CA7">
      <w:pPr>
        <w:tabs>
          <w:tab w:val="left" w:pos="2520"/>
        </w:tabs>
        <w:rPr>
          <w:rFonts w:ascii="Arial" w:hAnsi="Arial" w:cs="Arial"/>
          <w:b/>
          <w:bCs/>
          <w:sz w:val="28"/>
          <w:szCs w:val="28"/>
        </w:rPr>
      </w:pPr>
    </w:p>
    <w:p w14:paraId="2E23DB36" w14:textId="77777777" w:rsidR="00C60CA7" w:rsidRDefault="00C60CA7" w:rsidP="00C60CA7">
      <w:pPr>
        <w:tabs>
          <w:tab w:val="left" w:pos="2520"/>
        </w:tabs>
        <w:rPr>
          <w:rFonts w:ascii="Arial" w:hAnsi="Arial" w:cs="Arial"/>
          <w:b/>
          <w:bCs/>
          <w:sz w:val="28"/>
          <w:szCs w:val="28"/>
        </w:rPr>
      </w:pPr>
    </w:p>
    <w:p w14:paraId="05DDAC51" w14:textId="2D8D4A1B" w:rsidR="00C60CA7" w:rsidRPr="0062474F" w:rsidRDefault="00C60CA7" w:rsidP="0062474F">
      <w:pPr>
        <w:pStyle w:val="Heading1"/>
      </w:pPr>
      <w:bookmarkStart w:id="0" w:name="_Toc232938054"/>
      <w:r w:rsidRPr="0062474F">
        <w:lastRenderedPageBreak/>
        <w:t>Chapter One – Introduction</w:t>
      </w:r>
      <w:bookmarkEnd w:id="0"/>
      <w:r w:rsidRPr="0062474F">
        <w:t xml:space="preserve"> </w:t>
      </w:r>
    </w:p>
    <w:p w14:paraId="799A4AC9" w14:textId="77777777" w:rsidR="00C60CA7" w:rsidRPr="0062474F" w:rsidRDefault="00C60CA7" w:rsidP="0062474F">
      <w:pPr>
        <w:pStyle w:val="Heading2"/>
      </w:pPr>
      <w:bookmarkStart w:id="1" w:name="_Toc232938055"/>
      <w:r w:rsidRPr="0062474F">
        <w:t>1.1 Background and Context</w:t>
      </w:r>
      <w:bookmarkEnd w:id="1"/>
    </w:p>
    <w:p w14:paraId="2F340259"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Equality and diversity are widely regarded as fundamental to the legitimacy, effectiveness, and ethical foundation of modern British policing. In an increasingly diverse society, police services are expected not only to reflect the communities they serve but also to operate in a manner that is demonstrably fair, inclusive, and free from discrimination. Public confidence in policing is closely linked to perceptions of procedural fairness and equality, making these principles essential not only from a normative standpoint but also for maintaining operational effectiveness and legitimacy.</w:t>
      </w:r>
    </w:p>
    <w:p w14:paraId="794AD796"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In order to ensure proactive measures to eradicate prejudice and promote equality of opportunity, legislative frameworks like the Public Sector Equality Duty and the Equality Act 2010 were developed (Equality Act 2010). These frameworks are strengthened in policing by professional standards and internal policies meant to control behaviour and encourage accountability. The degree to which these formal methods have resulted in significant organisational transformation, however, is still up for discussion.</w:t>
      </w:r>
    </w:p>
    <w:p w14:paraId="473D8BBB"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In addition to legislative developments, there has been increasing emphasis on the role of policing institutions in actively promoting inclusion and reflecting the diversity of the communities they serve. This expectation extends beyond numerical representation and encompasses the fair and equitable treatment of individuals across all aspects of policing. As such, equality and diversity have become embedded not only within legal frameworks but also within broader discussions of police professionalism and accountability. Despite this, questions remain as to whether these principles are fully realised in practice or whether they exist predominantly at a policy level.</w:t>
      </w:r>
    </w:p>
    <w:p w14:paraId="1F2650B0" w14:textId="77777777" w:rsidR="00C60CA7" w:rsidRDefault="00C60CA7" w:rsidP="00C60CA7">
      <w:pPr>
        <w:spacing w:before="100" w:beforeAutospacing="1" w:after="100" w:afterAutospacing="1" w:line="240" w:lineRule="auto"/>
        <w:rPr>
          <w:rFonts w:ascii="Times New Roman" w:hAnsi="Times New Roman" w:cs="Times New Roman"/>
        </w:rPr>
      </w:pPr>
    </w:p>
    <w:p w14:paraId="1BF23BEB" w14:textId="77777777" w:rsidR="00C60CA7" w:rsidRDefault="00C60CA7" w:rsidP="00C60CA7">
      <w:pPr>
        <w:spacing w:before="100" w:beforeAutospacing="1" w:after="100" w:afterAutospacing="1" w:line="240" w:lineRule="auto"/>
        <w:rPr>
          <w:rFonts w:ascii="Times New Roman" w:hAnsi="Times New Roman" w:cs="Times New Roman"/>
        </w:rPr>
      </w:pPr>
    </w:p>
    <w:p w14:paraId="36F160E4" w14:textId="77777777" w:rsidR="00C60CA7" w:rsidRDefault="00C60CA7" w:rsidP="00C60CA7">
      <w:pPr>
        <w:spacing w:before="100" w:beforeAutospacing="1" w:after="100" w:afterAutospacing="1" w:line="240" w:lineRule="auto"/>
        <w:rPr>
          <w:rFonts w:ascii="Times New Roman" w:hAnsi="Times New Roman" w:cs="Times New Roman"/>
        </w:rPr>
      </w:pPr>
    </w:p>
    <w:p w14:paraId="651EDF58" w14:textId="77777777" w:rsidR="00C60CA7" w:rsidRDefault="00C60CA7" w:rsidP="00C60CA7">
      <w:pPr>
        <w:spacing w:before="100" w:beforeAutospacing="1" w:after="100" w:afterAutospacing="1" w:line="240" w:lineRule="auto"/>
        <w:rPr>
          <w:rFonts w:ascii="Times New Roman" w:hAnsi="Times New Roman" w:cs="Times New Roman"/>
        </w:rPr>
      </w:pPr>
    </w:p>
    <w:p w14:paraId="6C6B2EF9" w14:textId="77777777" w:rsidR="00C60CA7" w:rsidRDefault="00C60CA7" w:rsidP="00C60CA7">
      <w:pPr>
        <w:spacing w:before="100" w:beforeAutospacing="1" w:after="100" w:afterAutospacing="1" w:line="240" w:lineRule="auto"/>
        <w:rPr>
          <w:rFonts w:ascii="Times New Roman" w:hAnsi="Times New Roman" w:cs="Times New Roman"/>
        </w:rPr>
      </w:pPr>
    </w:p>
    <w:p w14:paraId="66F5F7E5" w14:textId="77777777" w:rsidR="00C60CA7" w:rsidRDefault="00C60CA7" w:rsidP="00C60CA7">
      <w:pPr>
        <w:spacing w:before="100" w:beforeAutospacing="1" w:after="100" w:afterAutospacing="1" w:line="240" w:lineRule="auto"/>
        <w:rPr>
          <w:rFonts w:ascii="Times New Roman" w:hAnsi="Times New Roman" w:cs="Times New Roman"/>
        </w:rPr>
      </w:pPr>
    </w:p>
    <w:p w14:paraId="05340CB3" w14:textId="77777777" w:rsidR="00C60CA7" w:rsidRDefault="00C60CA7" w:rsidP="00C60CA7">
      <w:pPr>
        <w:spacing w:before="100" w:beforeAutospacing="1" w:after="100" w:afterAutospacing="1" w:line="240" w:lineRule="auto"/>
        <w:rPr>
          <w:rFonts w:ascii="Times New Roman" w:hAnsi="Times New Roman" w:cs="Times New Roman"/>
        </w:rPr>
      </w:pPr>
    </w:p>
    <w:p w14:paraId="242807C2" w14:textId="77777777" w:rsidR="00C60CA7" w:rsidRDefault="00C60CA7" w:rsidP="00C60CA7">
      <w:pPr>
        <w:spacing w:before="100" w:beforeAutospacing="1" w:after="100" w:afterAutospacing="1" w:line="240" w:lineRule="auto"/>
        <w:rPr>
          <w:rFonts w:ascii="Times New Roman" w:hAnsi="Times New Roman" w:cs="Times New Roman"/>
        </w:rPr>
      </w:pPr>
    </w:p>
    <w:p w14:paraId="57BE4098" w14:textId="77777777" w:rsidR="00C60CA7" w:rsidRDefault="00C60CA7" w:rsidP="00C60CA7">
      <w:pPr>
        <w:spacing w:before="100" w:beforeAutospacing="1" w:after="100" w:afterAutospacing="1" w:line="240" w:lineRule="auto"/>
        <w:rPr>
          <w:rFonts w:ascii="Times New Roman" w:hAnsi="Times New Roman" w:cs="Times New Roman"/>
        </w:rPr>
      </w:pPr>
    </w:p>
    <w:p w14:paraId="5C165C25" w14:textId="77777777" w:rsidR="00C60CA7" w:rsidRDefault="00C60CA7" w:rsidP="00C60CA7">
      <w:pPr>
        <w:spacing w:before="100" w:beforeAutospacing="1" w:after="100" w:afterAutospacing="1" w:line="240" w:lineRule="auto"/>
        <w:rPr>
          <w:rFonts w:ascii="Times New Roman" w:hAnsi="Times New Roman" w:cs="Times New Roman"/>
        </w:rPr>
      </w:pPr>
    </w:p>
    <w:p w14:paraId="1F91E514" w14:textId="77777777" w:rsidR="00C60CA7" w:rsidRDefault="00C60CA7" w:rsidP="00C60CA7">
      <w:pPr>
        <w:spacing w:before="100" w:beforeAutospacing="1" w:after="100" w:afterAutospacing="1" w:line="240" w:lineRule="auto"/>
        <w:rPr>
          <w:rFonts w:ascii="Times New Roman" w:hAnsi="Times New Roman" w:cs="Times New Roman"/>
        </w:rPr>
      </w:pPr>
    </w:p>
    <w:p w14:paraId="23EBA7E3" w14:textId="77777777" w:rsidR="00C60CA7" w:rsidRDefault="00C60CA7" w:rsidP="00C60CA7">
      <w:pPr>
        <w:spacing w:before="100" w:beforeAutospacing="1" w:after="100" w:afterAutospacing="1" w:line="240" w:lineRule="auto"/>
        <w:rPr>
          <w:rFonts w:ascii="Times New Roman" w:hAnsi="Times New Roman" w:cs="Times New Roman"/>
        </w:rPr>
      </w:pPr>
    </w:p>
    <w:p w14:paraId="373928F3" w14:textId="77777777" w:rsidR="00C60CA7" w:rsidRPr="003F5591" w:rsidRDefault="00C60CA7" w:rsidP="00C60CA7">
      <w:pPr>
        <w:spacing w:before="100" w:beforeAutospacing="1" w:after="100" w:afterAutospacing="1" w:line="240" w:lineRule="auto"/>
        <w:rPr>
          <w:rFonts w:ascii="Times New Roman" w:hAnsi="Times New Roman" w:cs="Times New Roman"/>
        </w:rPr>
      </w:pPr>
    </w:p>
    <w:p w14:paraId="38D7CFD9" w14:textId="77777777" w:rsidR="00C60CA7" w:rsidRPr="00C60CA7" w:rsidRDefault="00C60CA7" w:rsidP="0062474F">
      <w:pPr>
        <w:pStyle w:val="Heading2"/>
      </w:pPr>
      <w:bookmarkStart w:id="2" w:name="_Toc232938056"/>
      <w:r w:rsidRPr="00C60CA7">
        <w:lastRenderedPageBreak/>
        <w:t>1.2 Historical Context</w:t>
      </w:r>
      <w:bookmarkEnd w:id="2"/>
    </w:p>
    <w:p w14:paraId="4A4D80BD"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For over two decades, the problem of inequality in British policing has been closely examined. An important turning point in this discussion was the Macpherson Report, which exposed systemic racism in the police force and sparked a reform initiative (Macpherson, 1999). Nevertheless, further investigations indicate that many of the structural and cultural problems found have been difficult to resolve.</w:t>
      </w:r>
    </w:p>
    <w:p w14:paraId="1A50A263"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In more recent times, the Casey Review has brought to light persistent issues with wrongdoing, discrimination, and structural dysfunction in British policing  (Casey, 2023). These issues are demonstrated by the persisting inequalities in the use of police powers, including stop and search, which disproportionately affect Black communities, as well as the under-representation of women and members of minority groups in high positions. The continuation of these trends begs important issues about whether diversity and equality initiatives have made more than token or surface-level advancements.</w:t>
      </w:r>
    </w:p>
    <w:p w14:paraId="22726DA2"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These ongoing concerns highlight the complexity of addressing inequality within large and historically entrenched institutions such as the police. While reform initiatives have introduced new policies and oversight mechanisms, the persistence of disparities suggests that deeper structural and cultural challenges continue to influence outcomes. This reinforces the need for a more critical evaluation of policy effectiveness, particularly in relation to whether such initiatives have resulted in meaningful and sustained improvements.</w:t>
      </w:r>
    </w:p>
    <w:p w14:paraId="1AE4A623" w14:textId="77777777" w:rsidR="00C60CA7" w:rsidRPr="00C60CA7" w:rsidRDefault="00C60CA7" w:rsidP="00C60CA7">
      <w:pPr>
        <w:spacing w:before="100" w:beforeAutospacing="1" w:after="100" w:afterAutospacing="1" w:line="240" w:lineRule="auto"/>
        <w:rPr>
          <w:rFonts w:ascii="Calibri" w:hAnsi="Calibri" w:cs="Calibri"/>
          <w:sz w:val="24"/>
          <w:szCs w:val="24"/>
        </w:rPr>
      </w:pPr>
    </w:p>
    <w:p w14:paraId="50C64EBA" w14:textId="77777777" w:rsidR="00C60CA7" w:rsidRPr="00C60CA7" w:rsidRDefault="00C60CA7" w:rsidP="00C60CA7">
      <w:pPr>
        <w:spacing w:before="100" w:beforeAutospacing="1" w:after="100" w:afterAutospacing="1" w:line="240" w:lineRule="auto"/>
        <w:rPr>
          <w:rFonts w:ascii="Calibri" w:hAnsi="Calibri" w:cs="Calibri"/>
          <w:sz w:val="24"/>
          <w:szCs w:val="24"/>
        </w:rPr>
      </w:pPr>
    </w:p>
    <w:p w14:paraId="62C71062" w14:textId="77777777" w:rsidR="00C60CA7" w:rsidRDefault="00C60CA7" w:rsidP="00C60CA7">
      <w:pPr>
        <w:spacing w:before="100" w:beforeAutospacing="1" w:after="100" w:afterAutospacing="1" w:line="240" w:lineRule="auto"/>
        <w:rPr>
          <w:rFonts w:ascii="Times New Roman" w:hAnsi="Times New Roman" w:cs="Times New Roman"/>
        </w:rPr>
      </w:pPr>
    </w:p>
    <w:p w14:paraId="09CC5F24" w14:textId="77777777" w:rsidR="00C60CA7" w:rsidRDefault="00C60CA7" w:rsidP="00C60CA7">
      <w:pPr>
        <w:spacing w:before="100" w:beforeAutospacing="1" w:after="100" w:afterAutospacing="1" w:line="240" w:lineRule="auto"/>
        <w:rPr>
          <w:rFonts w:ascii="Times New Roman" w:hAnsi="Times New Roman" w:cs="Times New Roman"/>
        </w:rPr>
      </w:pPr>
    </w:p>
    <w:p w14:paraId="006A8BE6" w14:textId="77777777" w:rsidR="00C60CA7" w:rsidRDefault="00C60CA7" w:rsidP="00C60CA7">
      <w:pPr>
        <w:spacing w:before="100" w:beforeAutospacing="1" w:after="100" w:afterAutospacing="1" w:line="240" w:lineRule="auto"/>
        <w:rPr>
          <w:rFonts w:ascii="Times New Roman" w:hAnsi="Times New Roman" w:cs="Times New Roman"/>
        </w:rPr>
      </w:pPr>
    </w:p>
    <w:p w14:paraId="1285A34A" w14:textId="77777777" w:rsidR="00C60CA7" w:rsidRDefault="00C60CA7" w:rsidP="00C60CA7">
      <w:pPr>
        <w:spacing w:before="100" w:beforeAutospacing="1" w:after="100" w:afterAutospacing="1" w:line="240" w:lineRule="auto"/>
        <w:rPr>
          <w:rFonts w:ascii="Times New Roman" w:hAnsi="Times New Roman" w:cs="Times New Roman"/>
        </w:rPr>
      </w:pPr>
    </w:p>
    <w:p w14:paraId="2BD61238" w14:textId="77777777" w:rsidR="00C60CA7" w:rsidRDefault="00C60CA7" w:rsidP="00C60CA7">
      <w:pPr>
        <w:spacing w:before="100" w:beforeAutospacing="1" w:after="100" w:afterAutospacing="1" w:line="240" w:lineRule="auto"/>
        <w:rPr>
          <w:rFonts w:ascii="Times New Roman" w:hAnsi="Times New Roman" w:cs="Times New Roman"/>
        </w:rPr>
      </w:pPr>
    </w:p>
    <w:p w14:paraId="4E85C67F" w14:textId="77777777" w:rsidR="00C60CA7" w:rsidRDefault="00C60CA7" w:rsidP="00C60CA7">
      <w:pPr>
        <w:spacing w:before="100" w:beforeAutospacing="1" w:after="100" w:afterAutospacing="1" w:line="240" w:lineRule="auto"/>
        <w:rPr>
          <w:rFonts w:ascii="Times New Roman" w:hAnsi="Times New Roman" w:cs="Times New Roman"/>
        </w:rPr>
      </w:pPr>
    </w:p>
    <w:p w14:paraId="7D1CD7A7" w14:textId="77777777" w:rsidR="00C60CA7" w:rsidRDefault="00C60CA7" w:rsidP="00C60CA7">
      <w:pPr>
        <w:spacing w:before="100" w:beforeAutospacing="1" w:after="100" w:afterAutospacing="1" w:line="240" w:lineRule="auto"/>
        <w:rPr>
          <w:rFonts w:ascii="Times New Roman" w:hAnsi="Times New Roman" w:cs="Times New Roman"/>
        </w:rPr>
      </w:pPr>
    </w:p>
    <w:p w14:paraId="568A1E33" w14:textId="77777777" w:rsidR="00C60CA7" w:rsidRDefault="00C60CA7" w:rsidP="00C60CA7">
      <w:pPr>
        <w:spacing w:before="100" w:beforeAutospacing="1" w:after="100" w:afterAutospacing="1" w:line="240" w:lineRule="auto"/>
        <w:rPr>
          <w:rFonts w:ascii="Times New Roman" w:hAnsi="Times New Roman" w:cs="Times New Roman"/>
        </w:rPr>
      </w:pPr>
    </w:p>
    <w:p w14:paraId="0BB5602D" w14:textId="77777777" w:rsidR="00C60CA7" w:rsidRDefault="00C60CA7" w:rsidP="00C60CA7">
      <w:pPr>
        <w:spacing w:before="100" w:beforeAutospacing="1" w:after="100" w:afterAutospacing="1" w:line="240" w:lineRule="auto"/>
        <w:rPr>
          <w:rFonts w:ascii="Times New Roman" w:hAnsi="Times New Roman" w:cs="Times New Roman"/>
        </w:rPr>
      </w:pPr>
    </w:p>
    <w:p w14:paraId="48374310" w14:textId="77777777" w:rsidR="00C60CA7" w:rsidRDefault="00C60CA7" w:rsidP="00C60CA7">
      <w:pPr>
        <w:spacing w:before="100" w:beforeAutospacing="1" w:after="100" w:afterAutospacing="1" w:line="240" w:lineRule="auto"/>
        <w:rPr>
          <w:rFonts w:ascii="Times New Roman" w:hAnsi="Times New Roman" w:cs="Times New Roman"/>
        </w:rPr>
      </w:pPr>
    </w:p>
    <w:p w14:paraId="58BA6E9E" w14:textId="77777777" w:rsidR="00C60CA7" w:rsidRDefault="00C60CA7" w:rsidP="00C60CA7">
      <w:pPr>
        <w:spacing w:before="100" w:beforeAutospacing="1" w:after="100" w:afterAutospacing="1" w:line="240" w:lineRule="auto"/>
        <w:rPr>
          <w:rFonts w:ascii="Times New Roman" w:hAnsi="Times New Roman" w:cs="Times New Roman"/>
        </w:rPr>
      </w:pPr>
    </w:p>
    <w:p w14:paraId="0B1496CE" w14:textId="77777777" w:rsidR="00C60CA7" w:rsidRPr="003F5591" w:rsidRDefault="00C60CA7" w:rsidP="00C60CA7">
      <w:pPr>
        <w:spacing w:before="100" w:beforeAutospacing="1" w:after="100" w:afterAutospacing="1" w:line="240" w:lineRule="auto"/>
        <w:rPr>
          <w:rFonts w:ascii="Times New Roman" w:hAnsi="Times New Roman" w:cs="Times New Roman"/>
        </w:rPr>
      </w:pPr>
    </w:p>
    <w:p w14:paraId="2FEA1615" w14:textId="77777777" w:rsidR="00C60CA7" w:rsidRPr="00C60CA7" w:rsidRDefault="00C60CA7" w:rsidP="0062474F">
      <w:pPr>
        <w:pStyle w:val="Heading2"/>
      </w:pPr>
      <w:bookmarkStart w:id="3" w:name="_Toc232938057"/>
      <w:r w:rsidRPr="00C60CA7">
        <w:lastRenderedPageBreak/>
        <w:t>1.3 The Policy–Practice Gap</w:t>
      </w:r>
      <w:bookmarkEnd w:id="3"/>
    </w:p>
    <w:p w14:paraId="425DF4C7" w14:textId="61C731DE"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The ongoing discrepancy between practice and policy is one of the main issues raised by this discussion. Although frameworks for diversity and equality are well-established at the legislative and strategic levels, their implementation in routine poli</w:t>
      </w:r>
      <w:r w:rsidR="00172686">
        <w:rPr>
          <w:rFonts w:ascii="Calibri" w:hAnsi="Calibri" w:cs="Calibri"/>
        </w:rPr>
        <w:t>cing remains uneven and occasionally ineffective</w:t>
      </w:r>
      <w:r w:rsidRPr="00C60CA7">
        <w:rPr>
          <w:rFonts w:ascii="Calibri" w:hAnsi="Calibri" w:cs="Calibri"/>
        </w:rPr>
        <w:t>. This implies that significant organisational change cannot be brought about by formal policies alone.</w:t>
      </w:r>
    </w:p>
    <w:p w14:paraId="29844545"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Academic research has continuously emphasised how organisational culture shapes police behaviour, frequently describing it as resistant to change and able to subvert official regulatory systems (Reiner, 2010; Cockcroft, 2013). The practical impact of equality programs may be limited by informal conventions, values, and attitudes sometimes referred to as “canteen culture,” which conflict with official policy. In this situation, whether policy pledges are effectively implemented in practice depends on professional standards and ethical behaviour.</w:t>
      </w:r>
    </w:p>
    <w:p w14:paraId="52622CC6"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This highlights the importance of examining not only the existence of equality policies, but also the context in which they are implemented. Without addressing the underlying organisational environment, including attitudes, behaviours, and informal practices, there is a risk that policy initiatives will fail to achieve their intended impact. Therefore, understanding the interaction between formal frameworks and organisational culture is central to evaluating the overall effectiveness of equality and diversity strategies within policing.</w:t>
      </w:r>
    </w:p>
    <w:p w14:paraId="1B5C976D" w14:textId="77777777" w:rsidR="00C60CA7" w:rsidRPr="00C60CA7" w:rsidRDefault="00C60CA7" w:rsidP="0062474F">
      <w:pPr>
        <w:pStyle w:val="Heading2"/>
      </w:pPr>
      <w:bookmarkStart w:id="4" w:name="_Toc232938058"/>
      <w:r w:rsidRPr="00C60CA7">
        <w:t>1.4 Research Focus and Scope</w:t>
      </w:r>
      <w:bookmarkEnd w:id="4"/>
    </w:p>
    <w:p w14:paraId="4A29EEDD"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This dissertation uses a critical examination of secondary data to assess the efficacy of diversity and equality policies in British policing. The study looks at important factors including representation, organisational culture, and differences in policing outcomes using government reports, scholarly literature, and statistical data. The study aims to evaluate the degree to which these attempts have resulted in significant and quantifiable change by methodically contrasting the intended goals of equality policies with observable results in practice.</w:t>
      </w:r>
    </w:p>
    <w:p w14:paraId="45BD6BF4"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Inequalities in the deployment of police powers, the persistence of inequities in representation, and the impact of organisational culture on policy implementation are all given special emphasis. By using this method, the study seeks to determine the structural and cultural elements that can impede advancement in addition to assessing the efficacy of policies.</w:t>
      </w:r>
    </w:p>
    <w:p w14:paraId="15A44C59" w14:textId="0774F951" w:rsid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Furthermore, by drawing on a range of secondary sources, the study is able to provide a comprehensive overview of both policy intentions and operational realities. This approach allows for the identification of patterns and trends across different areas of policing, supporting a more nuanced understanding of how equality and diversity policies function in practice. In doing so, the research seeks to bridge the gap between theoretical frameworks and real-world application.</w:t>
      </w:r>
    </w:p>
    <w:p w14:paraId="6724CBA2" w14:textId="77777777" w:rsidR="00C60CA7" w:rsidRDefault="00C60CA7" w:rsidP="00C60CA7">
      <w:pPr>
        <w:spacing w:before="100" w:beforeAutospacing="1" w:after="100" w:afterAutospacing="1" w:line="240" w:lineRule="auto"/>
        <w:rPr>
          <w:rFonts w:ascii="Calibri" w:hAnsi="Calibri" w:cs="Calibri"/>
        </w:rPr>
      </w:pPr>
    </w:p>
    <w:p w14:paraId="16400E4D" w14:textId="77777777" w:rsidR="00C60CA7" w:rsidRDefault="00C60CA7" w:rsidP="00C60CA7">
      <w:pPr>
        <w:spacing w:before="100" w:beforeAutospacing="1" w:after="100" w:afterAutospacing="1" w:line="240" w:lineRule="auto"/>
        <w:rPr>
          <w:rFonts w:ascii="Calibri" w:hAnsi="Calibri" w:cs="Calibri"/>
        </w:rPr>
      </w:pPr>
    </w:p>
    <w:p w14:paraId="434195EE" w14:textId="77777777" w:rsidR="00C60CA7" w:rsidRDefault="00C60CA7" w:rsidP="00C60CA7">
      <w:pPr>
        <w:spacing w:before="100" w:beforeAutospacing="1" w:after="100" w:afterAutospacing="1" w:line="240" w:lineRule="auto"/>
        <w:rPr>
          <w:rFonts w:ascii="Calibri" w:hAnsi="Calibri" w:cs="Calibri"/>
        </w:rPr>
      </w:pPr>
    </w:p>
    <w:p w14:paraId="11B8A4B4" w14:textId="77777777" w:rsidR="00C60CA7" w:rsidRDefault="00C60CA7" w:rsidP="00C60CA7">
      <w:pPr>
        <w:spacing w:before="100" w:beforeAutospacing="1" w:after="100" w:afterAutospacing="1" w:line="240" w:lineRule="auto"/>
        <w:rPr>
          <w:rFonts w:ascii="Calibri" w:hAnsi="Calibri" w:cs="Calibri"/>
        </w:rPr>
      </w:pPr>
    </w:p>
    <w:p w14:paraId="72FE5863" w14:textId="77777777" w:rsidR="00C60CA7" w:rsidRPr="00C60CA7" w:rsidRDefault="00C60CA7" w:rsidP="00C60CA7">
      <w:pPr>
        <w:spacing w:before="100" w:beforeAutospacing="1" w:after="100" w:afterAutospacing="1" w:line="240" w:lineRule="auto"/>
        <w:rPr>
          <w:rFonts w:ascii="Calibri" w:hAnsi="Calibri" w:cs="Calibri"/>
        </w:rPr>
      </w:pPr>
    </w:p>
    <w:p w14:paraId="5B11B11F" w14:textId="77777777" w:rsidR="00C60CA7" w:rsidRPr="00C60CA7" w:rsidRDefault="00C60CA7" w:rsidP="0062474F">
      <w:pPr>
        <w:pStyle w:val="Heading2"/>
      </w:pPr>
      <w:bookmarkStart w:id="5" w:name="_Toc232938059"/>
      <w:r w:rsidRPr="00C60CA7">
        <w:lastRenderedPageBreak/>
        <w:t>1.5 Research Aim</w:t>
      </w:r>
      <w:bookmarkEnd w:id="5"/>
    </w:p>
    <w:p w14:paraId="50C4D458" w14:textId="77777777" w:rsid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This dissertation seeks to determine the structural and cultural elements that contribute to the discrepancy between policy and operational reality, as well as to assess the efficacy of equality and diversity policies within British policing, with a focus on how well their intended goals have been implemented.</w:t>
      </w:r>
    </w:p>
    <w:p w14:paraId="459360F5" w14:textId="77777777" w:rsidR="00C60CA7" w:rsidRPr="00C60CA7" w:rsidRDefault="00C60CA7" w:rsidP="0062474F">
      <w:pPr>
        <w:pStyle w:val="Heading2"/>
      </w:pPr>
    </w:p>
    <w:p w14:paraId="2A1304E5" w14:textId="77777777" w:rsidR="00C60CA7" w:rsidRPr="00C60CA7" w:rsidRDefault="00C60CA7" w:rsidP="0062474F">
      <w:pPr>
        <w:pStyle w:val="Heading2"/>
      </w:pPr>
      <w:bookmarkStart w:id="6" w:name="_Toc232938060"/>
      <w:r w:rsidRPr="00C60CA7">
        <w:t>1.6 Research Objectives</w:t>
      </w:r>
      <w:bookmarkEnd w:id="6"/>
    </w:p>
    <w:p w14:paraId="36AF7F43" w14:textId="7CA9E304"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 xml:space="preserve">This study has a number of main goals. First, it looks at the main frameworks and policies related to diversity and equality that influence British criminal justice, particularly those established by the Equality Act 2010. Second, it seeks to evaluate </w:t>
      </w:r>
      <w:r w:rsidR="00172686">
        <w:rPr>
          <w:rFonts w:ascii="Calibri" w:hAnsi="Calibri" w:cs="Calibri"/>
        </w:rPr>
        <w:t xml:space="preserve">how much these reforms have enhanced representation and decreased inequality within British policing.  </w:t>
      </w:r>
      <w:r w:rsidRPr="00C60CA7">
        <w:rPr>
          <w:rFonts w:ascii="Calibri" w:hAnsi="Calibri" w:cs="Calibri"/>
        </w:rPr>
        <w:t>Additionally, the study will investigate how professional standards and organisational culture impact the execution of diversity and equality activities. Lastly, it aims to evaluate how these elements affect operational results and the general efficacy of policing.</w:t>
      </w:r>
    </w:p>
    <w:p w14:paraId="05B1FE6B" w14:textId="77777777" w:rsidR="00C60CA7" w:rsidRPr="00C60CA7" w:rsidRDefault="00C60CA7" w:rsidP="0062474F">
      <w:pPr>
        <w:pStyle w:val="Heading2"/>
      </w:pPr>
      <w:bookmarkStart w:id="7" w:name="_Toc232938061"/>
      <w:r w:rsidRPr="00C60CA7">
        <w:t>1.7 Rationale for the Study</w:t>
      </w:r>
      <w:bookmarkEnd w:id="7"/>
    </w:p>
    <w:p w14:paraId="1879F084" w14:textId="3B64B85A"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 xml:space="preserve">This study’s justification stems from the ongoing importance of diversity and equality in present-day policing as well as their close connection to legitimacy and public trust. The foundation of policing in the UK is the principle of policing by consent, which is essentially reliant on the trust of the communities it serves. This trust may be damaged if differences in treatment, representation, or results continue, which could have an impact on the legitimacy and efficacy of </w:t>
      </w:r>
      <w:r w:rsidR="00172686">
        <w:rPr>
          <w:rFonts w:ascii="Calibri" w:hAnsi="Calibri" w:cs="Calibri"/>
        </w:rPr>
        <w:t>p</w:t>
      </w:r>
      <w:r w:rsidRPr="00C60CA7">
        <w:rPr>
          <w:rFonts w:ascii="Calibri" w:hAnsi="Calibri" w:cs="Calibri"/>
        </w:rPr>
        <w:t xml:space="preserve">olicing as a whole.  </w:t>
      </w:r>
    </w:p>
    <w:p w14:paraId="190CC0C9"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Evidence indicates that progress has been uneven and, in some cases, limited despite significant reform efforts and the creation of comprehensive equality frameworks. This raises significant concerns about the ability of current policy measures to bring about meaningful change. This study aims to improve knowledge of how equality can be more successfully integrated into policing institutions by critically analysing the elements that lead to the discrepancy between policy and practice. By doing this, it also hopes to contribute to continuing conversations about organisational accountability, professional standards, and the creation of more inclusive and fair policing practices.</w:t>
      </w:r>
    </w:p>
    <w:p w14:paraId="194CA7C7" w14:textId="77777777" w:rsid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Ultimately, this research aims to provide a critical and evidence-based assessment of equality and diversity within British policing, with the intention of highlighting both progress and ongoing challenges. By doing so, it seeks to support the development of more effective strategies for achieving meaningful and lasting change within the policing landscape.</w:t>
      </w:r>
    </w:p>
    <w:p w14:paraId="4CF5AC82" w14:textId="77777777" w:rsidR="00C60CA7" w:rsidRDefault="00C60CA7" w:rsidP="00C60CA7">
      <w:pPr>
        <w:spacing w:before="100" w:beforeAutospacing="1" w:after="100" w:afterAutospacing="1" w:line="240" w:lineRule="auto"/>
        <w:rPr>
          <w:rFonts w:ascii="Calibri" w:hAnsi="Calibri" w:cs="Calibri"/>
        </w:rPr>
      </w:pPr>
    </w:p>
    <w:p w14:paraId="63B0E652" w14:textId="77777777" w:rsidR="00C60CA7" w:rsidRDefault="00C60CA7" w:rsidP="00C60CA7">
      <w:pPr>
        <w:spacing w:before="100" w:beforeAutospacing="1" w:after="100" w:afterAutospacing="1" w:line="240" w:lineRule="auto"/>
        <w:rPr>
          <w:rFonts w:ascii="Calibri" w:hAnsi="Calibri" w:cs="Calibri"/>
        </w:rPr>
      </w:pPr>
    </w:p>
    <w:p w14:paraId="297B9008" w14:textId="77777777" w:rsidR="00C60CA7" w:rsidRDefault="00C60CA7" w:rsidP="00C60CA7">
      <w:pPr>
        <w:spacing w:before="100" w:beforeAutospacing="1" w:after="100" w:afterAutospacing="1" w:line="240" w:lineRule="auto"/>
        <w:rPr>
          <w:rFonts w:ascii="Calibri" w:hAnsi="Calibri" w:cs="Calibri"/>
        </w:rPr>
      </w:pPr>
    </w:p>
    <w:p w14:paraId="3D0A2378" w14:textId="77777777" w:rsidR="00C60CA7" w:rsidRDefault="00C60CA7" w:rsidP="00C60CA7">
      <w:pPr>
        <w:spacing w:before="100" w:beforeAutospacing="1" w:after="100" w:afterAutospacing="1" w:line="240" w:lineRule="auto"/>
        <w:rPr>
          <w:rFonts w:ascii="Calibri" w:hAnsi="Calibri" w:cs="Calibri"/>
        </w:rPr>
      </w:pPr>
    </w:p>
    <w:p w14:paraId="0E1D371D" w14:textId="77777777" w:rsidR="00C60CA7" w:rsidRDefault="00C60CA7" w:rsidP="00C60CA7">
      <w:pPr>
        <w:spacing w:before="100" w:beforeAutospacing="1" w:after="100" w:afterAutospacing="1" w:line="240" w:lineRule="auto"/>
        <w:rPr>
          <w:rFonts w:ascii="Calibri" w:hAnsi="Calibri" w:cs="Calibri"/>
        </w:rPr>
      </w:pPr>
    </w:p>
    <w:p w14:paraId="20A3518E" w14:textId="0EAD40EA" w:rsidR="00C60CA7" w:rsidRPr="00C60CA7" w:rsidRDefault="00C60CA7" w:rsidP="0062474F">
      <w:pPr>
        <w:pStyle w:val="Heading1"/>
      </w:pPr>
      <w:bookmarkStart w:id="8" w:name="_Toc232938062"/>
      <w:r w:rsidRPr="00C60CA7">
        <w:lastRenderedPageBreak/>
        <w:t>Chapter Two – Literature Review</w:t>
      </w:r>
      <w:bookmarkEnd w:id="8"/>
    </w:p>
    <w:p w14:paraId="67D9273A" w14:textId="77777777" w:rsidR="00C60CA7" w:rsidRPr="00C60CA7" w:rsidRDefault="00C60CA7" w:rsidP="0062474F">
      <w:pPr>
        <w:pStyle w:val="Heading2"/>
      </w:pPr>
      <w:bookmarkStart w:id="9" w:name="_Toc232938063"/>
      <w:r w:rsidRPr="00C60CA7">
        <w:t>2.1 Equality and Diversity in British Policing</w:t>
      </w:r>
      <w:bookmarkEnd w:id="9"/>
    </w:p>
    <w:p w14:paraId="10C2C74C"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The legitimacy, effectiveness, and ethical foundation of contemporary British policing are widely acknowledged to depend on equality and diversity. In an increasingly diverse society, police services are expected not only to reflect the communities they serve but also to operate in a manner that is demonstrably fair, inclusive, and free from discrimination. Perceptions of procedural justice and public trust in policing  are closely related, with legitimacy influenced by people’s experiences of policing (Bradford, 2014, p. 23). By integrating equality into public institutions, legislative frameworks such as the Equality Act 2010 aim to formalise these expectations. Nonetheless, a persistent disconnect remains between these formal commitments and their practical implementation within policing organisations (Reiner, 2010, p. 5).</w:t>
      </w:r>
    </w:p>
    <w:p w14:paraId="1B645F51"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Inequality in British policing has been subject to extensive scrutiny, particularly since the Macpherson Report introduced the concept of institutional racism. This reframed discrimination as not merely the product of individual prejudice but as a systemic issue embedded within organisational structures and practices (Macpherson, 1999, para. 6.34). Although this prompted substantial reform initiatives, debate continues regarding whether these changes have resulted in meaningful progress. Contemporary research suggests that many of the structural issues originally identified continue to persist despite ongoing policy development.</w:t>
      </w:r>
    </w:p>
    <w:p w14:paraId="74A95C72"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A recurring theme within the literature is that equality and diversity initiatives often prioritise compliance over substantive organisational change. Such policies may function as formal accountability mechanisms without fundamentally altering underlying practices or behaviours (Loftus, 2009, p. 3). Similarly, Ahmed (2012, p. 117) argues that diversity initiatives can become performative, signalling institutional commitment while largely preserving existing structures of power. This suggests that, particularly within organisations characterised by strong occupational cultures and hierarchical structures, the existence of policy does not necessarily result in effective implementation (Reiner, 2010, p. 141).</w:t>
      </w:r>
    </w:p>
    <w:p w14:paraId="204C8032"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This raises an important question for policing: to what extent can equality be achieved through legislation alone? Although formal frameworks establish expectations, their effectiveness ultimately depends upon how they are interpreted and implemented in practice. Despite significant reform efforts, inequality continues to be reflected in both organisational structures and operational outcomes. Consequently, the literature highlights the need to evaluate not only the existence of equality and diversity frameworks but also their practical impact, emphasising the continuing tension between policy intention and organisational reality.</w:t>
      </w:r>
    </w:p>
    <w:p w14:paraId="31DEBE87" w14:textId="77777777" w:rsidR="00C60CA7" w:rsidRPr="00C60CA7" w:rsidRDefault="00C60CA7" w:rsidP="00C60CA7">
      <w:pPr>
        <w:spacing w:before="100" w:beforeAutospacing="1" w:after="100" w:afterAutospacing="1" w:line="240" w:lineRule="auto"/>
        <w:rPr>
          <w:rFonts w:ascii="Calibri" w:hAnsi="Calibri" w:cs="Calibri"/>
        </w:rPr>
      </w:pPr>
    </w:p>
    <w:p w14:paraId="49401C01" w14:textId="77777777" w:rsidR="00C60CA7" w:rsidRPr="00C60CA7" w:rsidRDefault="00C60CA7" w:rsidP="00C60CA7">
      <w:pPr>
        <w:spacing w:before="100" w:beforeAutospacing="1" w:after="100" w:afterAutospacing="1" w:line="240" w:lineRule="auto"/>
        <w:rPr>
          <w:rFonts w:ascii="Calibri" w:hAnsi="Calibri" w:cs="Calibri"/>
        </w:rPr>
      </w:pPr>
    </w:p>
    <w:p w14:paraId="3B7F3FD6" w14:textId="77777777" w:rsidR="00C60CA7" w:rsidRPr="00C60CA7" w:rsidRDefault="00C60CA7" w:rsidP="00C60CA7">
      <w:pPr>
        <w:spacing w:before="100" w:beforeAutospacing="1" w:after="100" w:afterAutospacing="1" w:line="240" w:lineRule="auto"/>
        <w:rPr>
          <w:rFonts w:ascii="Calibri" w:hAnsi="Calibri" w:cs="Calibri"/>
        </w:rPr>
      </w:pPr>
    </w:p>
    <w:p w14:paraId="1BC0B6AE" w14:textId="77777777" w:rsidR="00C60CA7" w:rsidRDefault="00C60CA7" w:rsidP="00C60CA7">
      <w:pPr>
        <w:spacing w:before="100" w:beforeAutospacing="1" w:after="100" w:afterAutospacing="1" w:line="240" w:lineRule="auto"/>
        <w:rPr>
          <w:rFonts w:ascii="Calibri" w:hAnsi="Calibri" w:cs="Calibri"/>
        </w:rPr>
      </w:pPr>
    </w:p>
    <w:p w14:paraId="0C9AADEB" w14:textId="77777777" w:rsidR="00871AF3" w:rsidRDefault="00871AF3" w:rsidP="00C60CA7">
      <w:pPr>
        <w:spacing w:before="100" w:beforeAutospacing="1" w:after="100" w:afterAutospacing="1" w:line="240" w:lineRule="auto"/>
        <w:rPr>
          <w:rFonts w:ascii="Calibri" w:hAnsi="Calibri" w:cs="Calibri"/>
        </w:rPr>
      </w:pPr>
    </w:p>
    <w:p w14:paraId="21B6AD8D" w14:textId="77777777" w:rsidR="00871AF3" w:rsidRPr="00C60CA7" w:rsidRDefault="00871AF3" w:rsidP="00C60CA7">
      <w:pPr>
        <w:spacing w:before="100" w:beforeAutospacing="1" w:after="100" w:afterAutospacing="1" w:line="240" w:lineRule="auto"/>
        <w:rPr>
          <w:rFonts w:ascii="Calibri" w:hAnsi="Calibri" w:cs="Calibri"/>
        </w:rPr>
      </w:pPr>
    </w:p>
    <w:p w14:paraId="4B2D050E" w14:textId="77777777" w:rsidR="00C60CA7" w:rsidRPr="00871AF3" w:rsidRDefault="00C60CA7" w:rsidP="0062474F">
      <w:pPr>
        <w:pStyle w:val="Heading2"/>
      </w:pPr>
      <w:bookmarkStart w:id="10" w:name="_Toc232938064"/>
      <w:r w:rsidRPr="00871AF3">
        <w:lastRenderedPageBreak/>
        <w:t>2.2 Representation and Workforce Diversity</w:t>
      </w:r>
      <w:bookmarkEnd w:id="10"/>
    </w:p>
    <w:p w14:paraId="1927CDBE"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When evaluating the success of equality and diversity initiatives within British policing, workforce representation is often regarded as a key indicator. Creating a police service that more closely reflects the demographic composition of the communities it serves has been a central objective of these initiatives. Greater workforce diversity is frequently associated with improved cultural understanding, enhanced legitimacy, and increased public trust. However, official statistics and academic research indicate that progress has been inconsistent and, in some respects, limited.</w:t>
      </w:r>
    </w:p>
    <w:p w14:paraId="270CBBD4"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Although diversity within policing has gradually increased, significant disparities remain. According to Home Office data, officers from ethnic minority backgrounds account for approximately 18% of new recruits; however, their representation across the overall workforce and within senior ranks remains substantially lower, with ethnic minority officers comprising around 11% of all officers and fewer than 7% of senior leadership positions (Home Office, 2023). This discrepancy highlights a significant limitation of existing equality initiatives, suggesting that while recruitment strategies have made progress, retention and career progression continue to present substantial challenges.</w:t>
      </w:r>
    </w:p>
    <w:p w14:paraId="2E8E8AA2"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A similar pattern is evident in relation to gender representation. Although women now comprise more than one-third of police officers in England and Wales, they remain under-represented in specialist and senior leadership roles, with females accounting for approximately 35% of officers but significantly fewer occupying senior positions (Home Office, 2023). Research suggests that this is influenced not only by recruitment but also by organisational culture, promotion processes, and structural barriers within policing environments (Loftus, 2009, p. 92). Consequently, improvements in headline diversity statistics may conceal deeper inequalities within organisational hierarchies.</w:t>
      </w:r>
    </w:p>
    <w:p w14:paraId="2D6941CB"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Crucially, the persistence of these disparities raises the possibility that equality and diversity initiatives have been more successful in improving visible representation than in addressing entrenched institutional barriers. Ahmed (2012, p. 26) argues that diversity initiatives frequently focus on outward representation without tackling the underlying processes that shape inclusion and exclusion within organisations. As a result, policing organisations may become more diverse numerically without achieving equivalent progress in relation to influence, decision-making, or equality of opportunity.</w:t>
      </w:r>
    </w:p>
    <w:p w14:paraId="3A0DD386"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Furthermore, the use of numerical representation as the primary measure of success has been widely criticised. Although increasing diversity remains an important objective, it does not necessarily ensure equitable workplace experiences or outcomes. Individuals from under-represented groups may continue to experience marginalisation, limited opportunities for advancement, or discriminatory treatment despite improvements in recruitment. This supports the argument that representation alone is an insufficient measure by which to assess the effectiveness of equality policy.</w:t>
      </w:r>
    </w:p>
    <w:p w14:paraId="3F78A029" w14:textId="77777777" w:rsid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Overall, the available evidence suggests that, despite measurable progress, significant disparities remain within police workforce diversity, particularly in relation to leadership and career progression. This reinforces the argument that equality and diversity initiatives have had limited success in addressing deeper structural inequalities within policing organisations and highlights the continuing importance of examining the organisational and cultural barriers that impede meaningful change.</w:t>
      </w:r>
    </w:p>
    <w:p w14:paraId="6715E66B" w14:textId="77777777" w:rsidR="00871AF3" w:rsidRDefault="00871AF3" w:rsidP="00C60CA7">
      <w:pPr>
        <w:spacing w:before="100" w:beforeAutospacing="1" w:after="100" w:afterAutospacing="1" w:line="240" w:lineRule="auto"/>
        <w:rPr>
          <w:rFonts w:ascii="Calibri" w:hAnsi="Calibri" w:cs="Calibri"/>
        </w:rPr>
      </w:pPr>
    </w:p>
    <w:p w14:paraId="76F79C55" w14:textId="77777777" w:rsidR="00871AF3" w:rsidRPr="00C60CA7" w:rsidRDefault="00871AF3" w:rsidP="00C60CA7">
      <w:pPr>
        <w:spacing w:before="100" w:beforeAutospacing="1" w:after="100" w:afterAutospacing="1" w:line="240" w:lineRule="auto"/>
        <w:rPr>
          <w:rFonts w:ascii="Calibri" w:hAnsi="Calibri" w:cs="Calibri"/>
        </w:rPr>
      </w:pPr>
    </w:p>
    <w:p w14:paraId="11A50EA1" w14:textId="77777777" w:rsidR="00C60CA7" w:rsidRPr="00871AF3" w:rsidRDefault="00C60CA7" w:rsidP="0062474F">
      <w:pPr>
        <w:pStyle w:val="Heading2"/>
      </w:pPr>
      <w:bookmarkStart w:id="11" w:name="_Toc232938065"/>
      <w:r w:rsidRPr="00871AF3">
        <w:lastRenderedPageBreak/>
        <w:t>2.3 Police Culture and Organisational Barriers</w:t>
      </w:r>
      <w:bookmarkEnd w:id="11"/>
    </w:p>
    <w:p w14:paraId="042EDFC7"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Although representation provides a quantifiable measure of progress, it is insufficient to explain why equality and diversity initiatives have failed to produce persistent and meaningful change within British policing. A substantial body of research demonstrates that organisational culture plays a crucial role in shaping police behaviour and influencing the success of reform initiatives. According to Cockcroft (2013, p. 5), police culture can be defined as a collection of shared beliefs, customs, and informal practices that shape behaviour and frequently operate beyond the direct influence of formal policy frameworks.</w:t>
      </w:r>
    </w:p>
    <w:p w14:paraId="154B8BFE"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One of the central arguments within the literature is that police culture may be inherently resistant to change. Everyday policing practices continue to be influenced by traditional characteristics, including strong occupational solidarity, scepticism towards external oversight, and an emphasis on authority and control. These characteristics can create an environment in which equality and diversity policies are perceived as externally imposed obligations rather than embedded organisational values. Consequently, compliance with such policies may become superficial and fail to produce meaningful behavioural change.</w:t>
      </w:r>
    </w:p>
    <w:p w14:paraId="0E4659AE"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This resistance has significant implications for the implementation of equality initiatives. Although legislative frameworks establish standards for fair and inclusive practice, their effectiveness ultimately depends upon how they are interpreted and applied within organisations. Where underlying cultural norms remain unchanged, discriminatory behaviours may continue despite the existence of comprehensive policy frameworks. This suggests that the limitations of equality and diversity initiatives are influenced not only by policy design but also by the organisational environments in which they are implemented.</w:t>
      </w:r>
    </w:p>
    <w:p w14:paraId="3BEB29D9"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This interpretation is supported by contemporary research. The Casey Review identified widespread cultural problems within the Metropolitan Police Service, including sexism, racism, and a lack of accountability (Casey, 2023, p. 12). Similarly, findings from HMICFRS highlight continuing concerns regarding misconduct and vetting, reporting that a significant proportion of forces were failing to uphold professional standards consistently, particularly in relation to internal discipline and behaviour (HMICFRS, 2022, p. 15). Collectively, these findings suggest that cultural change within policing has remained limited despite significant reform initiatives following the Macpherson Report.</w:t>
      </w:r>
    </w:p>
    <w:p w14:paraId="47B1482B" w14:textId="1FC959AC"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 xml:space="preserve">These cultural dynamics may also be reinforced by the hierarchical structure of policing organisations. Strong chains of command and established power structures can restrict opportunities for organisational learning and discourage challenge. Research suggests that such environments may deter individuals from reporting or confronting discriminatory behaviour, thereby allowing problematic practices to persist (Rowe, 2014, p. 88). </w:t>
      </w:r>
      <w:r w:rsidR="00871AF3" w:rsidRPr="00C60CA7">
        <w:rPr>
          <w:rFonts w:ascii="Calibri" w:hAnsi="Calibri" w:cs="Calibri"/>
        </w:rPr>
        <w:t>This further limit</w:t>
      </w:r>
      <w:r w:rsidRPr="00C60CA7">
        <w:rPr>
          <w:rFonts w:ascii="Calibri" w:hAnsi="Calibri" w:cs="Calibri"/>
        </w:rPr>
        <w:t xml:space="preserve"> the potential effectiveness of equality initiatives.</w:t>
      </w:r>
    </w:p>
    <w:p w14:paraId="772A6765" w14:textId="77777777" w:rsid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Crucially, the persistent gap between policy intention and operational reality identified throughout this dissertation can be explained by the interaction between formal policy and organisational culture. Equality and diversity policies provide a framework for reform, but they do not automatically generate behavioural change. Instead, their effectiveness is mediated by the organisational culture within which they are implemented, meaning that policies are likely to have limited impact where resistance to change persists.</w:t>
      </w:r>
    </w:p>
    <w:p w14:paraId="5F71E35C" w14:textId="77777777" w:rsidR="00871AF3" w:rsidRPr="00C60CA7" w:rsidRDefault="00871AF3" w:rsidP="00C60CA7">
      <w:pPr>
        <w:spacing w:before="100" w:beforeAutospacing="1" w:after="100" w:afterAutospacing="1" w:line="240" w:lineRule="auto"/>
        <w:rPr>
          <w:rFonts w:ascii="Calibri" w:hAnsi="Calibri" w:cs="Calibri"/>
        </w:rPr>
      </w:pPr>
    </w:p>
    <w:p w14:paraId="3F309CC8" w14:textId="5FB56E1E"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lastRenderedPageBreak/>
        <w:t>Overall, the literature indicates that organisational culture represents a significant barrier to the successful implementation of equality and diversity initiatives within British policing. This supports the argument that meaningful progress requires not only policy reform but also sustained cultural change. The importance of addressing these underlying issues is reinforced by recent evidence suggesting that failures in misconduct processes and vetting continue to undermine public confidence in policing institutions (HMICFRS, 2023, p. 8).</w:t>
      </w:r>
    </w:p>
    <w:p w14:paraId="46FB6EC3" w14:textId="77777777" w:rsidR="00C60CA7" w:rsidRPr="00871AF3" w:rsidRDefault="00C60CA7" w:rsidP="0062474F">
      <w:pPr>
        <w:pStyle w:val="Heading2"/>
      </w:pPr>
      <w:bookmarkStart w:id="12" w:name="_Toc232938066"/>
      <w:r w:rsidRPr="00871AF3">
        <w:t>2.4 Policy vs Practice: Evaluating the Effectiveness of Equality Frameworks</w:t>
      </w:r>
      <w:bookmarkEnd w:id="12"/>
    </w:p>
    <w:p w14:paraId="36D4FAF8"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The development of equality and diversity policy within British policing reflects a sustained institutional commitment to reducing discrimination and promoting fairness. Central to this framework is the Equality Act 2010, which places a legal duty on public bodies to eliminate discrimination, advance equality of opportunity, and foster good relations between different groups. Within policing, this statutory framework is supported by internal policies, professional standards, and codes of ethics designed to guide behaviour and promote accountability. However, the effectiveness of these frameworks remains contested, particularly when assessed against operational outcomes.</w:t>
      </w:r>
    </w:p>
    <w:p w14:paraId="23ACC48D"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A key criticism within the literature is that equality frameworks frequently prioritise formal compliance rather than substantive organisational change. Although police forces are required to demonstrate adherence to equality legislation through policies, training, and reporting mechanisms, this does not necessarily translate into meaningful behavioural change. Foster (2003, p. 204) argues that organisational reform within policing is often characterised by the introduction of new policies without their full integration into everyday practice. As a result, compliance risks becoming procedural rather than transformational.</w:t>
      </w:r>
    </w:p>
    <w:p w14:paraId="35FD2180"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Evidence suggesting that equality policies are frequently implemented as “tick-box” exercises reinforces this concern. Rather than addressing the underlying causes of inequality, institutional emphasis on regulatory compliance may encourage a focus on documentation and performance indicators. Reports from HMICFRS have identified inconsistencies in the application of professional standards and equality policies, finding that several police forces demonstrated weaknesses in maintaining ethical standards and effective oversight mechanisms (HMICFRS, 2022, p. 21). Consequently, implementation may vary considerably between organisations, reducing the overall effectiveness of national equality frameworks.</w:t>
      </w:r>
    </w:p>
    <w:p w14:paraId="4AFB01E4" w14:textId="77777777" w:rsid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Furthermore, continuing disparities in policing outcomes provide clear evidence of the limitations associated with policy-driven approaches. Minority communities remain disproportionately affected by the use of police powers, particularly stop and search, despite the existence of comprehensive equality legislation. Home Office data indicate that Black individuals are more than seven times more likely to be stopped and searched than White individuals (Home Office, 2023). This suggests that while policies establish expectations of equitable practice, they do not necessarily produce consistent operational behaviour. Bradford (2014, p. 30) argues that such discrepancies can significantly undermine police legitimacy because public perceptions of fairness are shaped by lived experiences rather than formal policy commitments.</w:t>
      </w:r>
    </w:p>
    <w:p w14:paraId="305A15DD" w14:textId="77777777" w:rsidR="00871AF3" w:rsidRDefault="00871AF3" w:rsidP="00C60CA7">
      <w:pPr>
        <w:spacing w:before="100" w:beforeAutospacing="1" w:after="100" w:afterAutospacing="1" w:line="240" w:lineRule="auto"/>
        <w:rPr>
          <w:rFonts w:ascii="Calibri" w:hAnsi="Calibri" w:cs="Calibri"/>
        </w:rPr>
      </w:pPr>
    </w:p>
    <w:p w14:paraId="6F0FC678" w14:textId="77777777" w:rsidR="00871AF3" w:rsidRPr="00C60CA7" w:rsidRDefault="00871AF3" w:rsidP="00C60CA7">
      <w:pPr>
        <w:spacing w:before="100" w:beforeAutospacing="1" w:after="100" w:afterAutospacing="1" w:line="240" w:lineRule="auto"/>
        <w:rPr>
          <w:rFonts w:ascii="Calibri" w:hAnsi="Calibri" w:cs="Calibri"/>
        </w:rPr>
      </w:pPr>
    </w:p>
    <w:p w14:paraId="1A84723B"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lastRenderedPageBreak/>
        <w:t>As discussed in the preceding section, the interaction between organisational culture and formal policy further limits the effectiveness of equality frameworks. Policies operate within pre-existing institutional structures, and where these structures remain resistant to change, the impact of reform is likely to be constrained. This reinforces the argument that efforts to promote equality must address not only legal obligations but also the structural and cultural factors that influence behaviour within policing organisations.</w:t>
      </w:r>
    </w:p>
    <w:p w14:paraId="661EF236"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Overall, the literature demonstrates that although equality and diversity frameworks within British policing are comprehensive in their design, their effectiveness is constrained by challenges associated with implementation and enforcement. The continued existence of disparities in organisational structures and operational outcomes suggests that policy alone is insufficient to produce meaningful change. This highlights a fundamental disconnect between the objectives of equality legislation and the realities of policing practice, emphasising the need for a more critical evaluation of how such frameworks are translated into operational behaviour.</w:t>
      </w:r>
    </w:p>
    <w:p w14:paraId="4C3EE4F9" w14:textId="77777777" w:rsidR="00C60CA7" w:rsidRPr="00C60CA7" w:rsidRDefault="00C60CA7" w:rsidP="00C60CA7">
      <w:pPr>
        <w:spacing w:before="100" w:beforeAutospacing="1" w:after="100" w:afterAutospacing="1" w:line="240" w:lineRule="auto"/>
        <w:rPr>
          <w:rFonts w:ascii="Calibri" w:hAnsi="Calibri" w:cs="Calibri"/>
        </w:rPr>
      </w:pPr>
    </w:p>
    <w:p w14:paraId="23E2F8C1" w14:textId="77777777" w:rsidR="00C60CA7" w:rsidRPr="00C60CA7" w:rsidRDefault="00C60CA7" w:rsidP="00C60CA7">
      <w:pPr>
        <w:spacing w:before="100" w:beforeAutospacing="1" w:after="100" w:afterAutospacing="1" w:line="240" w:lineRule="auto"/>
        <w:rPr>
          <w:rFonts w:ascii="Calibri" w:hAnsi="Calibri" w:cs="Calibri"/>
        </w:rPr>
      </w:pPr>
    </w:p>
    <w:p w14:paraId="556DC4DA" w14:textId="77777777" w:rsidR="00C60CA7" w:rsidRPr="00C60CA7" w:rsidRDefault="00C60CA7" w:rsidP="00C60CA7">
      <w:pPr>
        <w:spacing w:before="100" w:beforeAutospacing="1" w:after="100" w:afterAutospacing="1" w:line="240" w:lineRule="auto"/>
        <w:rPr>
          <w:rFonts w:ascii="Calibri" w:hAnsi="Calibri" w:cs="Calibri"/>
        </w:rPr>
      </w:pPr>
    </w:p>
    <w:p w14:paraId="6F25B6A2" w14:textId="77777777" w:rsidR="00C60CA7" w:rsidRPr="00C60CA7" w:rsidRDefault="00C60CA7" w:rsidP="00C60CA7">
      <w:pPr>
        <w:spacing w:before="100" w:beforeAutospacing="1" w:after="100" w:afterAutospacing="1" w:line="240" w:lineRule="auto"/>
        <w:rPr>
          <w:rFonts w:ascii="Calibri" w:hAnsi="Calibri" w:cs="Calibri"/>
        </w:rPr>
      </w:pPr>
    </w:p>
    <w:p w14:paraId="14DC6415" w14:textId="77777777" w:rsidR="00C60CA7" w:rsidRPr="00C60CA7" w:rsidRDefault="00C60CA7" w:rsidP="00C60CA7">
      <w:pPr>
        <w:spacing w:before="100" w:beforeAutospacing="1" w:after="100" w:afterAutospacing="1" w:line="240" w:lineRule="auto"/>
        <w:rPr>
          <w:rFonts w:ascii="Calibri" w:hAnsi="Calibri" w:cs="Calibri"/>
        </w:rPr>
      </w:pPr>
    </w:p>
    <w:p w14:paraId="65F83D96" w14:textId="77777777" w:rsidR="00C60CA7" w:rsidRPr="00C60CA7" w:rsidRDefault="00C60CA7" w:rsidP="00C60CA7">
      <w:pPr>
        <w:spacing w:before="100" w:beforeAutospacing="1" w:after="100" w:afterAutospacing="1" w:line="240" w:lineRule="auto"/>
        <w:rPr>
          <w:rFonts w:ascii="Calibri" w:hAnsi="Calibri" w:cs="Calibri"/>
        </w:rPr>
      </w:pPr>
    </w:p>
    <w:p w14:paraId="7F5F9A06" w14:textId="77777777" w:rsidR="00C60CA7" w:rsidRPr="00C60CA7" w:rsidRDefault="00C60CA7" w:rsidP="00C60CA7">
      <w:pPr>
        <w:spacing w:before="100" w:beforeAutospacing="1" w:after="100" w:afterAutospacing="1" w:line="240" w:lineRule="auto"/>
        <w:rPr>
          <w:rFonts w:ascii="Calibri" w:hAnsi="Calibri" w:cs="Calibri"/>
        </w:rPr>
      </w:pPr>
    </w:p>
    <w:p w14:paraId="11A4E606" w14:textId="77777777" w:rsidR="00C60CA7" w:rsidRPr="00C60CA7" w:rsidRDefault="00C60CA7" w:rsidP="00C60CA7">
      <w:pPr>
        <w:spacing w:before="100" w:beforeAutospacing="1" w:after="100" w:afterAutospacing="1" w:line="240" w:lineRule="auto"/>
        <w:rPr>
          <w:rFonts w:ascii="Calibri" w:hAnsi="Calibri" w:cs="Calibri"/>
        </w:rPr>
      </w:pPr>
    </w:p>
    <w:p w14:paraId="7E1921CF" w14:textId="77777777" w:rsidR="00C60CA7" w:rsidRPr="00C60CA7" w:rsidRDefault="00C60CA7" w:rsidP="00C60CA7">
      <w:pPr>
        <w:spacing w:before="100" w:beforeAutospacing="1" w:after="100" w:afterAutospacing="1" w:line="240" w:lineRule="auto"/>
        <w:rPr>
          <w:rFonts w:ascii="Calibri" w:hAnsi="Calibri" w:cs="Calibri"/>
        </w:rPr>
      </w:pPr>
    </w:p>
    <w:p w14:paraId="2532F3CB" w14:textId="77777777" w:rsidR="00C60CA7" w:rsidRPr="00C60CA7" w:rsidRDefault="00C60CA7" w:rsidP="00C60CA7">
      <w:pPr>
        <w:spacing w:before="100" w:beforeAutospacing="1" w:after="100" w:afterAutospacing="1" w:line="240" w:lineRule="auto"/>
        <w:rPr>
          <w:rFonts w:ascii="Calibri" w:hAnsi="Calibri" w:cs="Calibri"/>
        </w:rPr>
      </w:pPr>
    </w:p>
    <w:p w14:paraId="2EBF744F" w14:textId="77777777" w:rsidR="00C60CA7" w:rsidRPr="00C60CA7" w:rsidRDefault="00C60CA7" w:rsidP="00C60CA7">
      <w:pPr>
        <w:spacing w:before="100" w:beforeAutospacing="1" w:after="100" w:afterAutospacing="1" w:line="240" w:lineRule="auto"/>
        <w:rPr>
          <w:rFonts w:ascii="Calibri" w:hAnsi="Calibri" w:cs="Calibri"/>
        </w:rPr>
      </w:pPr>
    </w:p>
    <w:p w14:paraId="01DDD212" w14:textId="77777777" w:rsidR="00C60CA7" w:rsidRPr="00C60CA7" w:rsidRDefault="00C60CA7" w:rsidP="00C60CA7">
      <w:pPr>
        <w:spacing w:before="100" w:beforeAutospacing="1" w:after="100" w:afterAutospacing="1" w:line="240" w:lineRule="auto"/>
        <w:rPr>
          <w:rFonts w:ascii="Calibri" w:hAnsi="Calibri" w:cs="Calibri"/>
        </w:rPr>
      </w:pPr>
    </w:p>
    <w:p w14:paraId="35D0A813" w14:textId="77777777" w:rsidR="00C60CA7" w:rsidRPr="00C60CA7" w:rsidRDefault="00C60CA7" w:rsidP="00C60CA7">
      <w:pPr>
        <w:spacing w:before="100" w:beforeAutospacing="1" w:after="100" w:afterAutospacing="1" w:line="240" w:lineRule="auto"/>
        <w:rPr>
          <w:rFonts w:ascii="Calibri" w:hAnsi="Calibri" w:cs="Calibri"/>
        </w:rPr>
      </w:pPr>
    </w:p>
    <w:p w14:paraId="20CCA8D7" w14:textId="77777777" w:rsidR="00C60CA7" w:rsidRPr="00C60CA7" w:rsidRDefault="00C60CA7" w:rsidP="00C60CA7">
      <w:pPr>
        <w:spacing w:before="100" w:beforeAutospacing="1" w:after="100" w:afterAutospacing="1" w:line="240" w:lineRule="auto"/>
        <w:rPr>
          <w:rFonts w:ascii="Calibri" w:hAnsi="Calibri" w:cs="Calibri"/>
        </w:rPr>
      </w:pPr>
    </w:p>
    <w:p w14:paraId="6675F29B" w14:textId="77777777" w:rsidR="00C60CA7" w:rsidRPr="00C60CA7" w:rsidRDefault="00C60CA7" w:rsidP="00C60CA7">
      <w:pPr>
        <w:spacing w:before="100" w:beforeAutospacing="1" w:after="100" w:afterAutospacing="1" w:line="240" w:lineRule="auto"/>
        <w:rPr>
          <w:rFonts w:ascii="Calibri" w:hAnsi="Calibri" w:cs="Calibri"/>
        </w:rPr>
      </w:pPr>
    </w:p>
    <w:p w14:paraId="55E90E7B" w14:textId="77777777" w:rsidR="00C60CA7" w:rsidRPr="00C60CA7" w:rsidRDefault="00C60CA7" w:rsidP="00C60CA7">
      <w:pPr>
        <w:spacing w:before="100" w:beforeAutospacing="1" w:after="100" w:afterAutospacing="1" w:line="240" w:lineRule="auto"/>
        <w:rPr>
          <w:rFonts w:ascii="Calibri" w:hAnsi="Calibri" w:cs="Calibri"/>
        </w:rPr>
      </w:pPr>
    </w:p>
    <w:p w14:paraId="68DD6D48" w14:textId="77777777" w:rsidR="00C60CA7" w:rsidRPr="00C60CA7" w:rsidRDefault="00C60CA7" w:rsidP="00C60CA7">
      <w:pPr>
        <w:spacing w:before="100" w:beforeAutospacing="1" w:after="100" w:afterAutospacing="1" w:line="240" w:lineRule="auto"/>
        <w:rPr>
          <w:rFonts w:ascii="Calibri" w:hAnsi="Calibri" w:cs="Calibri"/>
        </w:rPr>
      </w:pPr>
    </w:p>
    <w:p w14:paraId="0E847C2A" w14:textId="77777777" w:rsidR="00C60CA7" w:rsidRPr="00C60CA7" w:rsidRDefault="00C60CA7" w:rsidP="00C60CA7">
      <w:pPr>
        <w:spacing w:before="100" w:beforeAutospacing="1" w:after="100" w:afterAutospacing="1" w:line="240" w:lineRule="auto"/>
        <w:rPr>
          <w:rFonts w:ascii="Calibri" w:hAnsi="Calibri" w:cs="Calibri"/>
        </w:rPr>
      </w:pPr>
    </w:p>
    <w:p w14:paraId="0B9C1FCB" w14:textId="77777777" w:rsidR="00C60CA7" w:rsidRPr="00871AF3" w:rsidRDefault="00C60CA7" w:rsidP="0062474F">
      <w:pPr>
        <w:pStyle w:val="Heading2"/>
      </w:pPr>
      <w:bookmarkStart w:id="13" w:name="_Toc232938067"/>
      <w:r w:rsidRPr="00871AF3">
        <w:lastRenderedPageBreak/>
        <w:t>2.5 Impact on Trust, Legitimacy and Policing Outcomes</w:t>
      </w:r>
      <w:bookmarkEnd w:id="13"/>
    </w:p>
    <w:p w14:paraId="7F7C5BA0"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It is impossible to evaluate the success of equality and diversity initiatives within British policing without considering their impact on legitimacy and public trust. The British model of policing is founded upon the principle of policing by consent, whereby police authority is derived from the cooperation and confidence of the public. Consequently, perceptions of fairness, equality, and impartiality are fundamental to maintaining legitimacy and achieving effective policing outcomes.</w:t>
      </w:r>
    </w:p>
    <w:p w14:paraId="60D401C2"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Numerous studies demonstrate the importance of procedural justice in shaping public perceptions of the police. According to procedural justice theory, most prominently advanced by Tom Tyler, individuals are more likely to comply with the law and regard the police as legitimate when decision-making processes are perceived as fair, transparent, and respectful (Tyler, 2006, p. 163). Empirical research conducted within the UK supports this argument, demonstrating that public trust is influenced more by perceptions of procedural fairness than by policing outcomes themselves (Bradford, 2014, p. 24; Jackson et al., 2013, p. 45). Consequently, the effectiveness of equality and diversity initiatives extends beyond internal organisational reform and has a direct impact on public confidence in policing.</w:t>
      </w:r>
    </w:p>
    <w:p w14:paraId="40545A66"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Evidence suggests, however, that these objectives continue to be undermined by disparities in policing practices, particularly in relation to minority communities. A persistent example is the disproportionate use of stop and search powers. According to Home Office data, Black individuals are substantially more likely than White individuals to be subjected to stop and search powers (Home Office, 2023). Such disproportionality contributes to mistrust and significantly influences perceptions of procedural fairness, reinforcing concerns regarding the legitimacy of policing among affected communities.</w:t>
      </w:r>
    </w:p>
    <w:p w14:paraId="7F1CDC9C"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Public confidence has also been undermined by institutional failings identified in recent reviews. The Casey Review, for example, highlighted how misconduct, discrimination, and failures of accountability can significantly damage trust in policing institutions (Casey, 2023, p. 14).</w:t>
      </w:r>
    </w:p>
    <w:p w14:paraId="1148398C"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Crucially, the persistence of these issues suggests that one of the principal objectives of equality and diversity policies—the promotion of legitimacy and public trust—has not yet been fully realised. While formal frameworks establish expectations of equitable treatment, their effectiveness is ultimately judged through public experience. Where disparities and negative perceptions persist, a clear gap emerges between policy intentions and operational reality.</w:t>
      </w:r>
    </w:p>
    <w:p w14:paraId="1AD4607E" w14:textId="77777777" w:rsidR="00C60CA7" w:rsidRPr="00C60CA7" w:rsidRDefault="00C60CA7" w:rsidP="00C60CA7">
      <w:pPr>
        <w:spacing w:before="100" w:beforeAutospacing="1" w:after="100" w:afterAutospacing="1" w:line="240" w:lineRule="auto"/>
        <w:rPr>
          <w:rFonts w:ascii="Calibri" w:hAnsi="Calibri" w:cs="Calibri"/>
        </w:rPr>
      </w:pPr>
      <w:r w:rsidRPr="00C60CA7">
        <w:rPr>
          <w:rFonts w:ascii="Calibri" w:hAnsi="Calibri" w:cs="Calibri"/>
        </w:rPr>
        <w:t>Overall, the literature demonstrates that the effectiveness of equality and diversity policies must be assessed in terms of both internal organisational change and their wider impact on public confidence and legitimacy. The continued existence of disproportionality and mistrust indicates that, despite sustained governmental and institutional efforts, significant barriers remain to achieving fair, equitable, and legitimate policing. This reinforces the central argument of this dissertation that, although equality and diversity policies are well established in principle, their effectiveness in practice remains limited.</w:t>
      </w:r>
    </w:p>
    <w:p w14:paraId="318C1BEA" w14:textId="77777777" w:rsidR="00C60CA7" w:rsidRPr="00C60CA7" w:rsidRDefault="00C60CA7" w:rsidP="00C60CA7">
      <w:pPr>
        <w:spacing w:before="100" w:beforeAutospacing="1" w:after="100" w:afterAutospacing="1" w:line="240" w:lineRule="auto"/>
        <w:rPr>
          <w:rFonts w:ascii="Calibri" w:hAnsi="Calibri" w:cs="Calibri"/>
        </w:rPr>
      </w:pPr>
    </w:p>
    <w:p w14:paraId="2CCD3F15" w14:textId="77777777" w:rsidR="00C60CA7" w:rsidRPr="00C60CA7" w:rsidRDefault="00C60CA7" w:rsidP="00C60CA7">
      <w:pPr>
        <w:rPr>
          <w:rFonts w:ascii="Calibri" w:hAnsi="Calibri" w:cs="Calibri"/>
        </w:rPr>
      </w:pPr>
    </w:p>
    <w:p w14:paraId="58F9CE89" w14:textId="77777777" w:rsidR="00C60CA7" w:rsidRPr="00C60CA7" w:rsidRDefault="00C60CA7" w:rsidP="00C60CA7">
      <w:pPr>
        <w:rPr>
          <w:rFonts w:ascii="Calibri" w:hAnsi="Calibri" w:cs="Calibri"/>
        </w:rPr>
      </w:pPr>
    </w:p>
    <w:p w14:paraId="027549AC" w14:textId="77777777" w:rsidR="00C60CA7" w:rsidRPr="00C60CA7" w:rsidRDefault="00C60CA7" w:rsidP="00C60CA7">
      <w:pPr>
        <w:rPr>
          <w:rFonts w:ascii="Calibri" w:hAnsi="Calibri" w:cs="Calibri"/>
        </w:rPr>
      </w:pPr>
    </w:p>
    <w:p w14:paraId="5822D666" w14:textId="73B64A4F" w:rsidR="00871AF3" w:rsidRPr="00871AF3" w:rsidRDefault="00871AF3" w:rsidP="0062474F">
      <w:pPr>
        <w:pStyle w:val="Heading1"/>
      </w:pPr>
      <w:bookmarkStart w:id="14" w:name="_Toc232938068"/>
      <w:r w:rsidRPr="00871AF3">
        <w:lastRenderedPageBreak/>
        <w:t>Chapter Three – Methodology</w:t>
      </w:r>
      <w:bookmarkEnd w:id="14"/>
      <w:r w:rsidRPr="00871AF3">
        <w:t xml:space="preserve"> </w:t>
      </w:r>
    </w:p>
    <w:p w14:paraId="760DCE47" w14:textId="77777777" w:rsidR="00871AF3" w:rsidRPr="00871AF3" w:rsidRDefault="00871AF3" w:rsidP="0062474F">
      <w:pPr>
        <w:pStyle w:val="Heading2"/>
      </w:pPr>
      <w:bookmarkStart w:id="15" w:name="_Toc232938069"/>
      <w:r w:rsidRPr="00871AF3">
        <w:t>3.1 Research Approach</w:t>
      </w:r>
      <w:bookmarkEnd w:id="15"/>
    </w:p>
    <w:p w14:paraId="0AAF7F18"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This study adopts a qualitative research methodology to investigate the impact of equality and diversity policies within British policing. Qualitative research is particularly well suited to examining complex social phenomena because it enables a detailed understanding of meanings, experiences, and institutional dynamics (Bryman, 2016). As this research seeks to evaluate not only measurable outcomes but also organisational culture, behavioural patterns, and perceptions of legitimacy, a qualitative approach provides the necessary depth and flexibility.</w:t>
      </w:r>
    </w:p>
    <w:p w14:paraId="09AB7498"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Unlike quantitative research, which is primarily concerned with numerical measurement, qualitative research facilitates a more interpretive assessment of policy effectiveness. This is particularly important within the context of policing, where statistical evidence alone cannot fully explain issues such as discrimination, cultural resistance, and public trust. Consequently, the qualitative methodology adopted within this study supports a more comprehensive evaluation of how equality and diversity policies operate in practice.</w:t>
      </w:r>
    </w:p>
    <w:p w14:paraId="11802FD2" w14:textId="1AA8C5C4" w:rsidR="00871AF3" w:rsidRPr="00871AF3" w:rsidRDefault="00871AF3" w:rsidP="0062474F">
      <w:pPr>
        <w:pStyle w:val="Heading2"/>
        <w:rPr>
          <w:rFonts w:eastAsiaTheme="minorHAnsi"/>
        </w:rPr>
      </w:pPr>
      <w:bookmarkStart w:id="16" w:name="_Toc232938070"/>
      <w:r w:rsidRPr="00871AF3">
        <w:t>Furthermore, rather than treating different aspects of policing as isolated variables, a qualitative approach enables exploration of the relationships between policy, organisational culture, and operational practice. Given the complexity of equality and diversity within policing, where outcomes are influenced by multiple interrelated factors rather than a single measurable variable, this approach is considered particularly appropriate.</w:t>
      </w:r>
      <w:bookmarkEnd w:id="16"/>
    </w:p>
    <w:p w14:paraId="7DB75098" w14:textId="77777777" w:rsidR="00871AF3" w:rsidRPr="00871AF3" w:rsidRDefault="00871AF3" w:rsidP="0062474F">
      <w:pPr>
        <w:pStyle w:val="Heading2"/>
      </w:pPr>
      <w:bookmarkStart w:id="17" w:name="_Toc232938071"/>
      <w:r w:rsidRPr="00871AF3">
        <w:t>3.2 Research Design: Secondary Data Analysis</w:t>
      </w:r>
      <w:bookmarkEnd w:id="17"/>
    </w:p>
    <w:p w14:paraId="7C9BD818"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This study employs a secondary data analysis design involving the systematic review of published academic literature, official policing reports, and government publications. Secondary research refers to the analysis of data that has previously been collected and published by other researchers or organisations (Saunders et al., 2019). This approach is particularly well suited to addressing broad institutional research questions where comprehensive and reliable evidence is required.</w:t>
      </w:r>
    </w:p>
    <w:p w14:paraId="01BDFABF"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Given the dissertation’s focus on national policing policy and practice, secondary data analysis is especially appropriate. Primary research methods such as interviews or surveys would be limited in scope and unlikely to capture the complexity of equality and diversity issues across British policing. In contrast, secondary sources provide access to extensive and authoritative evidence, enabling a more comprehensive and informed evaluation.</w:t>
      </w:r>
    </w:p>
    <w:p w14:paraId="704925C2"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Additionally, secondary data analysis allows findings from different sources to be compared and synthesised, facilitating the identification of recurring themes, trends, and inconsistencies across the literature. This strengthens the analytical depth of the research and supports a more critical evaluation of policy effectiveness.</w:t>
      </w:r>
    </w:p>
    <w:p w14:paraId="413A8268" w14:textId="57B7A4E0" w:rsidR="00871AF3" w:rsidRPr="00871AF3" w:rsidRDefault="00871AF3" w:rsidP="00871AF3">
      <w:pPr>
        <w:spacing w:after="0" w:line="240" w:lineRule="auto"/>
        <w:rPr>
          <w:rFonts w:ascii="Calibri" w:eastAsia="Times New Roman" w:hAnsi="Calibri" w:cs="Calibri"/>
        </w:rPr>
      </w:pPr>
    </w:p>
    <w:p w14:paraId="7CA9B528" w14:textId="77777777" w:rsidR="00871AF3" w:rsidRPr="00871AF3" w:rsidRDefault="00871AF3" w:rsidP="00871AF3">
      <w:pPr>
        <w:spacing w:before="100" w:beforeAutospacing="1" w:after="100" w:afterAutospacing="1" w:line="240" w:lineRule="auto"/>
        <w:outlineLvl w:val="1"/>
        <w:rPr>
          <w:rFonts w:ascii="Calibri" w:eastAsia="Times New Roman" w:hAnsi="Calibri" w:cs="Calibri"/>
          <w:b/>
          <w:bCs/>
        </w:rPr>
      </w:pPr>
    </w:p>
    <w:p w14:paraId="1597B685" w14:textId="77777777" w:rsidR="00871AF3" w:rsidRPr="00871AF3" w:rsidRDefault="00871AF3" w:rsidP="00871AF3">
      <w:pPr>
        <w:spacing w:before="100" w:beforeAutospacing="1" w:after="100" w:afterAutospacing="1" w:line="240" w:lineRule="auto"/>
        <w:outlineLvl w:val="1"/>
        <w:rPr>
          <w:rFonts w:ascii="Calibri" w:eastAsia="Times New Roman" w:hAnsi="Calibri" w:cs="Calibri"/>
          <w:b/>
          <w:bCs/>
        </w:rPr>
      </w:pPr>
    </w:p>
    <w:p w14:paraId="54C71656" w14:textId="77777777" w:rsidR="00871AF3" w:rsidRPr="00871AF3" w:rsidRDefault="00871AF3" w:rsidP="0062474F">
      <w:pPr>
        <w:pStyle w:val="Heading2"/>
      </w:pPr>
    </w:p>
    <w:p w14:paraId="74B0D54E" w14:textId="77777777" w:rsidR="00871AF3" w:rsidRPr="00871AF3" w:rsidRDefault="00871AF3" w:rsidP="0062474F">
      <w:pPr>
        <w:pStyle w:val="Heading2"/>
      </w:pPr>
      <w:bookmarkStart w:id="18" w:name="_Toc232938072"/>
      <w:r w:rsidRPr="00871AF3">
        <w:t>3.3 Data Sources</w:t>
      </w:r>
      <w:bookmarkEnd w:id="18"/>
    </w:p>
    <w:p w14:paraId="3EF3F909"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This study draws upon a range of secondary sources to ensure a comprehensive and balanced analysis. These sources can be broadly categorised into scholarly literature, government publications, and official policing reports.</w:t>
      </w:r>
    </w:p>
    <w:p w14:paraId="30A5B718"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Peer-reviewed journal articles and academic books provide the theoretical frameworks and critical perspectives relating to policing, equality, and organisational culture. These sources underpin the conceptual basis of the study and support the interpretation of empirical findings.</w:t>
      </w:r>
    </w:p>
    <w:p w14:paraId="606DF1FA"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Government publications, particularly those produced by the Home Office, provide statistical evidence relating to workforce diversity and operational practices such as stop and search. These data enable the evaluation of policy effectiveness through the identification of trends and disproportionality within policing.</w:t>
      </w:r>
    </w:p>
    <w:p w14:paraId="74E8F0FD"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Furthermore, independent reviews, including the Casey Review, together with findings published by oversight bodies such as HM Inspectorate of Constabulary and Fire &amp; Rescue Services (HMICFRS), provide authoritative insights into organisational culture, misconduct, vetting, and institutional performance.</w:t>
      </w:r>
    </w:p>
    <w:p w14:paraId="279F0BCA" w14:textId="321424BE" w:rsid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The combination of these sources enables a balanced methodological approach by integrating quantitative evidence with qualitative analysis. Consequently, the study considers not only statistical trends but also the broader organisational and cultural context in which those trends occur.</w:t>
      </w:r>
    </w:p>
    <w:p w14:paraId="633A7398" w14:textId="77777777" w:rsidR="00871AF3" w:rsidRDefault="00871AF3" w:rsidP="00871AF3">
      <w:pPr>
        <w:spacing w:before="100" w:beforeAutospacing="1" w:after="100" w:afterAutospacing="1" w:line="240" w:lineRule="auto"/>
        <w:rPr>
          <w:rFonts w:ascii="Calibri" w:hAnsi="Calibri" w:cs="Calibri"/>
        </w:rPr>
      </w:pPr>
    </w:p>
    <w:p w14:paraId="1D7E1B74" w14:textId="77777777" w:rsidR="00871AF3" w:rsidRDefault="00871AF3" w:rsidP="00871AF3">
      <w:pPr>
        <w:spacing w:before="100" w:beforeAutospacing="1" w:after="100" w:afterAutospacing="1" w:line="240" w:lineRule="auto"/>
        <w:rPr>
          <w:rFonts w:ascii="Calibri" w:hAnsi="Calibri" w:cs="Calibri"/>
        </w:rPr>
      </w:pPr>
    </w:p>
    <w:p w14:paraId="52AF583E" w14:textId="77777777" w:rsidR="00871AF3" w:rsidRDefault="00871AF3" w:rsidP="00871AF3">
      <w:pPr>
        <w:spacing w:before="100" w:beforeAutospacing="1" w:after="100" w:afterAutospacing="1" w:line="240" w:lineRule="auto"/>
        <w:rPr>
          <w:rFonts w:ascii="Calibri" w:hAnsi="Calibri" w:cs="Calibri"/>
        </w:rPr>
      </w:pPr>
    </w:p>
    <w:p w14:paraId="44C59A93" w14:textId="77777777" w:rsidR="00871AF3" w:rsidRDefault="00871AF3" w:rsidP="00871AF3">
      <w:pPr>
        <w:spacing w:before="100" w:beforeAutospacing="1" w:after="100" w:afterAutospacing="1" w:line="240" w:lineRule="auto"/>
        <w:rPr>
          <w:rFonts w:ascii="Calibri" w:hAnsi="Calibri" w:cs="Calibri"/>
        </w:rPr>
      </w:pPr>
    </w:p>
    <w:p w14:paraId="6DC02F05" w14:textId="77777777" w:rsidR="00871AF3" w:rsidRDefault="00871AF3" w:rsidP="00871AF3">
      <w:pPr>
        <w:spacing w:before="100" w:beforeAutospacing="1" w:after="100" w:afterAutospacing="1" w:line="240" w:lineRule="auto"/>
        <w:rPr>
          <w:rFonts w:ascii="Calibri" w:hAnsi="Calibri" w:cs="Calibri"/>
        </w:rPr>
      </w:pPr>
    </w:p>
    <w:p w14:paraId="14BD6B43" w14:textId="77777777" w:rsidR="00871AF3" w:rsidRDefault="00871AF3" w:rsidP="00871AF3">
      <w:pPr>
        <w:spacing w:before="100" w:beforeAutospacing="1" w:after="100" w:afterAutospacing="1" w:line="240" w:lineRule="auto"/>
        <w:rPr>
          <w:rFonts w:ascii="Calibri" w:hAnsi="Calibri" w:cs="Calibri"/>
        </w:rPr>
      </w:pPr>
    </w:p>
    <w:p w14:paraId="49CFE89B" w14:textId="77777777" w:rsidR="00871AF3" w:rsidRDefault="00871AF3" w:rsidP="00871AF3">
      <w:pPr>
        <w:spacing w:before="100" w:beforeAutospacing="1" w:after="100" w:afterAutospacing="1" w:line="240" w:lineRule="auto"/>
        <w:rPr>
          <w:rFonts w:ascii="Calibri" w:hAnsi="Calibri" w:cs="Calibri"/>
        </w:rPr>
      </w:pPr>
    </w:p>
    <w:p w14:paraId="5CB94ED4" w14:textId="77777777" w:rsidR="00871AF3" w:rsidRDefault="00871AF3" w:rsidP="00871AF3">
      <w:pPr>
        <w:spacing w:before="100" w:beforeAutospacing="1" w:after="100" w:afterAutospacing="1" w:line="240" w:lineRule="auto"/>
        <w:rPr>
          <w:rFonts w:ascii="Calibri" w:hAnsi="Calibri" w:cs="Calibri"/>
        </w:rPr>
      </w:pPr>
    </w:p>
    <w:p w14:paraId="6A83495B" w14:textId="77777777" w:rsidR="00871AF3" w:rsidRDefault="00871AF3" w:rsidP="00871AF3">
      <w:pPr>
        <w:spacing w:before="100" w:beforeAutospacing="1" w:after="100" w:afterAutospacing="1" w:line="240" w:lineRule="auto"/>
        <w:rPr>
          <w:rFonts w:ascii="Calibri" w:hAnsi="Calibri" w:cs="Calibri"/>
        </w:rPr>
      </w:pPr>
    </w:p>
    <w:p w14:paraId="682F7AB7" w14:textId="77777777" w:rsidR="00871AF3" w:rsidRDefault="00871AF3" w:rsidP="00871AF3">
      <w:pPr>
        <w:spacing w:before="100" w:beforeAutospacing="1" w:after="100" w:afterAutospacing="1" w:line="240" w:lineRule="auto"/>
        <w:rPr>
          <w:rFonts w:ascii="Calibri" w:hAnsi="Calibri" w:cs="Calibri"/>
        </w:rPr>
      </w:pPr>
    </w:p>
    <w:p w14:paraId="55ECD723" w14:textId="77777777" w:rsidR="00871AF3" w:rsidRDefault="00871AF3" w:rsidP="00871AF3">
      <w:pPr>
        <w:spacing w:before="100" w:beforeAutospacing="1" w:after="100" w:afterAutospacing="1" w:line="240" w:lineRule="auto"/>
        <w:rPr>
          <w:rFonts w:ascii="Calibri" w:hAnsi="Calibri" w:cs="Calibri"/>
        </w:rPr>
      </w:pPr>
    </w:p>
    <w:p w14:paraId="5D9DED12" w14:textId="77777777" w:rsidR="00871AF3" w:rsidRDefault="00871AF3" w:rsidP="00871AF3">
      <w:pPr>
        <w:spacing w:before="100" w:beforeAutospacing="1" w:after="100" w:afterAutospacing="1" w:line="240" w:lineRule="auto"/>
        <w:rPr>
          <w:rFonts w:ascii="Calibri" w:hAnsi="Calibri" w:cs="Calibri"/>
        </w:rPr>
      </w:pPr>
    </w:p>
    <w:p w14:paraId="2C58B6B4" w14:textId="77777777" w:rsidR="00871AF3" w:rsidRPr="00871AF3" w:rsidRDefault="00871AF3" w:rsidP="00871AF3">
      <w:pPr>
        <w:spacing w:before="100" w:beforeAutospacing="1" w:after="100" w:afterAutospacing="1" w:line="240" w:lineRule="auto"/>
        <w:rPr>
          <w:rFonts w:ascii="Calibri" w:hAnsi="Calibri" w:cs="Calibri"/>
        </w:rPr>
      </w:pPr>
    </w:p>
    <w:p w14:paraId="1B9401AD" w14:textId="77777777" w:rsidR="00871AF3" w:rsidRPr="00871AF3" w:rsidRDefault="00871AF3" w:rsidP="0062474F">
      <w:pPr>
        <w:pStyle w:val="Heading2"/>
      </w:pPr>
      <w:bookmarkStart w:id="19" w:name="_Toc232938073"/>
      <w:r w:rsidRPr="00871AF3">
        <w:t>3.4 Justification of Methodological Approach – Secondary Research</w:t>
      </w:r>
      <w:bookmarkEnd w:id="19"/>
    </w:p>
    <w:p w14:paraId="181113A8"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The nature and scope of the research question justify the adoption of a qualitative secondary research approach. This dissertation seeks to evaluate the effectiveness of equality and diversity policies within British policing, an issue that operates at both institutional and national levels. Consequently, addressing the research question requires the analysis of large-scale existing evidence rather than the collection of small-scale primary data.</w:t>
      </w:r>
    </w:p>
    <w:p w14:paraId="622BC449"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Secondary research enables the integration of multiple forms of evidence, including academic literature, government publications, and official statistical data. This facilitates a comprehensive assessment of policy effectiveness across several dimensions, including representation, organisational culture, operational practice, and public trust. By drawing upon diverse sources, the research enhances the validity and reliability of its findings.</w:t>
      </w:r>
    </w:p>
    <w:p w14:paraId="4415FD76"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Additionally, the use of existing datasets permits the examination of longitudinal trends that would be difficult to capture through primary research alone. For example, Home Office statistics provide insight into changes in workforce diversity over time, while HMICFRS reports offer continuing evaluations of policing standards and organisational performance.</w:t>
      </w:r>
    </w:p>
    <w:p w14:paraId="1AA962A6"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Within criminology and policing studies, secondary data analysis is widely recognised as an appropriate method for evaluating institutional performance and policy effectiveness (Bryman, 2016; Saunders et al., 2019). Consequently, this methodology represents a rigorous and appropriate approach to addressing the objectives of the dissertation.</w:t>
      </w:r>
    </w:p>
    <w:p w14:paraId="6F3A386B" w14:textId="77777777" w:rsid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Crucially, this approach also facilitates data triangulation by enabling conclusions to be supported through multiple independent sources. This enhances the credibility of the research and reduces the risk of relying upon isolated or potentially biased evidence.</w:t>
      </w:r>
    </w:p>
    <w:p w14:paraId="63B80399" w14:textId="77777777" w:rsidR="0062474F" w:rsidRDefault="0062474F" w:rsidP="00871AF3">
      <w:pPr>
        <w:spacing w:before="100" w:beforeAutospacing="1" w:after="100" w:afterAutospacing="1" w:line="240" w:lineRule="auto"/>
        <w:rPr>
          <w:rFonts w:ascii="Calibri" w:hAnsi="Calibri" w:cs="Calibri"/>
        </w:rPr>
      </w:pPr>
    </w:p>
    <w:p w14:paraId="2E8D6AE7" w14:textId="77777777" w:rsidR="0062474F" w:rsidRDefault="0062474F" w:rsidP="00871AF3">
      <w:pPr>
        <w:spacing w:before="100" w:beforeAutospacing="1" w:after="100" w:afterAutospacing="1" w:line="240" w:lineRule="auto"/>
        <w:rPr>
          <w:rFonts w:ascii="Calibri" w:hAnsi="Calibri" w:cs="Calibri"/>
        </w:rPr>
      </w:pPr>
    </w:p>
    <w:p w14:paraId="0C7151CC" w14:textId="77777777" w:rsidR="0062474F" w:rsidRDefault="0062474F" w:rsidP="00871AF3">
      <w:pPr>
        <w:spacing w:before="100" w:beforeAutospacing="1" w:after="100" w:afterAutospacing="1" w:line="240" w:lineRule="auto"/>
        <w:rPr>
          <w:rFonts w:ascii="Calibri" w:hAnsi="Calibri" w:cs="Calibri"/>
        </w:rPr>
      </w:pPr>
    </w:p>
    <w:p w14:paraId="43188A92" w14:textId="77777777" w:rsidR="0062474F" w:rsidRDefault="0062474F" w:rsidP="00871AF3">
      <w:pPr>
        <w:spacing w:before="100" w:beforeAutospacing="1" w:after="100" w:afterAutospacing="1" w:line="240" w:lineRule="auto"/>
        <w:rPr>
          <w:rFonts w:ascii="Calibri" w:hAnsi="Calibri" w:cs="Calibri"/>
        </w:rPr>
      </w:pPr>
    </w:p>
    <w:p w14:paraId="61BF27B3" w14:textId="77777777" w:rsidR="0062474F" w:rsidRDefault="0062474F" w:rsidP="00871AF3">
      <w:pPr>
        <w:spacing w:before="100" w:beforeAutospacing="1" w:after="100" w:afterAutospacing="1" w:line="240" w:lineRule="auto"/>
        <w:rPr>
          <w:rFonts w:ascii="Calibri" w:hAnsi="Calibri" w:cs="Calibri"/>
        </w:rPr>
      </w:pPr>
    </w:p>
    <w:p w14:paraId="5775897D" w14:textId="77777777" w:rsidR="0062474F" w:rsidRDefault="0062474F" w:rsidP="00871AF3">
      <w:pPr>
        <w:spacing w:before="100" w:beforeAutospacing="1" w:after="100" w:afterAutospacing="1" w:line="240" w:lineRule="auto"/>
        <w:rPr>
          <w:rFonts w:ascii="Calibri" w:hAnsi="Calibri" w:cs="Calibri"/>
        </w:rPr>
      </w:pPr>
    </w:p>
    <w:p w14:paraId="4D912121" w14:textId="77777777" w:rsidR="0062474F" w:rsidRDefault="0062474F" w:rsidP="00871AF3">
      <w:pPr>
        <w:spacing w:before="100" w:beforeAutospacing="1" w:after="100" w:afterAutospacing="1" w:line="240" w:lineRule="auto"/>
        <w:rPr>
          <w:rFonts w:ascii="Calibri" w:hAnsi="Calibri" w:cs="Calibri"/>
        </w:rPr>
      </w:pPr>
    </w:p>
    <w:p w14:paraId="40E9F51E" w14:textId="77777777" w:rsidR="0062474F" w:rsidRDefault="0062474F" w:rsidP="00871AF3">
      <w:pPr>
        <w:spacing w:before="100" w:beforeAutospacing="1" w:after="100" w:afterAutospacing="1" w:line="240" w:lineRule="auto"/>
        <w:rPr>
          <w:rFonts w:ascii="Calibri" w:hAnsi="Calibri" w:cs="Calibri"/>
        </w:rPr>
      </w:pPr>
    </w:p>
    <w:p w14:paraId="0051F6C0" w14:textId="77777777" w:rsidR="0062474F" w:rsidRPr="00871AF3" w:rsidRDefault="0062474F" w:rsidP="00871AF3">
      <w:pPr>
        <w:spacing w:before="100" w:beforeAutospacing="1" w:after="100" w:afterAutospacing="1" w:line="240" w:lineRule="auto"/>
        <w:rPr>
          <w:rFonts w:ascii="Calibri" w:hAnsi="Calibri" w:cs="Calibri"/>
        </w:rPr>
      </w:pPr>
    </w:p>
    <w:p w14:paraId="1E51C680" w14:textId="6265D91A" w:rsidR="00871AF3" w:rsidRPr="00871AF3" w:rsidRDefault="00871AF3" w:rsidP="00871AF3">
      <w:pPr>
        <w:spacing w:after="0" w:line="240" w:lineRule="auto"/>
        <w:rPr>
          <w:rFonts w:ascii="Calibri" w:eastAsia="Times New Roman" w:hAnsi="Calibri" w:cs="Calibri"/>
        </w:rPr>
      </w:pPr>
    </w:p>
    <w:p w14:paraId="4238DAEA" w14:textId="77777777" w:rsidR="00871AF3" w:rsidRPr="00871AF3" w:rsidRDefault="00871AF3" w:rsidP="0062474F">
      <w:pPr>
        <w:pStyle w:val="Heading2"/>
      </w:pPr>
      <w:bookmarkStart w:id="20" w:name="_Toc232938074"/>
      <w:r w:rsidRPr="00871AF3">
        <w:t>3.5 Limitations</w:t>
      </w:r>
      <w:bookmarkEnd w:id="20"/>
    </w:p>
    <w:p w14:paraId="1A33289D"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Although secondary data offer several advantages, it is important to acknowledge their limitations. A principal limitation is the reliance upon existing sources, restricting the ability to collect new evidence tailored specifically to the research question. Consequently, gaps in the available evidence or a lack of direct insight into individual experiences may remain.</w:t>
      </w:r>
    </w:p>
    <w:p w14:paraId="37A9CE33"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Furthermore, secondary data may reflect biases associated with their original collection or publication. Official statistics and institutional reports, for example, may be influenced by organisational priorities or limitations within data collection processes. It is therefore essential that all sources are critically evaluated and interpreted with appropriate caution.</w:t>
      </w:r>
    </w:p>
    <w:p w14:paraId="08585917"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The absence of primary research, including interviews or surveys, also limits opportunities to explore individual perspectives in greater depth. Nevertheless, given the institutional and national focus of this dissertation, secondary data provide a more appropriate and comprehensive evidential basis for evaluating policy effectiveness.</w:t>
      </w:r>
    </w:p>
    <w:p w14:paraId="00ADDF3A" w14:textId="58452889"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Despite these limitations, the use of multiple independent sources enables findings to be cross-checked and interpreted from different perspectives, thereby reducing potential weaknesses and strengthening the overall robustness of the analysis.</w:t>
      </w:r>
    </w:p>
    <w:p w14:paraId="29595ACF" w14:textId="77777777" w:rsidR="00871AF3" w:rsidRPr="00871AF3" w:rsidRDefault="00871AF3" w:rsidP="0062474F">
      <w:pPr>
        <w:pStyle w:val="Heading2"/>
      </w:pPr>
      <w:bookmarkStart w:id="21" w:name="_Toc232938075"/>
      <w:r w:rsidRPr="00871AF3">
        <w:t>3.6 Ethical Considerations</w:t>
      </w:r>
      <w:bookmarkEnd w:id="21"/>
    </w:p>
    <w:p w14:paraId="63FD8D84"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As this study does not involve the collection of primary data, formal ethical approval is not required. All information used within the research is publicly available and sourced from reputable academic, governmental, and institutional publications.</w:t>
      </w:r>
    </w:p>
    <w:p w14:paraId="112AEFE3"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Nevertheless, ethical considerations remain important in ensuring the responsible use of data. Care has been taken to represent previous research accurately, and all sources have been cited in accordance with Harvard referencing conventions. The study also seeks to maintain objectivity by avoiding selective interpretation or misrepresentation of evidence.</w:t>
      </w:r>
    </w:p>
    <w:p w14:paraId="37419B0D" w14:textId="77777777" w:rsid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Furthermore, the research adheres to the principles of academic integrity by ensuring transparency in the use of sources and avoiding plagiarism or misrepresentation of data.</w:t>
      </w:r>
    </w:p>
    <w:p w14:paraId="0F2A6240" w14:textId="77777777" w:rsidR="00871AF3" w:rsidRDefault="00871AF3" w:rsidP="00871AF3">
      <w:pPr>
        <w:spacing w:before="100" w:beforeAutospacing="1" w:after="100" w:afterAutospacing="1" w:line="240" w:lineRule="auto"/>
        <w:rPr>
          <w:rFonts w:ascii="Calibri" w:hAnsi="Calibri" w:cs="Calibri"/>
        </w:rPr>
      </w:pPr>
    </w:p>
    <w:p w14:paraId="11D305C3" w14:textId="77777777" w:rsidR="00871AF3" w:rsidRDefault="00871AF3" w:rsidP="00871AF3">
      <w:pPr>
        <w:spacing w:before="100" w:beforeAutospacing="1" w:after="100" w:afterAutospacing="1" w:line="240" w:lineRule="auto"/>
        <w:rPr>
          <w:rFonts w:ascii="Calibri" w:hAnsi="Calibri" w:cs="Calibri"/>
        </w:rPr>
      </w:pPr>
    </w:p>
    <w:p w14:paraId="3922C26C" w14:textId="77777777" w:rsidR="00871AF3" w:rsidRDefault="00871AF3" w:rsidP="00871AF3">
      <w:pPr>
        <w:spacing w:before="100" w:beforeAutospacing="1" w:after="100" w:afterAutospacing="1" w:line="240" w:lineRule="auto"/>
        <w:rPr>
          <w:rFonts w:ascii="Calibri" w:hAnsi="Calibri" w:cs="Calibri"/>
        </w:rPr>
      </w:pPr>
    </w:p>
    <w:p w14:paraId="07764194" w14:textId="77777777" w:rsidR="00871AF3" w:rsidRDefault="00871AF3" w:rsidP="00871AF3">
      <w:pPr>
        <w:spacing w:before="100" w:beforeAutospacing="1" w:after="100" w:afterAutospacing="1" w:line="240" w:lineRule="auto"/>
        <w:rPr>
          <w:rFonts w:ascii="Calibri" w:hAnsi="Calibri" w:cs="Calibri"/>
        </w:rPr>
      </w:pPr>
    </w:p>
    <w:p w14:paraId="4CECA2F9" w14:textId="77777777" w:rsidR="00871AF3" w:rsidRDefault="00871AF3" w:rsidP="00871AF3">
      <w:pPr>
        <w:spacing w:before="100" w:beforeAutospacing="1" w:after="100" w:afterAutospacing="1" w:line="240" w:lineRule="auto"/>
        <w:rPr>
          <w:rFonts w:ascii="Calibri" w:hAnsi="Calibri" w:cs="Calibri"/>
        </w:rPr>
      </w:pPr>
    </w:p>
    <w:p w14:paraId="63D64198" w14:textId="77777777" w:rsidR="00871AF3" w:rsidRDefault="00871AF3" w:rsidP="00871AF3">
      <w:pPr>
        <w:spacing w:before="100" w:beforeAutospacing="1" w:after="100" w:afterAutospacing="1" w:line="240" w:lineRule="auto"/>
        <w:rPr>
          <w:rFonts w:ascii="Calibri" w:hAnsi="Calibri" w:cs="Calibri"/>
        </w:rPr>
      </w:pPr>
    </w:p>
    <w:p w14:paraId="5A92F6A8" w14:textId="77777777" w:rsidR="00871AF3" w:rsidRDefault="00871AF3" w:rsidP="00871AF3">
      <w:pPr>
        <w:spacing w:before="100" w:beforeAutospacing="1" w:after="100" w:afterAutospacing="1" w:line="240" w:lineRule="auto"/>
        <w:rPr>
          <w:rFonts w:ascii="Calibri" w:hAnsi="Calibri" w:cs="Calibri"/>
        </w:rPr>
      </w:pPr>
    </w:p>
    <w:p w14:paraId="44E0854E" w14:textId="77777777" w:rsidR="00871AF3" w:rsidRDefault="00871AF3" w:rsidP="00871AF3">
      <w:pPr>
        <w:spacing w:before="100" w:beforeAutospacing="1" w:after="100" w:afterAutospacing="1" w:line="240" w:lineRule="auto"/>
        <w:rPr>
          <w:rFonts w:ascii="Calibri" w:hAnsi="Calibri" w:cs="Calibri"/>
        </w:rPr>
      </w:pPr>
    </w:p>
    <w:p w14:paraId="288F1B39" w14:textId="7B6783B6" w:rsidR="00871AF3" w:rsidRPr="00871AF3" w:rsidRDefault="00871AF3" w:rsidP="0062474F">
      <w:pPr>
        <w:pStyle w:val="Heading1"/>
      </w:pPr>
      <w:bookmarkStart w:id="22" w:name="_Toc232938076"/>
      <w:r w:rsidRPr="00871AF3">
        <w:t>Chapter Four – Analysis of Results</w:t>
      </w:r>
      <w:bookmarkEnd w:id="22"/>
    </w:p>
    <w:p w14:paraId="3A519B3E" w14:textId="77777777" w:rsidR="00871AF3" w:rsidRPr="00871AF3" w:rsidRDefault="00871AF3" w:rsidP="0062474F">
      <w:pPr>
        <w:pStyle w:val="Heading2"/>
      </w:pPr>
      <w:bookmarkStart w:id="23" w:name="_Toc232938077"/>
      <w:r w:rsidRPr="00871AF3">
        <w:t>4.1 Representation and Operational Outcomes</w:t>
      </w:r>
      <w:bookmarkEnd w:id="23"/>
    </w:p>
    <w:p w14:paraId="67BD7A2E"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The findings of this research indicate that equality and diversity policies within British policing have produced uneven and, in some areas, limited outcomes. Although measurable improvements have been made in workforce diversity and recruitment, the evidence suggests that these gains have not consistently translated into equitable organisational progression or operational practice. This demonstrates that, despite the increasing integration of equality frameworks within policing organisations, wider structural and cultural barriers continue to limit their effectiveness.</w:t>
      </w:r>
    </w:p>
    <w:p w14:paraId="6B051CB0"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Workforce representation remains one of the clearest indicators of progress. The latest Home Office figures show that diversity within British policing has steadily improved in recent years. As of 31 March 2025, women accounted for 36.1% of the police workforce, the highest proportion since comparable records began, while officers from ethnic minority backgrounds represented approximately 8.5% of all police officers in England and Wales (Home Office, 2025). These figures suggest that recruitment-focused equality initiatives have had a measurable impact in improving the representation of historically under-represented groups.</w:t>
      </w:r>
    </w:p>
    <w:p w14:paraId="3E2A6DF2" w14:textId="77777777" w:rsidR="00871AF3" w:rsidRPr="00871AF3" w:rsidRDefault="00871AF3" w:rsidP="00871AF3">
      <w:pPr>
        <w:pStyle w:val="p1"/>
        <w:rPr>
          <w:rFonts w:ascii="Calibri" w:hAnsi="Calibri" w:cs="Calibri"/>
          <w:sz w:val="22"/>
          <w:szCs w:val="22"/>
        </w:rPr>
      </w:pPr>
      <w:r w:rsidRPr="00871AF3">
        <w:rPr>
          <w:rFonts w:ascii="Calibri" w:hAnsi="Calibri" w:cs="Calibri"/>
          <w:sz w:val="22"/>
          <w:szCs w:val="22"/>
        </w:rPr>
        <w:t>Despite these advances, the findings demonstrate that progress remains uneven across organisational structures. Female officers and officers from ethnic minority backgrounds continue to be under-represented in senior leadership positions and specialist roles. This suggests that equality and diversity initiatives have been more effective in widening access to policing careers than in addressing inequalities relating to progression, retention, and organisational development. The Casey Review identified continuing organisational barriers affecting equality, highlighting cultural issues, discriminatory practices, and institutional shortcomings that continue to impede progression and contribute to unequal experiences within policing organisations (Casey, 2023, p. 18). Consequently, improvements in representation alone provide only a partial indication of policy effectiveness.</w:t>
      </w:r>
    </w:p>
    <w:p w14:paraId="7CC8A6DD"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Furthermore, the evidence indicates that increased workforce diversity does not necessarily correspond with meaningful organisational inclusion. While policing organisations may appear more representative, this does not automatically reflect significant changes in institutional power structures or organisational culture. Bowling and Phillips (2007, p. 941) argue that diversity initiatives often improve outward representation without adequately addressing the structural conditions that sustain inequality within policing. This finding supports the argument that equality initiatives may generate visible progress without producing deeper organisational transformation.</w:t>
      </w:r>
    </w:p>
    <w:p w14:paraId="38B67734" w14:textId="77777777" w:rsid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Operational policing outcomes provide further evidence of the limitations of current equality frameworks. Despite legislative reform and institutional commitments to equality, minority communities continue to experience disproportionate use of police powers. Home Office data show that Black individuals remain significantly more likely than White individuals to be subject to stop and search powers (Home Office, 2025). The persistence of these disparities indicates that formal equality policies have not consistently translated into equitable operational practice.</w:t>
      </w:r>
    </w:p>
    <w:p w14:paraId="7ED69339" w14:textId="77777777" w:rsidR="00871AF3" w:rsidRDefault="00871AF3" w:rsidP="00871AF3">
      <w:pPr>
        <w:spacing w:before="100" w:beforeAutospacing="1" w:after="100" w:afterAutospacing="1" w:line="240" w:lineRule="auto"/>
        <w:rPr>
          <w:rFonts w:ascii="Calibri" w:hAnsi="Calibri" w:cs="Calibri"/>
        </w:rPr>
      </w:pPr>
    </w:p>
    <w:p w14:paraId="5E3C0C02" w14:textId="77777777" w:rsidR="00871AF3" w:rsidRPr="00871AF3" w:rsidRDefault="00871AF3" w:rsidP="00871AF3">
      <w:pPr>
        <w:spacing w:before="100" w:beforeAutospacing="1" w:after="100" w:afterAutospacing="1" w:line="240" w:lineRule="auto"/>
        <w:rPr>
          <w:rFonts w:ascii="Calibri" w:hAnsi="Calibri" w:cs="Calibri"/>
        </w:rPr>
      </w:pPr>
    </w:p>
    <w:p w14:paraId="4B07D6BD"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lastRenderedPageBreak/>
        <w:t>Crucially, these findings call into question the practical effectiveness of equality and diversity initiatives. Although policy frameworks establish expectations of fairness, impartiality, and equality, the continued existence of disproportionality suggests inconsistent implementation in practice. The Race Disparity Unit (2024) reports that disparities remain evident across multiple stages of the criminal justice system, indicating that structural inequalities continue to shape policing outcomes beyond recruitment and workforce representation. This reinforces concerns that equality initiatives may have achieved greater success in improving institutional image than in transforming operational practice.</w:t>
      </w:r>
    </w:p>
    <w:p w14:paraId="06C5EA21"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Gender disparities also remain evident within policing organisations. Although female representation has increased steadily, evidence suggests that women continue to encounter barriers relating to career progression, organisational culture, and workplace inclusion. The Casey Review found that institutional problems relating to sexism, misogyny, and discriminatory behaviour persist within the Metropolitan Police Service (Casey, 2023, p. 18). These findings further suggest that improvements in representation have not always resulted in genuinely inclusive organisational environments.</w:t>
      </w:r>
    </w:p>
    <w:p w14:paraId="71B3A2D1"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Overall, the findings demonstrate that equality and diversity policies within British policing have achieved measurable success in improving recruitment and workforce representation. However, continuing disparities in leadership, workplace experience, and operational outcomes indicate that these policies have been less successful in producing meaningful organisational and behavioural change. Consequently, although policing organisations have become more diverse in appearance, substantial structural and operational inequalities remain.</w:t>
      </w:r>
    </w:p>
    <w:p w14:paraId="137A19EC" w14:textId="40A59A05" w:rsidR="00871AF3" w:rsidRPr="00871AF3" w:rsidRDefault="00871AF3" w:rsidP="00871AF3">
      <w:pPr>
        <w:spacing w:after="0" w:line="240" w:lineRule="auto"/>
        <w:rPr>
          <w:rFonts w:ascii="Calibri" w:eastAsia="Times New Roman" w:hAnsi="Calibri" w:cs="Calibri"/>
        </w:rPr>
      </w:pPr>
    </w:p>
    <w:p w14:paraId="4E413F16" w14:textId="77777777" w:rsidR="00871AF3" w:rsidRPr="00871AF3" w:rsidRDefault="00871AF3" w:rsidP="00871AF3">
      <w:pPr>
        <w:spacing w:before="100" w:beforeAutospacing="1" w:after="100" w:afterAutospacing="1" w:line="240" w:lineRule="auto"/>
        <w:outlineLvl w:val="2"/>
        <w:rPr>
          <w:rFonts w:ascii="Calibri" w:eastAsia="Times New Roman" w:hAnsi="Calibri" w:cs="Calibri"/>
          <w:b/>
          <w:bCs/>
        </w:rPr>
      </w:pPr>
    </w:p>
    <w:p w14:paraId="381E0C5B" w14:textId="77777777" w:rsidR="00871AF3" w:rsidRPr="00871AF3" w:rsidRDefault="00871AF3" w:rsidP="00871AF3">
      <w:pPr>
        <w:spacing w:before="100" w:beforeAutospacing="1" w:after="100" w:afterAutospacing="1" w:line="240" w:lineRule="auto"/>
        <w:outlineLvl w:val="2"/>
        <w:rPr>
          <w:rFonts w:ascii="Calibri" w:eastAsia="Times New Roman" w:hAnsi="Calibri" w:cs="Calibri"/>
          <w:b/>
          <w:bCs/>
        </w:rPr>
      </w:pPr>
    </w:p>
    <w:p w14:paraId="73CCBEF8" w14:textId="77777777" w:rsidR="00871AF3" w:rsidRPr="00871AF3" w:rsidRDefault="00871AF3" w:rsidP="00871AF3">
      <w:pPr>
        <w:spacing w:before="100" w:beforeAutospacing="1" w:after="100" w:afterAutospacing="1" w:line="240" w:lineRule="auto"/>
        <w:outlineLvl w:val="2"/>
        <w:rPr>
          <w:rFonts w:ascii="Calibri" w:eastAsia="Times New Roman" w:hAnsi="Calibri" w:cs="Calibri"/>
          <w:b/>
          <w:bCs/>
        </w:rPr>
      </w:pPr>
    </w:p>
    <w:p w14:paraId="10C72DFA" w14:textId="77777777" w:rsidR="00871AF3" w:rsidRPr="00871AF3" w:rsidRDefault="00871AF3" w:rsidP="00871AF3">
      <w:pPr>
        <w:spacing w:before="100" w:beforeAutospacing="1" w:after="100" w:afterAutospacing="1" w:line="240" w:lineRule="auto"/>
        <w:outlineLvl w:val="2"/>
        <w:rPr>
          <w:rFonts w:ascii="Calibri" w:eastAsia="Times New Roman" w:hAnsi="Calibri" w:cs="Calibri"/>
          <w:b/>
          <w:bCs/>
        </w:rPr>
      </w:pPr>
    </w:p>
    <w:p w14:paraId="443B894A" w14:textId="77777777" w:rsidR="00871AF3" w:rsidRPr="00871AF3" w:rsidRDefault="00871AF3" w:rsidP="00871AF3">
      <w:pPr>
        <w:spacing w:before="100" w:beforeAutospacing="1" w:after="100" w:afterAutospacing="1" w:line="240" w:lineRule="auto"/>
        <w:outlineLvl w:val="2"/>
        <w:rPr>
          <w:rFonts w:ascii="Calibri" w:eastAsia="Times New Roman" w:hAnsi="Calibri" w:cs="Calibri"/>
          <w:b/>
          <w:bCs/>
        </w:rPr>
      </w:pPr>
    </w:p>
    <w:p w14:paraId="3B0EC1F0" w14:textId="77777777" w:rsidR="00871AF3" w:rsidRPr="00871AF3" w:rsidRDefault="00871AF3" w:rsidP="00871AF3">
      <w:pPr>
        <w:spacing w:before="100" w:beforeAutospacing="1" w:after="100" w:afterAutospacing="1" w:line="240" w:lineRule="auto"/>
        <w:outlineLvl w:val="2"/>
        <w:rPr>
          <w:rFonts w:ascii="Calibri" w:eastAsia="Times New Roman" w:hAnsi="Calibri" w:cs="Calibri"/>
          <w:b/>
          <w:bCs/>
        </w:rPr>
      </w:pPr>
    </w:p>
    <w:p w14:paraId="4032D6CD" w14:textId="77777777" w:rsidR="00871AF3" w:rsidRPr="00871AF3" w:rsidRDefault="00871AF3" w:rsidP="00871AF3">
      <w:pPr>
        <w:spacing w:before="100" w:beforeAutospacing="1" w:after="100" w:afterAutospacing="1" w:line="240" w:lineRule="auto"/>
        <w:outlineLvl w:val="2"/>
        <w:rPr>
          <w:rFonts w:ascii="Calibri" w:eastAsia="Times New Roman" w:hAnsi="Calibri" w:cs="Calibri"/>
          <w:b/>
          <w:bCs/>
        </w:rPr>
      </w:pPr>
    </w:p>
    <w:p w14:paraId="79673C4D" w14:textId="77777777" w:rsidR="00871AF3" w:rsidRPr="00871AF3" w:rsidRDefault="00871AF3" w:rsidP="00871AF3">
      <w:pPr>
        <w:spacing w:before="100" w:beforeAutospacing="1" w:after="100" w:afterAutospacing="1" w:line="240" w:lineRule="auto"/>
        <w:outlineLvl w:val="2"/>
        <w:rPr>
          <w:rFonts w:ascii="Calibri" w:eastAsia="Times New Roman" w:hAnsi="Calibri" w:cs="Calibri"/>
          <w:b/>
          <w:bCs/>
        </w:rPr>
      </w:pPr>
    </w:p>
    <w:p w14:paraId="08816145" w14:textId="77777777" w:rsidR="00871AF3" w:rsidRPr="00871AF3" w:rsidRDefault="00871AF3" w:rsidP="00871AF3">
      <w:pPr>
        <w:spacing w:before="100" w:beforeAutospacing="1" w:after="100" w:afterAutospacing="1" w:line="240" w:lineRule="auto"/>
        <w:outlineLvl w:val="2"/>
        <w:rPr>
          <w:rFonts w:ascii="Calibri" w:eastAsia="Times New Roman" w:hAnsi="Calibri" w:cs="Calibri"/>
          <w:b/>
          <w:bCs/>
        </w:rPr>
      </w:pPr>
    </w:p>
    <w:p w14:paraId="667D3AF4" w14:textId="77777777" w:rsidR="00871AF3" w:rsidRPr="00871AF3" w:rsidRDefault="00871AF3" w:rsidP="00871AF3">
      <w:pPr>
        <w:spacing w:before="100" w:beforeAutospacing="1" w:after="100" w:afterAutospacing="1" w:line="240" w:lineRule="auto"/>
        <w:outlineLvl w:val="2"/>
        <w:rPr>
          <w:rFonts w:ascii="Calibri" w:eastAsia="Times New Roman" w:hAnsi="Calibri" w:cs="Calibri"/>
          <w:b/>
          <w:bCs/>
        </w:rPr>
      </w:pPr>
    </w:p>
    <w:p w14:paraId="6D4B86E4" w14:textId="77777777" w:rsidR="00871AF3" w:rsidRDefault="00871AF3" w:rsidP="00871AF3">
      <w:pPr>
        <w:spacing w:before="100" w:beforeAutospacing="1" w:after="100" w:afterAutospacing="1" w:line="240" w:lineRule="auto"/>
        <w:outlineLvl w:val="2"/>
        <w:rPr>
          <w:rFonts w:ascii="Calibri" w:eastAsia="Times New Roman" w:hAnsi="Calibri" w:cs="Calibri"/>
          <w:b/>
          <w:bCs/>
        </w:rPr>
      </w:pPr>
    </w:p>
    <w:p w14:paraId="5C73957F" w14:textId="77777777" w:rsidR="00871AF3" w:rsidRDefault="00871AF3" w:rsidP="00871AF3">
      <w:pPr>
        <w:spacing w:before="100" w:beforeAutospacing="1" w:after="100" w:afterAutospacing="1" w:line="240" w:lineRule="auto"/>
        <w:outlineLvl w:val="2"/>
        <w:rPr>
          <w:rFonts w:ascii="Calibri" w:eastAsia="Times New Roman" w:hAnsi="Calibri" w:cs="Calibri"/>
          <w:b/>
          <w:bCs/>
        </w:rPr>
      </w:pPr>
    </w:p>
    <w:p w14:paraId="1FCC84B1" w14:textId="77777777" w:rsidR="00871AF3" w:rsidRPr="00871AF3" w:rsidRDefault="00871AF3" w:rsidP="00871AF3">
      <w:pPr>
        <w:spacing w:before="100" w:beforeAutospacing="1" w:after="100" w:afterAutospacing="1" w:line="240" w:lineRule="auto"/>
        <w:outlineLvl w:val="2"/>
        <w:rPr>
          <w:rFonts w:ascii="Calibri" w:eastAsia="Times New Roman" w:hAnsi="Calibri" w:cs="Calibri"/>
          <w:b/>
          <w:bCs/>
        </w:rPr>
      </w:pPr>
    </w:p>
    <w:p w14:paraId="0582DA62" w14:textId="77777777" w:rsidR="00871AF3" w:rsidRPr="00871AF3" w:rsidRDefault="00871AF3" w:rsidP="0062474F">
      <w:pPr>
        <w:pStyle w:val="Heading2"/>
      </w:pPr>
      <w:bookmarkStart w:id="24" w:name="_Toc232938078"/>
      <w:r w:rsidRPr="00871AF3">
        <w:lastRenderedPageBreak/>
        <w:t>4.2 Organisational Culture and Institutional Barriers</w:t>
      </w:r>
      <w:bookmarkEnd w:id="24"/>
    </w:p>
    <w:p w14:paraId="08009754"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The findings of this study indicate that organisational culture remains one of the greatest obstacles to the effectiveness of equality and diversity policies within British policing. Despite legislative reform and institutional commitments to fairness, accountability, and inclusion, evidence suggests that entrenched cultural attitudes and structural practices continue to inhibit meaningful change. This demonstrates that the effectiveness of equality policies is shaped not only by their design but also by the organisational environments in which they are implemented.</w:t>
      </w:r>
    </w:p>
    <w:p w14:paraId="19BA2E0F" w14:textId="410F0A28"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 xml:space="preserve">The persistence of traditional police culture, often characterised by strong occupational solidarity, resistance to external scrutiny, and hierarchical power structures, emerges as a recurring theme throughout the evidence. Although these characteristics are not inherently discriminatory, research suggests that they can create environments resistant to organisational reform and accountability. Cockcroft (2020, p. 51) argues that police culture continues to exert a significant influence over </w:t>
      </w:r>
      <w:r w:rsidR="00A86CE8" w:rsidRPr="00871AF3">
        <w:rPr>
          <w:rFonts w:ascii="Calibri" w:hAnsi="Calibri" w:cs="Calibri"/>
        </w:rPr>
        <w:t>every day</w:t>
      </w:r>
      <w:r w:rsidRPr="00871AF3">
        <w:rPr>
          <w:rFonts w:ascii="Calibri" w:hAnsi="Calibri" w:cs="Calibri"/>
        </w:rPr>
        <w:t xml:space="preserve"> policing practices despite extensive modernisation efforts. Consequently, cultural resistance may restrict the extent to which formal equality policies become embedded within operational practice.</w:t>
      </w:r>
    </w:p>
    <w:p w14:paraId="1685C64D"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The findings of the Casey Review provide compelling evidence supporting concerns regarding organisational culture. The review identified widespread issues relating to racism, sexism, bullying, and misconduct within the Metropolitan Police Service and concluded that discriminatory practices had become normalised in parts of the organisation (Casey, 2023, p. 12). These findings suggest that discriminatory attitudes and behaviours continue to exist despite comprehensive equality frameworks and professional standards, indicating that the existence of policy alone cannot be regarded as evidence of meaningful organisational change.</w:t>
      </w:r>
    </w:p>
    <w:p w14:paraId="25152B13"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Crucially, the findings indicate that organisational culture directly influences the effectiveness of equality initiatives. Policies promoting fairness and inclusion require organisational commitment, leadership support, and consistent enforcement. However, where discriminatory conduct is tolerated or inadequately addressed, their effectiveness is substantially undermined. The Casey Review raised wider concerns regarding institutional willingness to challenge discriminatory behaviour by identifying failures to deal consistently with misconduct and accountability (Casey, 2023, p. 84).</w:t>
      </w:r>
    </w:p>
    <w:p w14:paraId="39D3D7BE" w14:textId="040B3400"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Reports published by HM Inspectorate of Constabulary and Fire &amp; Rescue Services (HMICFRS) reinforce these concerns. Inspections examining police vetting, misconduct, and professional standards identified significant weaknesses across several police forces in England and Wales (HMICFRS, 2022). These findings highlighted deficiencies in vetting procedures and revealed cases where officers accused of serious misconduct remained in post. Such evidence supports the argument that institutional and structural barriers continue to undermine public confidence and reduce the practical effectiveness of equality policies.</w:t>
      </w:r>
    </w:p>
    <w:p w14:paraId="0F0853F1"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The persistence of these institutional issues suggests that reform efforts have often prioritised procedural compliance over deeper cultural transformation. While policies, training programmes, and reporting structures may demonstrate formal adherence to equality legislation, they do not necessarily indicate meaningful changes in organisational attitudes or behaviour. Ahmed (2012, p. 117) argues that diversity initiatives can become performative, signalling commitment to equality without producing substantial structural change. This may explain why visible policy development has not consistently translated into genuine organisational reform.</w:t>
      </w:r>
    </w:p>
    <w:p w14:paraId="4D88F5B4"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lastRenderedPageBreak/>
        <w:t>These challenges may be reinforced by the hierarchical nature of policing organisations. Strong chains of command and traditional power structures may discourage officers and staff from reporting misconduct or challenging discriminatory behaviour. Research suggests that individuals from under-represented groups may experience additional barriers when raising concerns relating to discrimination, harassment, or workplace inequality. The College of Policing (2023) argues that creating inclusive policing environments requires not only increased workforce diversity but also organisational cultures in which individuals feel supported to challenge unacceptable behaviour.</w:t>
      </w:r>
    </w:p>
    <w:p w14:paraId="1A46DA3A"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The findings further indicate that failures in organisational culture extend beyond internal workplace experiences and directly affect public perceptions of policing legitimacy. High-profile cases involving racism, misogyny, and abuse of power have intensified scrutiny of police culture and raised questions regarding the effectiveness of existing oversight mechanisms. Organisational culture therefore represents not merely an internal issue but a significant factor influencing public confidence and operational legitimacy.</w:t>
      </w:r>
    </w:p>
    <w:p w14:paraId="2B2EA2C3"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Overall, the findings suggest that organisational culture remains one of the principal barriers limiting the effectiveness of equality and diversity policies within British policing. Although equality frameworks and institutional reforms have become increasingly established, deeper structural and cultural obstacles continue to undermine meaningful progress. Consequently, lasting improvements are unlikely to be achieved through policy development alone without sustained cultural transformation across policing organisations.</w:t>
      </w:r>
    </w:p>
    <w:p w14:paraId="3726D574" w14:textId="77777777" w:rsidR="00871AF3" w:rsidRPr="00871AF3" w:rsidRDefault="00871AF3" w:rsidP="00871AF3">
      <w:pPr>
        <w:spacing w:before="100" w:beforeAutospacing="1" w:after="100" w:afterAutospacing="1" w:line="240" w:lineRule="auto"/>
        <w:rPr>
          <w:rFonts w:ascii="Calibri" w:hAnsi="Calibri" w:cs="Calibri"/>
        </w:rPr>
      </w:pPr>
    </w:p>
    <w:p w14:paraId="67D788F9" w14:textId="77777777" w:rsidR="00871AF3" w:rsidRPr="00871AF3" w:rsidRDefault="00871AF3" w:rsidP="00871AF3">
      <w:pPr>
        <w:spacing w:before="100" w:beforeAutospacing="1" w:after="100" w:afterAutospacing="1" w:line="240" w:lineRule="auto"/>
        <w:rPr>
          <w:rFonts w:ascii="Calibri" w:hAnsi="Calibri" w:cs="Calibri"/>
        </w:rPr>
      </w:pPr>
    </w:p>
    <w:p w14:paraId="52AE9D62" w14:textId="77777777" w:rsidR="00871AF3" w:rsidRPr="00871AF3" w:rsidRDefault="00871AF3" w:rsidP="00871AF3">
      <w:pPr>
        <w:spacing w:before="100" w:beforeAutospacing="1" w:after="100" w:afterAutospacing="1" w:line="240" w:lineRule="auto"/>
        <w:rPr>
          <w:rFonts w:ascii="Calibri" w:hAnsi="Calibri" w:cs="Calibri"/>
        </w:rPr>
      </w:pPr>
    </w:p>
    <w:p w14:paraId="0FD8AC25" w14:textId="77777777" w:rsidR="00871AF3" w:rsidRPr="00871AF3" w:rsidRDefault="00871AF3" w:rsidP="00871AF3">
      <w:pPr>
        <w:spacing w:before="100" w:beforeAutospacing="1" w:after="100" w:afterAutospacing="1" w:line="240" w:lineRule="auto"/>
        <w:rPr>
          <w:rFonts w:ascii="Calibri" w:hAnsi="Calibri" w:cs="Calibri"/>
        </w:rPr>
      </w:pPr>
    </w:p>
    <w:p w14:paraId="0650BE5E" w14:textId="77777777" w:rsidR="00871AF3" w:rsidRPr="00871AF3" w:rsidRDefault="00871AF3" w:rsidP="00871AF3">
      <w:pPr>
        <w:spacing w:before="100" w:beforeAutospacing="1" w:after="100" w:afterAutospacing="1" w:line="240" w:lineRule="auto"/>
        <w:rPr>
          <w:rFonts w:ascii="Calibri" w:hAnsi="Calibri" w:cs="Calibri"/>
        </w:rPr>
      </w:pPr>
    </w:p>
    <w:p w14:paraId="62A3D518" w14:textId="77777777" w:rsidR="00871AF3" w:rsidRPr="00871AF3" w:rsidRDefault="00871AF3" w:rsidP="00871AF3">
      <w:pPr>
        <w:spacing w:before="100" w:beforeAutospacing="1" w:after="100" w:afterAutospacing="1" w:line="240" w:lineRule="auto"/>
        <w:rPr>
          <w:rFonts w:ascii="Calibri" w:hAnsi="Calibri" w:cs="Calibri"/>
        </w:rPr>
      </w:pPr>
    </w:p>
    <w:p w14:paraId="4232D55B" w14:textId="77777777" w:rsidR="00871AF3" w:rsidRPr="00871AF3" w:rsidRDefault="00871AF3" w:rsidP="00871AF3">
      <w:pPr>
        <w:spacing w:before="100" w:beforeAutospacing="1" w:after="100" w:afterAutospacing="1" w:line="240" w:lineRule="auto"/>
        <w:rPr>
          <w:rFonts w:ascii="Calibri" w:hAnsi="Calibri" w:cs="Calibri"/>
        </w:rPr>
      </w:pPr>
    </w:p>
    <w:p w14:paraId="332FE385" w14:textId="77777777" w:rsidR="00871AF3" w:rsidRPr="00871AF3" w:rsidRDefault="00871AF3" w:rsidP="00871AF3">
      <w:pPr>
        <w:spacing w:before="100" w:beforeAutospacing="1" w:after="100" w:afterAutospacing="1" w:line="240" w:lineRule="auto"/>
        <w:rPr>
          <w:rFonts w:ascii="Calibri" w:hAnsi="Calibri" w:cs="Calibri"/>
        </w:rPr>
      </w:pPr>
    </w:p>
    <w:p w14:paraId="4F382887" w14:textId="77777777" w:rsidR="00871AF3" w:rsidRDefault="00871AF3" w:rsidP="00871AF3">
      <w:pPr>
        <w:spacing w:before="100" w:beforeAutospacing="1" w:after="100" w:afterAutospacing="1" w:line="240" w:lineRule="auto"/>
        <w:rPr>
          <w:rFonts w:ascii="Calibri" w:hAnsi="Calibri" w:cs="Calibri"/>
        </w:rPr>
      </w:pPr>
    </w:p>
    <w:p w14:paraId="0EB4BE0C" w14:textId="77777777" w:rsidR="00871AF3" w:rsidRDefault="00871AF3" w:rsidP="00871AF3">
      <w:pPr>
        <w:spacing w:before="100" w:beforeAutospacing="1" w:after="100" w:afterAutospacing="1" w:line="240" w:lineRule="auto"/>
        <w:rPr>
          <w:rFonts w:ascii="Calibri" w:hAnsi="Calibri" w:cs="Calibri"/>
        </w:rPr>
      </w:pPr>
    </w:p>
    <w:p w14:paraId="576592CA" w14:textId="77777777" w:rsidR="00871AF3" w:rsidRDefault="00871AF3" w:rsidP="00871AF3">
      <w:pPr>
        <w:spacing w:before="100" w:beforeAutospacing="1" w:after="100" w:afterAutospacing="1" w:line="240" w:lineRule="auto"/>
        <w:rPr>
          <w:rFonts w:ascii="Calibri" w:hAnsi="Calibri" w:cs="Calibri"/>
        </w:rPr>
      </w:pPr>
    </w:p>
    <w:p w14:paraId="6A397D7F" w14:textId="77777777" w:rsidR="00871AF3" w:rsidRDefault="00871AF3" w:rsidP="00871AF3">
      <w:pPr>
        <w:spacing w:before="100" w:beforeAutospacing="1" w:after="100" w:afterAutospacing="1" w:line="240" w:lineRule="auto"/>
        <w:rPr>
          <w:rFonts w:ascii="Calibri" w:hAnsi="Calibri" w:cs="Calibri"/>
        </w:rPr>
      </w:pPr>
    </w:p>
    <w:p w14:paraId="50FFF7CC" w14:textId="77777777" w:rsidR="00871AF3" w:rsidRDefault="00871AF3" w:rsidP="00871AF3">
      <w:pPr>
        <w:spacing w:before="100" w:beforeAutospacing="1" w:after="100" w:afterAutospacing="1" w:line="240" w:lineRule="auto"/>
        <w:rPr>
          <w:rFonts w:ascii="Calibri" w:hAnsi="Calibri" w:cs="Calibri"/>
        </w:rPr>
      </w:pPr>
    </w:p>
    <w:p w14:paraId="467AD1F8" w14:textId="77777777" w:rsidR="00871AF3" w:rsidRDefault="00871AF3" w:rsidP="00871AF3">
      <w:pPr>
        <w:spacing w:before="100" w:beforeAutospacing="1" w:after="100" w:afterAutospacing="1" w:line="240" w:lineRule="auto"/>
        <w:rPr>
          <w:rFonts w:ascii="Calibri" w:hAnsi="Calibri" w:cs="Calibri"/>
        </w:rPr>
      </w:pPr>
    </w:p>
    <w:p w14:paraId="588369C6" w14:textId="77777777" w:rsidR="00871AF3" w:rsidRPr="00871AF3" w:rsidRDefault="00871AF3" w:rsidP="00871AF3">
      <w:pPr>
        <w:spacing w:before="100" w:beforeAutospacing="1" w:after="100" w:afterAutospacing="1" w:line="240" w:lineRule="auto"/>
        <w:rPr>
          <w:rFonts w:ascii="Calibri" w:hAnsi="Calibri" w:cs="Calibri"/>
        </w:rPr>
      </w:pPr>
    </w:p>
    <w:p w14:paraId="38779A43" w14:textId="77777777" w:rsidR="00871AF3" w:rsidRPr="00871AF3" w:rsidRDefault="00871AF3" w:rsidP="0062474F">
      <w:pPr>
        <w:pStyle w:val="Heading2"/>
      </w:pPr>
      <w:bookmarkStart w:id="25" w:name="_Toc232938079"/>
      <w:r w:rsidRPr="00871AF3">
        <w:lastRenderedPageBreak/>
        <w:t>4.3 Public Trust, Legitimacy and Policy Effectiveness</w:t>
      </w:r>
      <w:bookmarkEnd w:id="25"/>
    </w:p>
    <w:p w14:paraId="5F65C04C"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The findings of this study demonstrate that the effectiveness of equality and diversity policies within British policing cannot be evaluated solely through internal organisational change or workforce representation. Perceptions of police legitimacy and public trust are equally important indicators of success. Within the British policing model, legitimacy is intrinsically linked to the principle of policing by consent, whereby police authority is derived from public cooperation and confidence. Consequently, if equality initiatives fail to promote perceptions of fairness, accountability, and impartiality, the broader legitimacy of policing institutions may be significantly undermined.</w:t>
      </w:r>
    </w:p>
    <w:p w14:paraId="5D8F1A25"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The evidence indicates that perceptions of procedural fairness and equal treatment remain closely associated with public trust in policing. According to procedural justice theory, individuals are more likely to regard policing as legitimate when police decision-making is perceived as impartial, transparent, respectful, and fair (Tyler, 2006, p. 163). Similar findings from UK research suggest that public confidence is often shaped more by perceptions of fairness than by policing outcomes themselves (Jackson et al., 2013, p. 45). This is particularly significant when evaluating equality and diversity initiatives, as public trust is influenced not only by institutional commitments to equality but also by the lived experience of fair and equitable policing.</w:t>
      </w:r>
    </w:p>
    <w:p w14:paraId="55EAE4EB"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The findings further indicate that trust in the police remains inconsistent across different communities, despite substantial reform following the Macpherson Report and subsequent equality legislation. Research indicates that minority ethnic groups frequently report lower levels of confidence and trust in the police, particularly where disproportionality in the use of police powers remains evident. Following a series of high-profile misconduct cases and policing controversies, YouGov reported that only 44% of Black respondents expressed confidence in the police, compared with 67% of White respondents (YouGov, 2023). These findings suggest that longstanding concerns regarding fairness, accountability, and discriminatory policing practices have not been fully addressed through existing equality and diversity initiatives.</w:t>
      </w:r>
    </w:p>
    <w:p w14:paraId="17D52A64" w14:textId="447DB75B"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Significantly, public scrutiny of policing legitimacy has intensified following recent institutional crises and high-profile incidents. Cases involving racism, misogyny, excessive force, and abuse of power have heightened concerns regarding police culture and accountability mechanisms. The Casey Review concluded that institutional failings relating to misconduct, discrimination, and professional standards had significantly undermined public confidence in the Metropolitan Police Service (Casey, 2023, p. 258). These findings are particularly important because they suggest that equality policies may lose credibility where policing organisations are perceived to have failed in effectively addressing discriminatory behaviour within their own institutions.</w:t>
      </w:r>
    </w:p>
    <w:p w14:paraId="67C7FE64" w14:textId="77777777" w:rsid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The findings also demonstrate that public trust continues to be undermined by inconsistencies between formal policy commitments and operational practice. Although policing organisations publicly promote principles of fairness, equality, and inclusion, repeated allegations of misconduct and discriminatory behaviour create a disconnect between institutional messaging and the experiences of many communities. Bradford et al. (2022, p. 311) argue that police legitimacy is weakened where different social groups do not consistently experience fairness in policing encounters. This reinforces the argument that equality and diversity initiatives cannot be regarded as fully effective while substantial sections of the public continue to perceive policing as biased or unfair.</w:t>
      </w:r>
    </w:p>
    <w:p w14:paraId="03C3902F" w14:textId="77777777" w:rsidR="00871AF3" w:rsidRDefault="00871AF3" w:rsidP="00871AF3">
      <w:pPr>
        <w:spacing w:before="100" w:beforeAutospacing="1" w:after="100" w:afterAutospacing="1" w:line="240" w:lineRule="auto"/>
        <w:rPr>
          <w:rFonts w:ascii="Calibri" w:hAnsi="Calibri" w:cs="Calibri"/>
        </w:rPr>
      </w:pPr>
    </w:p>
    <w:p w14:paraId="274F5286" w14:textId="77777777" w:rsidR="00871AF3" w:rsidRPr="00871AF3" w:rsidRDefault="00871AF3" w:rsidP="00871AF3">
      <w:pPr>
        <w:spacing w:before="100" w:beforeAutospacing="1" w:after="100" w:afterAutospacing="1" w:line="240" w:lineRule="auto"/>
        <w:rPr>
          <w:rFonts w:ascii="Calibri" w:hAnsi="Calibri" w:cs="Calibri"/>
        </w:rPr>
      </w:pPr>
    </w:p>
    <w:p w14:paraId="7E7727C7"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lastRenderedPageBreak/>
        <w:t>Furthermore, the evidence indicates that legitimacy is significantly shaped by accountability. Where misconduct or discriminatory behaviour is perceived to be inadequately addressed, public confidence can be severely diminished. HM Inspectorate of Constabulary and Fire &amp; Rescue Services (HMICFRS) continues to identify concerns relating to misconduct management, vetting failures, and inconsistencies in professional standards across police forces (HMICFRS, 2022). The persistence of these issues suggests that existing oversight mechanisms have not always been sufficient to maintain public confidence or reinforce institutional accountability.</w:t>
      </w:r>
    </w:p>
    <w:p w14:paraId="3C3DFB3F" w14:textId="77777777" w:rsidR="00871AF3" w:rsidRPr="00871AF3" w:rsidRDefault="00871AF3" w:rsidP="00871AF3">
      <w:pPr>
        <w:spacing w:before="100" w:beforeAutospacing="1" w:after="100" w:afterAutospacing="1" w:line="240" w:lineRule="auto"/>
        <w:rPr>
          <w:rFonts w:ascii="Calibri" w:hAnsi="Calibri" w:cs="Calibri"/>
        </w:rPr>
      </w:pPr>
      <w:r w:rsidRPr="00871AF3">
        <w:rPr>
          <w:rFonts w:ascii="Calibri" w:hAnsi="Calibri" w:cs="Calibri"/>
        </w:rPr>
        <w:t>Nevertheless, the findings also indicate that equality and diversity initiatives have contributed to some positive developments. Greater institutional transparency, increased public scrutiny, and broader public debate surrounding equality within policing may reflect a growing recognition of the importance of legitimacy and community confidence. Likewise, improvements in workforce diversity may, over time, strengthen community engagement and cultural understanding. However, the evidence suggests that such progress remains partial and is experienced unevenly across different communities.</w:t>
      </w:r>
    </w:p>
    <w:p w14:paraId="30DC86C4" w14:textId="77777777" w:rsidR="00871AF3" w:rsidRPr="00871AF3" w:rsidRDefault="00871AF3" w:rsidP="00871AF3">
      <w:pPr>
        <w:spacing w:before="100" w:beforeAutospacing="1" w:after="100" w:afterAutospacing="1" w:line="240" w:lineRule="auto"/>
        <w:rPr>
          <w:rFonts w:ascii="Calibri" w:hAnsi="Calibri" w:cs="Calibri"/>
          <w:sz w:val="28"/>
          <w:szCs w:val="28"/>
        </w:rPr>
      </w:pPr>
      <w:r w:rsidRPr="00871AF3">
        <w:rPr>
          <w:rFonts w:ascii="Calibri" w:hAnsi="Calibri" w:cs="Calibri"/>
        </w:rPr>
        <w:t>Overall, the findings indicate that equality and diversity policies within British policing have achieved only partial success in strengthening public trust and legitimacy. Persistent operational disparities, institutional misconduct, and accountability failures continue to undermine public confidence, despite an increased organisational commitment to equality and inclusion. This suggests that the effectiveness of equality policies remains constrained where reforms fail to produce sustained organisational and behavioural</w:t>
      </w:r>
      <w:r w:rsidRPr="00871AF3">
        <w:rPr>
          <w:rFonts w:ascii="Calibri" w:hAnsi="Calibri" w:cs="Calibri"/>
          <w:sz w:val="28"/>
          <w:szCs w:val="28"/>
        </w:rPr>
        <w:t xml:space="preserve"> </w:t>
      </w:r>
      <w:r w:rsidRPr="00871AF3">
        <w:rPr>
          <w:rFonts w:ascii="Calibri" w:hAnsi="Calibri" w:cs="Calibri"/>
        </w:rPr>
        <w:t>change in practice.</w:t>
      </w:r>
    </w:p>
    <w:p w14:paraId="172ACFBE" w14:textId="77777777" w:rsidR="00871AF3" w:rsidRDefault="00871AF3" w:rsidP="00871AF3">
      <w:pPr>
        <w:spacing w:before="100" w:beforeAutospacing="1" w:after="100" w:afterAutospacing="1" w:line="240" w:lineRule="auto"/>
        <w:rPr>
          <w:rFonts w:ascii="Times New Roman" w:hAnsi="Times New Roman" w:cs="Times New Roman"/>
        </w:rPr>
      </w:pPr>
    </w:p>
    <w:p w14:paraId="70CFEAEE" w14:textId="77777777" w:rsidR="00871AF3" w:rsidRDefault="00871AF3" w:rsidP="00871AF3">
      <w:pPr>
        <w:spacing w:before="100" w:beforeAutospacing="1" w:after="100" w:afterAutospacing="1" w:line="240" w:lineRule="auto"/>
        <w:rPr>
          <w:rFonts w:ascii="Times New Roman" w:hAnsi="Times New Roman" w:cs="Times New Roman"/>
        </w:rPr>
      </w:pPr>
    </w:p>
    <w:p w14:paraId="5ED5AE9B" w14:textId="77777777" w:rsidR="00871AF3" w:rsidRDefault="00871AF3" w:rsidP="00871AF3">
      <w:pPr>
        <w:spacing w:before="100" w:beforeAutospacing="1" w:after="100" w:afterAutospacing="1" w:line="240" w:lineRule="auto"/>
        <w:rPr>
          <w:rFonts w:ascii="Times New Roman" w:hAnsi="Times New Roman" w:cs="Times New Roman"/>
        </w:rPr>
      </w:pPr>
    </w:p>
    <w:p w14:paraId="5F88F5A0" w14:textId="77777777" w:rsidR="00871AF3" w:rsidRDefault="00871AF3" w:rsidP="00871AF3">
      <w:pPr>
        <w:spacing w:before="100" w:beforeAutospacing="1" w:after="100" w:afterAutospacing="1" w:line="240" w:lineRule="auto"/>
        <w:rPr>
          <w:rFonts w:ascii="Times New Roman" w:hAnsi="Times New Roman" w:cs="Times New Roman"/>
        </w:rPr>
      </w:pPr>
    </w:p>
    <w:p w14:paraId="5AB2495D" w14:textId="77777777" w:rsidR="00871AF3" w:rsidRDefault="00871AF3" w:rsidP="00871AF3">
      <w:pPr>
        <w:spacing w:before="100" w:beforeAutospacing="1" w:after="100" w:afterAutospacing="1" w:line="240" w:lineRule="auto"/>
        <w:rPr>
          <w:rFonts w:ascii="Times New Roman" w:hAnsi="Times New Roman" w:cs="Times New Roman"/>
        </w:rPr>
      </w:pPr>
    </w:p>
    <w:p w14:paraId="3E6D3591" w14:textId="77777777" w:rsidR="00871AF3" w:rsidRDefault="00871AF3" w:rsidP="00871AF3">
      <w:pPr>
        <w:spacing w:before="100" w:beforeAutospacing="1" w:after="100" w:afterAutospacing="1" w:line="240" w:lineRule="auto"/>
        <w:rPr>
          <w:rFonts w:ascii="Times New Roman" w:hAnsi="Times New Roman" w:cs="Times New Roman"/>
        </w:rPr>
      </w:pPr>
    </w:p>
    <w:p w14:paraId="48F7EA12" w14:textId="77777777" w:rsidR="00871AF3" w:rsidRDefault="00871AF3" w:rsidP="00871AF3">
      <w:pPr>
        <w:spacing w:before="100" w:beforeAutospacing="1" w:after="100" w:afterAutospacing="1" w:line="240" w:lineRule="auto"/>
        <w:rPr>
          <w:rFonts w:ascii="Times New Roman" w:hAnsi="Times New Roman" w:cs="Times New Roman"/>
        </w:rPr>
      </w:pPr>
    </w:p>
    <w:p w14:paraId="285660E0" w14:textId="77777777" w:rsidR="00871AF3" w:rsidRDefault="00871AF3" w:rsidP="00871AF3">
      <w:pPr>
        <w:spacing w:before="100" w:beforeAutospacing="1" w:after="100" w:afterAutospacing="1" w:line="240" w:lineRule="auto"/>
        <w:rPr>
          <w:rFonts w:ascii="Times New Roman" w:hAnsi="Times New Roman" w:cs="Times New Roman"/>
        </w:rPr>
      </w:pPr>
    </w:p>
    <w:p w14:paraId="6D9CA4A3" w14:textId="77777777" w:rsidR="00871AF3" w:rsidRDefault="00871AF3" w:rsidP="00871AF3">
      <w:pPr>
        <w:spacing w:before="100" w:beforeAutospacing="1" w:after="100" w:afterAutospacing="1" w:line="240" w:lineRule="auto"/>
        <w:rPr>
          <w:rFonts w:ascii="Times New Roman" w:hAnsi="Times New Roman" w:cs="Times New Roman"/>
        </w:rPr>
      </w:pPr>
    </w:p>
    <w:p w14:paraId="12A46948" w14:textId="77777777" w:rsidR="00871AF3" w:rsidRDefault="00871AF3" w:rsidP="00871AF3">
      <w:pPr>
        <w:spacing w:before="100" w:beforeAutospacing="1" w:after="100" w:afterAutospacing="1" w:line="240" w:lineRule="auto"/>
        <w:rPr>
          <w:rFonts w:ascii="Times New Roman" w:hAnsi="Times New Roman" w:cs="Times New Roman"/>
        </w:rPr>
      </w:pPr>
    </w:p>
    <w:p w14:paraId="4D40F6B8" w14:textId="77777777" w:rsidR="00871AF3" w:rsidRDefault="00871AF3" w:rsidP="00871AF3">
      <w:pPr>
        <w:spacing w:before="100" w:beforeAutospacing="1" w:after="100" w:afterAutospacing="1" w:line="240" w:lineRule="auto"/>
        <w:rPr>
          <w:rFonts w:ascii="Times New Roman" w:hAnsi="Times New Roman" w:cs="Times New Roman"/>
        </w:rPr>
      </w:pPr>
    </w:p>
    <w:p w14:paraId="1FDF545C" w14:textId="77777777" w:rsidR="00871AF3" w:rsidRDefault="00871AF3" w:rsidP="00871AF3">
      <w:pPr>
        <w:spacing w:before="100" w:beforeAutospacing="1" w:after="100" w:afterAutospacing="1" w:line="240" w:lineRule="auto"/>
        <w:rPr>
          <w:rFonts w:ascii="Times New Roman" w:hAnsi="Times New Roman" w:cs="Times New Roman"/>
        </w:rPr>
      </w:pPr>
    </w:p>
    <w:p w14:paraId="7ABAADDD" w14:textId="77777777" w:rsidR="00871AF3" w:rsidRDefault="00871AF3" w:rsidP="00871AF3">
      <w:pPr>
        <w:spacing w:before="100" w:beforeAutospacing="1" w:after="100" w:afterAutospacing="1" w:line="240" w:lineRule="auto"/>
        <w:rPr>
          <w:rFonts w:ascii="Times New Roman" w:hAnsi="Times New Roman" w:cs="Times New Roman"/>
        </w:rPr>
      </w:pPr>
    </w:p>
    <w:p w14:paraId="12CABD2A" w14:textId="77777777" w:rsidR="00871AF3" w:rsidRDefault="00871AF3" w:rsidP="00871AF3">
      <w:pPr>
        <w:spacing w:before="100" w:beforeAutospacing="1" w:after="100" w:afterAutospacing="1" w:line="240" w:lineRule="auto"/>
        <w:rPr>
          <w:rFonts w:ascii="Times New Roman" w:hAnsi="Times New Roman" w:cs="Times New Roman"/>
        </w:rPr>
      </w:pPr>
    </w:p>
    <w:p w14:paraId="3757A7FE" w14:textId="77777777" w:rsidR="00871AF3" w:rsidRDefault="00871AF3" w:rsidP="00871AF3">
      <w:pPr>
        <w:spacing w:before="100" w:beforeAutospacing="1" w:after="100" w:afterAutospacing="1" w:line="240" w:lineRule="auto"/>
        <w:rPr>
          <w:rFonts w:ascii="Times New Roman" w:hAnsi="Times New Roman" w:cs="Times New Roman"/>
        </w:rPr>
      </w:pPr>
    </w:p>
    <w:p w14:paraId="694ECDF5" w14:textId="611B4D60" w:rsidR="00873593" w:rsidRPr="00873593" w:rsidRDefault="00873593" w:rsidP="0062474F">
      <w:pPr>
        <w:pStyle w:val="Heading1"/>
      </w:pPr>
      <w:bookmarkStart w:id="26" w:name="_Toc232938080"/>
      <w:r w:rsidRPr="00873593">
        <w:lastRenderedPageBreak/>
        <w:t>Chapter Five - Discussion</w:t>
      </w:r>
      <w:bookmarkEnd w:id="26"/>
    </w:p>
    <w:p w14:paraId="0F401FA6" w14:textId="77777777" w:rsidR="00873593" w:rsidRPr="00873593" w:rsidRDefault="00873593" w:rsidP="0062474F">
      <w:pPr>
        <w:pStyle w:val="Heading2"/>
      </w:pPr>
      <w:bookmarkStart w:id="27" w:name="_Toc232938081"/>
      <w:r w:rsidRPr="00873593">
        <w:t>5.1 Overall Effectiveness of Equality and Diversity Policies</w:t>
      </w:r>
      <w:bookmarkEnd w:id="27"/>
    </w:p>
    <w:p w14:paraId="2A0AEF82" w14:textId="77777777" w:rsidR="00873593" w:rsidRPr="00873593" w:rsidRDefault="00873593" w:rsidP="00873593">
      <w:pPr>
        <w:spacing w:before="100" w:beforeAutospacing="1" w:after="100" w:afterAutospacing="1" w:line="240" w:lineRule="auto"/>
        <w:rPr>
          <w:rFonts w:ascii="Calibri" w:hAnsi="Calibri" w:cs="Calibri"/>
        </w:rPr>
      </w:pPr>
      <w:r w:rsidRPr="00873593">
        <w:rPr>
          <w:rFonts w:ascii="Calibri" w:hAnsi="Calibri" w:cs="Calibri"/>
        </w:rPr>
        <w:t>The purpose of this dissertation was to evaluate the extent to which equality and diversity policies have been effective within British policing. The findings suggest that, although significant progress has been made in relation to representation, institutional awareness, and formal equality frameworks, the overall effectiveness of these policies remains constrained by persistent organisational, operational, and cultural inequalities. Consequently, while equality and diversity initiatives have contributed to visible improvements, the evidence indicates that they have not yet resulted in fully transformative change.</w:t>
      </w:r>
    </w:p>
    <w:p w14:paraId="00931DA8" w14:textId="77777777" w:rsidR="00873593" w:rsidRPr="00873593" w:rsidRDefault="00873593" w:rsidP="00873593">
      <w:pPr>
        <w:spacing w:before="100" w:beforeAutospacing="1" w:after="100" w:afterAutospacing="1" w:line="240" w:lineRule="auto"/>
        <w:rPr>
          <w:rFonts w:ascii="Calibri" w:hAnsi="Calibri" w:cs="Calibri"/>
        </w:rPr>
      </w:pPr>
      <w:r w:rsidRPr="00873593">
        <w:rPr>
          <w:rFonts w:ascii="Calibri" w:hAnsi="Calibri" w:cs="Calibri"/>
        </w:rPr>
        <w:t>Workforce representation is one of the clearest areas of progress identified by this research. Recent increases in the recruitment of female officers and officers from ethnic minority backgrounds demonstrate that equality-focused recruitment strategies and wider institutional commitments have had a measurable impact. In this respect, equality and diversity policies have improved the visibility of historically under-represented groups and reinforced inclusion as an important organisational objective.</w:t>
      </w:r>
    </w:p>
    <w:p w14:paraId="26E557D3" w14:textId="77777777" w:rsidR="00873593" w:rsidRPr="00873593" w:rsidRDefault="00873593" w:rsidP="00873593">
      <w:pPr>
        <w:spacing w:before="100" w:beforeAutospacing="1" w:after="100" w:afterAutospacing="1" w:line="240" w:lineRule="auto"/>
        <w:rPr>
          <w:rFonts w:ascii="Calibri" w:hAnsi="Calibri" w:cs="Calibri"/>
        </w:rPr>
      </w:pPr>
      <w:r w:rsidRPr="00873593">
        <w:rPr>
          <w:rFonts w:ascii="Calibri" w:hAnsi="Calibri" w:cs="Calibri"/>
        </w:rPr>
        <w:t>However, the findings also demonstrate that representation alone provides only a limited measure of policy effectiveness. Despite improvements in numerical diversity, significant disparities remain in leadership positions, specialist policing roles, and workplace experiences. This suggests that equality initiatives have been more successful in widening access to policing careers than in creating equitable progression opportunities or fully inclusive organisational cultures. Bowling and Phillips (2007, p. 941) argue that institutional diversity does not necessarily produce structural equality, a conclusion supported by the findings of this research.</w:t>
      </w:r>
    </w:p>
    <w:p w14:paraId="4767106C" w14:textId="77777777" w:rsidR="00873593" w:rsidRPr="00873593" w:rsidRDefault="00873593" w:rsidP="00873593">
      <w:pPr>
        <w:spacing w:before="100" w:beforeAutospacing="1" w:after="100" w:afterAutospacing="1" w:line="240" w:lineRule="auto"/>
        <w:rPr>
          <w:rFonts w:ascii="Calibri" w:hAnsi="Calibri" w:cs="Calibri"/>
        </w:rPr>
      </w:pPr>
      <w:r w:rsidRPr="00873593">
        <w:rPr>
          <w:rFonts w:ascii="Calibri" w:hAnsi="Calibri" w:cs="Calibri"/>
        </w:rPr>
        <w:t>Evidence relating to operational policing outcomes further reinforces concerns regarding the limited effectiveness of equality policies in practice. Despite extensive legislative reform and institutional commitments to fairness, disproportionality remains evident in areas such as stop and search. The persistence of these disparities indicates that formal equality frameworks have not consistently translated into equitable operational practice. This supports Ahmed’s (2012, p. 117) argument that equality initiatives may prioritise procedural compliance over meaningful behavioural change.</w:t>
      </w:r>
    </w:p>
    <w:p w14:paraId="57EDCB3F" w14:textId="77777777" w:rsidR="00873593" w:rsidRPr="00873593" w:rsidRDefault="00873593" w:rsidP="00873593">
      <w:pPr>
        <w:spacing w:before="100" w:beforeAutospacing="1" w:after="100" w:afterAutospacing="1" w:line="240" w:lineRule="auto"/>
        <w:rPr>
          <w:rFonts w:ascii="Calibri" w:hAnsi="Calibri" w:cs="Calibri"/>
        </w:rPr>
      </w:pPr>
      <w:r w:rsidRPr="00873593">
        <w:rPr>
          <w:rFonts w:ascii="Calibri" w:hAnsi="Calibri" w:cs="Calibri"/>
        </w:rPr>
        <w:t>A central theme emerging throughout this dissertation is the continuing influence of organisational culture within policing organisations. The findings indicate that entrenched cultural attitudes and established power structures remain significant barriers to equality. Evidence from the Casey Review and HM Inspectorate of Constabulary and Fire &amp; Rescue Services (HMICFRS) demonstrates that issues relating to racism, sexism, misconduct, and accountability persist despite substantial reform initiatives. These findings suggest that the limitations of equality policies are determined as much by organisational culture as by policy design.</w:t>
      </w:r>
    </w:p>
    <w:p w14:paraId="589B2779" w14:textId="77777777" w:rsidR="00873593" w:rsidRPr="00873593" w:rsidRDefault="00873593" w:rsidP="00873593">
      <w:pPr>
        <w:spacing w:before="100" w:beforeAutospacing="1" w:after="100" w:afterAutospacing="1" w:line="240" w:lineRule="auto"/>
        <w:rPr>
          <w:rFonts w:ascii="Calibri" w:hAnsi="Calibri" w:cs="Calibri"/>
        </w:rPr>
      </w:pPr>
    </w:p>
    <w:p w14:paraId="534622E6" w14:textId="77777777" w:rsidR="00873593" w:rsidRPr="00873593" w:rsidRDefault="00873593" w:rsidP="00873593">
      <w:pPr>
        <w:spacing w:before="100" w:beforeAutospacing="1" w:after="100" w:afterAutospacing="1" w:line="240" w:lineRule="auto"/>
        <w:rPr>
          <w:rFonts w:ascii="Calibri" w:hAnsi="Calibri" w:cs="Calibri"/>
        </w:rPr>
      </w:pPr>
    </w:p>
    <w:p w14:paraId="273C87A1" w14:textId="77777777" w:rsidR="00873593" w:rsidRPr="00873593" w:rsidRDefault="00873593" w:rsidP="00873593">
      <w:pPr>
        <w:spacing w:before="100" w:beforeAutospacing="1" w:after="100" w:afterAutospacing="1" w:line="240" w:lineRule="auto"/>
        <w:rPr>
          <w:rFonts w:ascii="Calibri" w:hAnsi="Calibri" w:cs="Calibri"/>
        </w:rPr>
      </w:pPr>
    </w:p>
    <w:p w14:paraId="3D8A626B" w14:textId="77777777" w:rsidR="00873593" w:rsidRPr="00873593" w:rsidRDefault="00873593" w:rsidP="00873593">
      <w:pPr>
        <w:spacing w:before="100" w:beforeAutospacing="1" w:after="100" w:afterAutospacing="1" w:line="240" w:lineRule="auto"/>
        <w:rPr>
          <w:rFonts w:ascii="Calibri" w:hAnsi="Calibri" w:cs="Calibri"/>
        </w:rPr>
      </w:pPr>
    </w:p>
    <w:p w14:paraId="44B5B882" w14:textId="77777777" w:rsidR="00873593" w:rsidRPr="00873593" w:rsidRDefault="00873593" w:rsidP="00873593">
      <w:pPr>
        <w:spacing w:before="100" w:beforeAutospacing="1" w:after="100" w:afterAutospacing="1" w:line="240" w:lineRule="auto"/>
        <w:rPr>
          <w:rFonts w:ascii="Calibri" w:hAnsi="Calibri" w:cs="Calibri"/>
        </w:rPr>
      </w:pPr>
      <w:r w:rsidRPr="00873593">
        <w:rPr>
          <w:rFonts w:ascii="Calibri" w:hAnsi="Calibri" w:cs="Calibri"/>
        </w:rPr>
        <w:lastRenderedPageBreak/>
        <w:t>The research further indicates that legislative reform alone is insufficient to achieve genuine equality within British policing. Although frameworks such as the Equality Act 2010 establish important standards for fairness and inclusion, their effectiveness ultimately depends upon consistent implementation throughout everyday policing practice. Where organisational cultures remain resistant to change, equality initiatives risk becoming symbolic rather than transformative. This supports Ahmed’s (2012, p. 117) contention that institutional diversity programmes may function as demonstrations of commitment without delivering meaningful organisational reform.</w:t>
      </w:r>
    </w:p>
    <w:p w14:paraId="0A741CBC" w14:textId="77777777" w:rsidR="00873593" w:rsidRPr="00873593" w:rsidRDefault="00873593" w:rsidP="00873593">
      <w:pPr>
        <w:spacing w:before="100" w:beforeAutospacing="1" w:after="100" w:afterAutospacing="1" w:line="240" w:lineRule="auto"/>
        <w:rPr>
          <w:rFonts w:ascii="Calibri" w:hAnsi="Calibri" w:cs="Calibri"/>
        </w:rPr>
      </w:pPr>
      <w:r w:rsidRPr="00873593">
        <w:rPr>
          <w:rFonts w:ascii="Calibri" w:hAnsi="Calibri" w:cs="Calibri"/>
        </w:rPr>
        <w:t>The findings also highlight the importance of public trust and police legitimacy when evaluating equality and diversity policies. Legitimacy within British policing depends heavily upon perceptions of fairness, accountability, and equal treatment. Nevertheless, evidence suggests that trust remains uneven across different communities, particularly among minority ethnic groups. High-profile misconduct cases, institutional failures, and continuing disproportionality in policing practices continue to undermine confidence, indicating that equality policies cannot be regarded as fully effective while substantial sections of the public continue to perceive policing as unfair or discriminatory.</w:t>
      </w:r>
    </w:p>
    <w:p w14:paraId="237F130B" w14:textId="77777777" w:rsidR="00873593" w:rsidRPr="00873593" w:rsidRDefault="00873593" w:rsidP="00873593">
      <w:pPr>
        <w:spacing w:before="100" w:beforeAutospacing="1" w:after="100" w:afterAutospacing="1" w:line="240" w:lineRule="auto"/>
        <w:rPr>
          <w:rFonts w:ascii="Calibri" w:hAnsi="Calibri" w:cs="Calibri"/>
        </w:rPr>
      </w:pPr>
      <w:r w:rsidRPr="00873593">
        <w:rPr>
          <w:rFonts w:ascii="Calibri" w:hAnsi="Calibri" w:cs="Calibri"/>
        </w:rPr>
        <w:t>At the same time, the research identifies several positive developments. Greater transparency, enhanced scrutiny, stronger oversight mechanisms, and wider public discussion surrounding discrimination suggest that policing organisations have become increasingly aware of the importance of equality and legitimacy. Improvements in workforce diversity may also strengthen community engagement and institutional accountability over time. However, these developments remain gradual and are constrained by wider structural and cultural barriers.</w:t>
      </w:r>
    </w:p>
    <w:p w14:paraId="5D0A500E" w14:textId="77777777" w:rsidR="00873593" w:rsidRPr="00873593" w:rsidRDefault="00873593" w:rsidP="00873593">
      <w:pPr>
        <w:spacing w:before="100" w:beforeAutospacing="1" w:after="100" w:afterAutospacing="1" w:line="240" w:lineRule="auto"/>
        <w:rPr>
          <w:rFonts w:ascii="Calibri" w:hAnsi="Calibri" w:cs="Calibri"/>
        </w:rPr>
      </w:pPr>
      <w:r w:rsidRPr="00873593">
        <w:rPr>
          <w:rFonts w:ascii="Calibri" w:hAnsi="Calibri" w:cs="Calibri"/>
        </w:rPr>
        <w:t>Overall, this dissertation concludes that equality and diversity policies within British policing have achieved only partial success. Although reforms have improved representation and increased institutional awareness of equality issues, substantial organisational, operational, and cultural inequalities remain. Meaningful progress therefore requires more than formal policy commitments and legislative reform; it depends upon sustained cultural change, effective accountability mechanisms, and the consistent integration of equality principles into everyday policing practice.</w:t>
      </w:r>
    </w:p>
    <w:p w14:paraId="6FAE18BA" w14:textId="77777777" w:rsidR="00873593" w:rsidRPr="00873593" w:rsidRDefault="00873593" w:rsidP="00873593">
      <w:pPr>
        <w:spacing w:before="100" w:beforeAutospacing="1" w:after="100" w:afterAutospacing="1" w:line="240" w:lineRule="auto"/>
        <w:rPr>
          <w:rFonts w:ascii="Calibri" w:hAnsi="Calibri" w:cs="Calibri"/>
        </w:rPr>
      </w:pPr>
    </w:p>
    <w:p w14:paraId="04F78A24" w14:textId="77777777" w:rsidR="00873593" w:rsidRPr="00873593" w:rsidRDefault="00873593" w:rsidP="00873593">
      <w:pPr>
        <w:spacing w:before="100" w:beforeAutospacing="1" w:after="100" w:afterAutospacing="1" w:line="240" w:lineRule="auto"/>
        <w:rPr>
          <w:rFonts w:ascii="Calibri" w:hAnsi="Calibri" w:cs="Calibri"/>
        </w:rPr>
      </w:pPr>
    </w:p>
    <w:p w14:paraId="277B3037" w14:textId="77777777" w:rsidR="00873593" w:rsidRDefault="00873593" w:rsidP="00873593">
      <w:pPr>
        <w:spacing w:before="100" w:beforeAutospacing="1" w:after="100" w:afterAutospacing="1" w:line="240" w:lineRule="auto"/>
        <w:rPr>
          <w:rFonts w:ascii="Calibri" w:hAnsi="Calibri" w:cs="Calibri"/>
        </w:rPr>
      </w:pPr>
    </w:p>
    <w:p w14:paraId="5BAFF773" w14:textId="77777777" w:rsidR="00873593" w:rsidRDefault="00873593" w:rsidP="00873593">
      <w:pPr>
        <w:spacing w:before="100" w:beforeAutospacing="1" w:after="100" w:afterAutospacing="1" w:line="240" w:lineRule="auto"/>
        <w:rPr>
          <w:rFonts w:ascii="Calibri" w:hAnsi="Calibri" w:cs="Calibri"/>
        </w:rPr>
      </w:pPr>
    </w:p>
    <w:p w14:paraId="1BC54E4C" w14:textId="77777777" w:rsidR="00873593" w:rsidRDefault="00873593" w:rsidP="00873593">
      <w:pPr>
        <w:spacing w:before="100" w:beforeAutospacing="1" w:after="100" w:afterAutospacing="1" w:line="240" w:lineRule="auto"/>
        <w:rPr>
          <w:rFonts w:ascii="Calibri" w:hAnsi="Calibri" w:cs="Calibri"/>
        </w:rPr>
      </w:pPr>
    </w:p>
    <w:p w14:paraId="32B49FE7" w14:textId="77777777" w:rsidR="00873593" w:rsidRDefault="00873593" w:rsidP="00873593">
      <w:pPr>
        <w:spacing w:before="100" w:beforeAutospacing="1" w:after="100" w:afterAutospacing="1" w:line="240" w:lineRule="auto"/>
        <w:rPr>
          <w:rFonts w:ascii="Calibri" w:hAnsi="Calibri" w:cs="Calibri"/>
        </w:rPr>
      </w:pPr>
    </w:p>
    <w:p w14:paraId="51C47075" w14:textId="77777777" w:rsidR="00873593" w:rsidRDefault="00873593" w:rsidP="00873593">
      <w:pPr>
        <w:spacing w:before="100" w:beforeAutospacing="1" w:after="100" w:afterAutospacing="1" w:line="240" w:lineRule="auto"/>
        <w:rPr>
          <w:rFonts w:ascii="Calibri" w:hAnsi="Calibri" w:cs="Calibri"/>
        </w:rPr>
      </w:pPr>
    </w:p>
    <w:p w14:paraId="431CBA50" w14:textId="77777777" w:rsidR="00873593" w:rsidRDefault="00873593" w:rsidP="00873593">
      <w:pPr>
        <w:spacing w:before="100" w:beforeAutospacing="1" w:after="100" w:afterAutospacing="1" w:line="240" w:lineRule="auto"/>
        <w:rPr>
          <w:rFonts w:ascii="Calibri" w:hAnsi="Calibri" w:cs="Calibri"/>
        </w:rPr>
      </w:pPr>
    </w:p>
    <w:p w14:paraId="4D83527D" w14:textId="77777777" w:rsidR="00873593" w:rsidRDefault="00873593" w:rsidP="00873593">
      <w:pPr>
        <w:spacing w:before="100" w:beforeAutospacing="1" w:after="100" w:afterAutospacing="1" w:line="240" w:lineRule="auto"/>
        <w:rPr>
          <w:rFonts w:ascii="Calibri" w:hAnsi="Calibri" w:cs="Calibri"/>
        </w:rPr>
      </w:pPr>
    </w:p>
    <w:p w14:paraId="253B95F0" w14:textId="77777777" w:rsidR="00873593" w:rsidRDefault="00873593" w:rsidP="00873593">
      <w:pPr>
        <w:spacing w:before="100" w:beforeAutospacing="1" w:after="100" w:afterAutospacing="1" w:line="240" w:lineRule="auto"/>
        <w:rPr>
          <w:rFonts w:ascii="Calibri" w:hAnsi="Calibri" w:cs="Calibri"/>
        </w:rPr>
      </w:pPr>
    </w:p>
    <w:p w14:paraId="4F155117" w14:textId="13BA37E1" w:rsidR="00873593" w:rsidRDefault="00873593" w:rsidP="0062474F">
      <w:pPr>
        <w:pStyle w:val="Heading1"/>
      </w:pPr>
      <w:bookmarkStart w:id="28" w:name="_Toc232938082"/>
      <w:r w:rsidRPr="0062474F">
        <w:lastRenderedPageBreak/>
        <w:t>Chapter Six – Conclusion</w:t>
      </w:r>
      <w:bookmarkEnd w:id="28"/>
      <w:r w:rsidRPr="0062474F">
        <w:t xml:space="preserve"> </w:t>
      </w:r>
    </w:p>
    <w:p w14:paraId="6D28E859" w14:textId="0D3D20D8" w:rsidR="0062474F" w:rsidRPr="0062474F" w:rsidRDefault="0062474F" w:rsidP="0062474F">
      <w:pPr>
        <w:pStyle w:val="Heading2"/>
      </w:pPr>
      <w:bookmarkStart w:id="29" w:name="_Toc232938083"/>
      <w:r w:rsidRPr="0062474F">
        <w:t>6. Conclusion</w:t>
      </w:r>
      <w:bookmarkEnd w:id="29"/>
    </w:p>
    <w:p w14:paraId="7A086C5B" w14:textId="77777777" w:rsidR="00873593" w:rsidRPr="00873593" w:rsidRDefault="00873593" w:rsidP="00873593">
      <w:pPr>
        <w:spacing w:before="100" w:beforeAutospacing="1" w:after="100" w:afterAutospacing="1" w:line="240" w:lineRule="auto"/>
        <w:rPr>
          <w:rFonts w:ascii="Calibri" w:hAnsi="Calibri" w:cs="Calibri"/>
        </w:rPr>
      </w:pPr>
      <w:r w:rsidRPr="00873593">
        <w:rPr>
          <w:rFonts w:ascii="Calibri" w:hAnsi="Calibri" w:cs="Calibri"/>
        </w:rPr>
        <w:t>The purpose of this dissertation was to evaluate the effectiveness of equality and diversity policies within British policing. Through analysis of academic literature, government publications, official policing reports, and statistical evidence, the research examined the impact of these policies on workforce representation, operational policing outcomes, organisational culture, and public trust. The findings demonstrate that although equality and diversity initiatives have delivered measurable progress, persistent structural, cultural, and operational challenges continue to limit their overall effectiveness.</w:t>
      </w:r>
    </w:p>
    <w:p w14:paraId="3031D645" w14:textId="77777777" w:rsidR="00873593" w:rsidRPr="00873593" w:rsidRDefault="00873593" w:rsidP="00873593">
      <w:pPr>
        <w:spacing w:before="100" w:beforeAutospacing="1" w:after="100" w:afterAutospacing="1" w:line="240" w:lineRule="auto"/>
        <w:rPr>
          <w:rFonts w:ascii="Calibri" w:hAnsi="Calibri" w:cs="Calibri"/>
        </w:rPr>
      </w:pPr>
      <w:r w:rsidRPr="00873593">
        <w:rPr>
          <w:rFonts w:ascii="Calibri" w:hAnsi="Calibri" w:cs="Calibri"/>
        </w:rPr>
        <w:t>One of the principal findings is that equality and diversity policies have contributed to measurable improvements in workforce representation. Increases in the proportion of female officers and officers from ethnic minority backgrounds indicate that policing organisations have made progress towards developing a workforce that more closely reflects the communities they serve. Legislative frameworks such as the Equality Act 2010, together with recruitment-focused initiatives, have therefore played an important role in promoting greater diversity and institutional awareness of equality and inclusion.</w:t>
      </w:r>
    </w:p>
    <w:p w14:paraId="02F5EE9C" w14:textId="77777777" w:rsidR="00873593" w:rsidRPr="00873593" w:rsidRDefault="00873593" w:rsidP="00873593">
      <w:pPr>
        <w:spacing w:before="100" w:beforeAutospacing="1" w:after="100" w:afterAutospacing="1" w:line="240" w:lineRule="auto"/>
        <w:rPr>
          <w:rFonts w:ascii="Calibri" w:hAnsi="Calibri" w:cs="Calibri"/>
        </w:rPr>
      </w:pPr>
      <w:r w:rsidRPr="00873593">
        <w:rPr>
          <w:rFonts w:ascii="Calibri" w:hAnsi="Calibri" w:cs="Calibri"/>
        </w:rPr>
        <w:t>However, the research also found that improvements in representation have not consistently translated into broader organisational change. Significant disparities remain in leadership opportunities, career progression, workplace experiences, and operational policing outcomes, particularly in relation to the disproportionate use of police powers affecting minority ethnic communities. This distinction between representation and meaningful organisational transformation emerged as a recurring theme throughout the study and highlights a key limitation of existing equality initiatives.</w:t>
      </w:r>
    </w:p>
    <w:p w14:paraId="2FCF8C79" w14:textId="77777777" w:rsidR="00873593" w:rsidRPr="00873593" w:rsidRDefault="00873593" w:rsidP="00873593">
      <w:pPr>
        <w:spacing w:before="100" w:beforeAutospacing="1" w:after="100" w:afterAutospacing="1" w:line="240" w:lineRule="auto"/>
        <w:rPr>
          <w:rFonts w:ascii="Calibri" w:hAnsi="Calibri" w:cs="Calibri"/>
        </w:rPr>
      </w:pPr>
      <w:r w:rsidRPr="00873593">
        <w:rPr>
          <w:rFonts w:ascii="Calibri" w:hAnsi="Calibri" w:cs="Calibri"/>
        </w:rPr>
        <w:t>The findings further demonstrate that organisational culture continues to have a substantial influence on policy effectiveness. Evidence from the Casey Review, HM Inspectorate of Constabulary and Fire &amp; Rescue Services inspections, and wider academic literature indicates that misconduct, discrimination, accountability failures, and resistance to change remain significant barriers to reform. These findings suggest that formal policy frameworks alone are insufficient to achieve genuine equality unless accompanied by sustained cultural change and effective organisational leadership.</w:t>
      </w:r>
    </w:p>
    <w:p w14:paraId="484CC178" w14:textId="77777777" w:rsidR="00873593" w:rsidRPr="00873593" w:rsidRDefault="00873593" w:rsidP="00873593">
      <w:pPr>
        <w:spacing w:before="100" w:beforeAutospacing="1" w:after="100" w:afterAutospacing="1" w:line="240" w:lineRule="auto"/>
        <w:rPr>
          <w:rFonts w:ascii="Calibri" w:hAnsi="Calibri" w:cs="Calibri"/>
        </w:rPr>
      </w:pPr>
      <w:r w:rsidRPr="00873593">
        <w:rPr>
          <w:rFonts w:ascii="Calibri" w:hAnsi="Calibri" w:cs="Calibri"/>
        </w:rPr>
        <w:t>The dissertation also identified a strong relationship between equality, public trust, and police legitimacy. Despite increased institutional commitments to fairness and inclusion, continuing concerns regarding disproportionality, discrimination, and misconduct continue to undermine confidence among some communities. As British policing is founded upon the principle of policing by consent, maintaining legitimacy through fair and equitable practice remains essential to effective policing.</w:t>
      </w:r>
    </w:p>
    <w:p w14:paraId="43A6FC53" w14:textId="77777777" w:rsidR="00873593" w:rsidRDefault="00873593" w:rsidP="00873593">
      <w:pPr>
        <w:spacing w:before="100" w:beforeAutospacing="1" w:after="100" w:afterAutospacing="1" w:line="240" w:lineRule="auto"/>
        <w:rPr>
          <w:rFonts w:ascii="Calibri" w:hAnsi="Calibri" w:cs="Calibri"/>
        </w:rPr>
      </w:pPr>
      <w:r w:rsidRPr="00873593">
        <w:rPr>
          <w:rFonts w:ascii="Calibri" w:hAnsi="Calibri" w:cs="Calibri"/>
        </w:rPr>
        <w:t>A central conclusion emerging from this research is that a persistent gap remains between policy intention and operational reality. Although legislative frameworks, professional standards, and organisational policies provide a comprehensive foundation for promoting equality and diversity, their effectiveness ultimately depends upon consistent implementation and meaningful cultural adoption across policing organisations.</w:t>
      </w:r>
    </w:p>
    <w:p w14:paraId="4403CBC9" w14:textId="77777777" w:rsidR="00873593" w:rsidRDefault="00873593" w:rsidP="00873593">
      <w:pPr>
        <w:spacing w:before="100" w:beforeAutospacing="1" w:after="100" w:afterAutospacing="1" w:line="240" w:lineRule="auto"/>
        <w:rPr>
          <w:rFonts w:ascii="Calibri" w:hAnsi="Calibri" w:cs="Calibri"/>
        </w:rPr>
      </w:pPr>
    </w:p>
    <w:p w14:paraId="013CFE13" w14:textId="77777777" w:rsidR="00873593" w:rsidRPr="00873593" w:rsidRDefault="00873593" w:rsidP="00873593">
      <w:pPr>
        <w:spacing w:before="100" w:beforeAutospacing="1" w:after="100" w:afterAutospacing="1" w:line="240" w:lineRule="auto"/>
        <w:rPr>
          <w:rFonts w:ascii="Calibri" w:hAnsi="Calibri" w:cs="Calibri"/>
        </w:rPr>
      </w:pPr>
    </w:p>
    <w:p w14:paraId="782ACCEC" w14:textId="77777777" w:rsidR="00873593" w:rsidRPr="00873593" w:rsidRDefault="00873593" w:rsidP="00873593">
      <w:pPr>
        <w:spacing w:before="100" w:beforeAutospacing="1" w:after="100" w:afterAutospacing="1" w:line="240" w:lineRule="auto"/>
        <w:rPr>
          <w:rFonts w:ascii="Calibri" w:hAnsi="Calibri" w:cs="Calibri"/>
        </w:rPr>
      </w:pPr>
    </w:p>
    <w:p w14:paraId="1D047299" w14:textId="77777777" w:rsidR="00873593" w:rsidRDefault="00873593" w:rsidP="00873593">
      <w:pPr>
        <w:spacing w:before="100" w:beforeAutospacing="1" w:after="100" w:afterAutospacing="1" w:line="240" w:lineRule="auto"/>
        <w:rPr>
          <w:rFonts w:ascii="Calibri" w:hAnsi="Calibri" w:cs="Calibri"/>
        </w:rPr>
      </w:pPr>
      <w:r w:rsidRPr="00873593">
        <w:rPr>
          <w:rFonts w:ascii="Calibri" w:hAnsi="Calibri" w:cs="Calibri"/>
        </w:rPr>
        <w:t>Overall, this dissertation concludes that equality and diversity policies within British policing have achieved only partial success. While reforms have improved workforce representation and strengthened institutional commitment to equality, substantial organisational, operational, and cultural inequalities remain. Achieving meaningful and lasting equality will therefore require not only continued policy development but also sustained cultural transformation, robust accountability mechanisms, and the consistent integration of equality principles into everyday policing practice.</w:t>
      </w:r>
    </w:p>
    <w:p w14:paraId="41CFFAF4" w14:textId="77777777" w:rsidR="00873593" w:rsidRDefault="00873593" w:rsidP="00873593">
      <w:pPr>
        <w:spacing w:before="100" w:beforeAutospacing="1" w:after="100" w:afterAutospacing="1" w:line="240" w:lineRule="auto"/>
        <w:rPr>
          <w:rFonts w:ascii="Calibri" w:hAnsi="Calibri" w:cs="Calibri"/>
        </w:rPr>
      </w:pPr>
    </w:p>
    <w:p w14:paraId="0FC47B39" w14:textId="77777777" w:rsidR="00873593" w:rsidRDefault="00873593" w:rsidP="00873593">
      <w:pPr>
        <w:spacing w:before="100" w:beforeAutospacing="1" w:after="100" w:afterAutospacing="1" w:line="240" w:lineRule="auto"/>
        <w:rPr>
          <w:rFonts w:ascii="Calibri" w:hAnsi="Calibri" w:cs="Calibri"/>
        </w:rPr>
      </w:pPr>
    </w:p>
    <w:p w14:paraId="4DFBF6C8" w14:textId="77777777" w:rsidR="00873593" w:rsidRDefault="00873593" w:rsidP="00873593">
      <w:pPr>
        <w:spacing w:before="100" w:beforeAutospacing="1" w:after="100" w:afterAutospacing="1" w:line="240" w:lineRule="auto"/>
        <w:rPr>
          <w:rFonts w:ascii="Calibri" w:hAnsi="Calibri" w:cs="Calibri"/>
        </w:rPr>
      </w:pPr>
    </w:p>
    <w:p w14:paraId="1D71D3A4" w14:textId="77777777" w:rsidR="00873593" w:rsidRDefault="00873593" w:rsidP="00873593">
      <w:pPr>
        <w:spacing w:before="100" w:beforeAutospacing="1" w:after="100" w:afterAutospacing="1" w:line="240" w:lineRule="auto"/>
        <w:rPr>
          <w:rFonts w:ascii="Calibri" w:hAnsi="Calibri" w:cs="Calibri"/>
        </w:rPr>
      </w:pPr>
    </w:p>
    <w:p w14:paraId="152996AC" w14:textId="77777777" w:rsidR="00873593" w:rsidRDefault="00873593" w:rsidP="00873593">
      <w:pPr>
        <w:spacing w:before="100" w:beforeAutospacing="1" w:after="100" w:afterAutospacing="1" w:line="240" w:lineRule="auto"/>
        <w:rPr>
          <w:rFonts w:ascii="Calibri" w:hAnsi="Calibri" w:cs="Calibri"/>
        </w:rPr>
      </w:pPr>
    </w:p>
    <w:p w14:paraId="6D0741B0" w14:textId="77777777" w:rsidR="00873593" w:rsidRDefault="00873593" w:rsidP="00873593">
      <w:pPr>
        <w:spacing w:before="100" w:beforeAutospacing="1" w:after="100" w:afterAutospacing="1" w:line="240" w:lineRule="auto"/>
        <w:rPr>
          <w:rFonts w:ascii="Calibri" w:hAnsi="Calibri" w:cs="Calibri"/>
        </w:rPr>
      </w:pPr>
    </w:p>
    <w:p w14:paraId="424CC27C" w14:textId="77777777" w:rsidR="00873593" w:rsidRDefault="00873593" w:rsidP="00873593">
      <w:pPr>
        <w:spacing w:before="100" w:beforeAutospacing="1" w:after="100" w:afterAutospacing="1" w:line="240" w:lineRule="auto"/>
        <w:rPr>
          <w:rFonts w:ascii="Calibri" w:hAnsi="Calibri" w:cs="Calibri"/>
        </w:rPr>
      </w:pPr>
    </w:p>
    <w:p w14:paraId="172FC0DB" w14:textId="77777777" w:rsidR="00873593" w:rsidRDefault="00873593" w:rsidP="00873593">
      <w:pPr>
        <w:spacing w:before="100" w:beforeAutospacing="1" w:after="100" w:afterAutospacing="1" w:line="240" w:lineRule="auto"/>
        <w:rPr>
          <w:rFonts w:ascii="Calibri" w:hAnsi="Calibri" w:cs="Calibri"/>
        </w:rPr>
      </w:pPr>
    </w:p>
    <w:p w14:paraId="72FA8BC6" w14:textId="77777777" w:rsidR="00873593" w:rsidRDefault="00873593" w:rsidP="00873593">
      <w:pPr>
        <w:spacing w:before="100" w:beforeAutospacing="1" w:after="100" w:afterAutospacing="1" w:line="240" w:lineRule="auto"/>
        <w:rPr>
          <w:rFonts w:ascii="Calibri" w:hAnsi="Calibri" w:cs="Calibri"/>
        </w:rPr>
      </w:pPr>
    </w:p>
    <w:p w14:paraId="40E9C646" w14:textId="77777777" w:rsidR="00873593" w:rsidRDefault="00873593" w:rsidP="00873593">
      <w:pPr>
        <w:spacing w:before="100" w:beforeAutospacing="1" w:after="100" w:afterAutospacing="1" w:line="240" w:lineRule="auto"/>
        <w:rPr>
          <w:rFonts w:ascii="Calibri" w:hAnsi="Calibri" w:cs="Calibri"/>
        </w:rPr>
      </w:pPr>
    </w:p>
    <w:p w14:paraId="2F75F96D" w14:textId="77777777" w:rsidR="00873593" w:rsidRDefault="00873593" w:rsidP="00873593">
      <w:pPr>
        <w:spacing w:before="100" w:beforeAutospacing="1" w:after="100" w:afterAutospacing="1" w:line="240" w:lineRule="auto"/>
        <w:rPr>
          <w:rFonts w:ascii="Calibri" w:hAnsi="Calibri" w:cs="Calibri"/>
        </w:rPr>
      </w:pPr>
    </w:p>
    <w:p w14:paraId="692ABC45" w14:textId="77777777" w:rsidR="00873593" w:rsidRDefault="00873593" w:rsidP="00873593">
      <w:pPr>
        <w:spacing w:before="100" w:beforeAutospacing="1" w:after="100" w:afterAutospacing="1" w:line="240" w:lineRule="auto"/>
        <w:rPr>
          <w:rFonts w:ascii="Calibri" w:hAnsi="Calibri" w:cs="Calibri"/>
        </w:rPr>
      </w:pPr>
    </w:p>
    <w:p w14:paraId="47CAB9CE" w14:textId="77777777" w:rsidR="00873593" w:rsidRDefault="00873593" w:rsidP="00873593">
      <w:pPr>
        <w:spacing w:before="100" w:beforeAutospacing="1" w:after="100" w:afterAutospacing="1" w:line="240" w:lineRule="auto"/>
        <w:rPr>
          <w:rFonts w:ascii="Calibri" w:hAnsi="Calibri" w:cs="Calibri"/>
        </w:rPr>
      </w:pPr>
    </w:p>
    <w:p w14:paraId="085DA8E9" w14:textId="77777777" w:rsidR="00873593" w:rsidRDefault="00873593" w:rsidP="00873593">
      <w:pPr>
        <w:spacing w:before="100" w:beforeAutospacing="1" w:after="100" w:afterAutospacing="1" w:line="240" w:lineRule="auto"/>
        <w:rPr>
          <w:rFonts w:ascii="Calibri" w:hAnsi="Calibri" w:cs="Calibri"/>
        </w:rPr>
      </w:pPr>
    </w:p>
    <w:p w14:paraId="1A856EE5" w14:textId="77777777" w:rsidR="00873593" w:rsidRDefault="00873593" w:rsidP="00873593">
      <w:pPr>
        <w:spacing w:before="100" w:beforeAutospacing="1" w:after="100" w:afterAutospacing="1" w:line="240" w:lineRule="auto"/>
        <w:rPr>
          <w:rFonts w:ascii="Calibri" w:hAnsi="Calibri" w:cs="Calibri"/>
        </w:rPr>
      </w:pPr>
    </w:p>
    <w:p w14:paraId="5E4A9297" w14:textId="77777777" w:rsidR="00873593" w:rsidRDefault="00873593" w:rsidP="00873593">
      <w:pPr>
        <w:spacing w:before="100" w:beforeAutospacing="1" w:after="100" w:afterAutospacing="1" w:line="240" w:lineRule="auto"/>
        <w:rPr>
          <w:rFonts w:ascii="Calibri" w:hAnsi="Calibri" w:cs="Calibri"/>
        </w:rPr>
      </w:pPr>
    </w:p>
    <w:p w14:paraId="438563E8" w14:textId="77777777" w:rsidR="00873593" w:rsidRDefault="00873593" w:rsidP="00873593">
      <w:pPr>
        <w:spacing w:before="100" w:beforeAutospacing="1" w:after="100" w:afterAutospacing="1" w:line="240" w:lineRule="auto"/>
        <w:rPr>
          <w:rFonts w:ascii="Calibri" w:hAnsi="Calibri" w:cs="Calibri"/>
        </w:rPr>
      </w:pPr>
    </w:p>
    <w:p w14:paraId="6A163BBD" w14:textId="77777777" w:rsidR="00873593" w:rsidRDefault="00873593" w:rsidP="00873593">
      <w:pPr>
        <w:spacing w:before="100" w:beforeAutospacing="1" w:after="100" w:afterAutospacing="1" w:line="240" w:lineRule="auto"/>
        <w:rPr>
          <w:rFonts w:ascii="Calibri" w:hAnsi="Calibri" w:cs="Calibri"/>
        </w:rPr>
      </w:pPr>
    </w:p>
    <w:p w14:paraId="52E7A968" w14:textId="77777777" w:rsidR="00873593" w:rsidRDefault="00873593" w:rsidP="00873593">
      <w:pPr>
        <w:spacing w:before="100" w:beforeAutospacing="1" w:after="100" w:afterAutospacing="1" w:line="240" w:lineRule="auto"/>
        <w:rPr>
          <w:rFonts w:ascii="Calibri" w:hAnsi="Calibri" w:cs="Calibri"/>
        </w:rPr>
      </w:pPr>
    </w:p>
    <w:p w14:paraId="6733800C" w14:textId="77777777" w:rsidR="00873593" w:rsidRDefault="00873593" w:rsidP="00873593">
      <w:pPr>
        <w:spacing w:before="100" w:beforeAutospacing="1" w:after="100" w:afterAutospacing="1" w:line="240" w:lineRule="auto"/>
        <w:rPr>
          <w:rFonts w:ascii="Calibri" w:hAnsi="Calibri" w:cs="Calibri"/>
        </w:rPr>
      </w:pPr>
    </w:p>
    <w:p w14:paraId="2C80DB98" w14:textId="77777777" w:rsidR="00873593" w:rsidRDefault="00873593" w:rsidP="00873593">
      <w:pPr>
        <w:spacing w:before="100" w:beforeAutospacing="1" w:after="100" w:afterAutospacing="1" w:line="240" w:lineRule="auto"/>
        <w:rPr>
          <w:rFonts w:ascii="Calibri" w:hAnsi="Calibri" w:cs="Calibri"/>
        </w:rPr>
      </w:pPr>
    </w:p>
    <w:p w14:paraId="4F18D6D7" w14:textId="1B046168" w:rsidR="00873593" w:rsidRPr="00873593" w:rsidRDefault="00873593" w:rsidP="00873593">
      <w:pPr>
        <w:spacing w:before="100" w:beforeAutospacing="1" w:after="100" w:afterAutospacing="1" w:line="240" w:lineRule="auto"/>
        <w:rPr>
          <w:rFonts w:ascii="Arial" w:hAnsi="Arial" w:cs="Arial"/>
          <w:b/>
          <w:bCs/>
          <w:sz w:val="36"/>
          <w:szCs w:val="36"/>
        </w:rPr>
      </w:pPr>
      <w:r w:rsidRPr="00873593">
        <w:rPr>
          <w:rFonts w:ascii="Arial" w:hAnsi="Arial" w:cs="Arial"/>
          <w:b/>
          <w:bCs/>
          <w:sz w:val="36"/>
          <w:szCs w:val="36"/>
        </w:rPr>
        <w:t xml:space="preserve">Bibliography </w:t>
      </w:r>
    </w:p>
    <w:p w14:paraId="335CF266" w14:textId="77777777" w:rsidR="00873593" w:rsidRPr="004A5F88" w:rsidRDefault="00873593" w:rsidP="00873593">
      <w:pPr>
        <w:spacing w:before="100" w:beforeAutospacing="1" w:after="100" w:afterAutospacing="1" w:line="240" w:lineRule="auto"/>
        <w:rPr>
          <w:rFonts w:ascii="Times New Roman" w:hAnsi="Times New Roman" w:cs="Times New Roman"/>
        </w:rPr>
      </w:pPr>
      <w:r w:rsidRPr="004A5F88">
        <w:rPr>
          <w:rFonts w:ascii="Times New Roman" w:hAnsi="Times New Roman" w:cs="Times New Roman"/>
        </w:rPr>
        <w:t xml:space="preserve">Ahmed, S. (2012) </w:t>
      </w:r>
      <w:r w:rsidRPr="004A5F88">
        <w:rPr>
          <w:rFonts w:ascii="Times New Roman" w:hAnsi="Times New Roman" w:cs="Times New Roman"/>
          <w:i/>
          <w:iCs/>
        </w:rPr>
        <w:t>On Being Included: Racism and Diversity in Institutional Life</w:t>
      </w:r>
      <w:r w:rsidRPr="004A5F88">
        <w:rPr>
          <w:rFonts w:ascii="Times New Roman" w:hAnsi="Times New Roman" w:cs="Times New Roman"/>
        </w:rPr>
        <w:t>. Durham, NC: Duke University Press.</w:t>
      </w:r>
    </w:p>
    <w:p w14:paraId="0FCBF8D1" w14:textId="77777777" w:rsidR="00873593" w:rsidRPr="004A5F88" w:rsidRDefault="00873593" w:rsidP="00873593">
      <w:pPr>
        <w:spacing w:before="100" w:beforeAutospacing="1" w:after="100" w:afterAutospacing="1" w:line="240" w:lineRule="auto"/>
        <w:rPr>
          <w:rFonts w:ascii="Times New Roman" w:hAnsi="Times New Roman" w:cs="Times New Roman"/>
        </w:rPr>
      </w:pPr>
      <w:r w:rsidRPr="004A5F88">
        <w:rPr>
          <w:rFonts w:ascii="Times New Roman" w:hAnsi="Times New Roman" w:cs="Times New Roman"/>
        </w:rPr>
        <w:t xml:space="preserve">Bowling, B. and Phillips, C. (2007) ‘Disproportionate and discriminatory: Reviewing the evidence on police stop and search’, </w:t>
      </w:r>
      <w:r w:rsidRPr="004A5F88">
        <w:rPr>
          <w:rFonts w:ascii="Times New Roman" w:hAnsi="Times New Roman" w:cs="Times New Roman"/>
          <w:i/>
          <w:iCs/>
        </w:rPr>
        <w:t>Modern Law Review</w:t>
      </w:r>
      <w:r w:rsidRPr="004A5F88">
        <w:rPr>
          <w:rFonts w:ascii="Times New Roman" w:hAnsi="Times New Roman" w:cs="Times New Roman"/>
        </w:rPr>
        <w:t>, 70(6), pp. 936–961.</w:t>
      </w:r>
    </w:p>
    <w:p w14:paraId="1F152186" w14:textId="77777777" w:rsidR="00873593" w:rsidRPr="004A5F88" w:rsidRDefault="00873593" w:rsidP="00873593">
      <w:pPr>
        <w:spacing w:before="100" w:beforeAutospacing="1" w:after="100" w:afterAutospacing="1" w:line="240" w:lineRule="auto"/>
        <w:rPr>
          <w:rFonts w:ascii="Times New Roman" w:hAnsi="Times New Roman" w:cs="Times New Roman"/>
        </w:rPr>
      </w:pPr>
      <w:r w:rsidRPr="004A5F88">
        <w:rPr>
          <w:rFonts w:ascii="Times New Roman" w:hAnsi="Times New Roman" w:cs="Times New Roman"/>
        </w:rPr>
        <w:t xml:space="preserve">Bradford, B. (2014) ‘Policing and social identity: Procedural justice, inclusion and cooperation between police and public’, </w:t>
      </w:r>
      <w:r w:rsidRPr="004A5F88">
        <w:rPr>
          <w:rFonts w:ascii="Times New Roman" w:hAnsi="Times New Roman" w:cs="Times New Roman"/>
          <w:i/>
          <w:iCs/>
        </w:rPr>
        <w:t>Policing and Society</w:t>
      </w:r>
      <w:r w:rsidRPr="004A5F88">
        <w:rPr>
          <w:rFonts w:ascii="Times New Roman" w:hAnsi="Times New Roman" w:cs="Times New Roman"/>
        </w:rPr>
        <w:t>, 24(1), pp. 22–43.</w:t>
      </w:r>
    </w:p>
    <w:p w14:paraId="08B3E2FB" w14:textId="77777777" w:rsidR="00873593" w:rsidRPr="004A5F88" w:rsidRDefault="00873593" w:rsidP="00873593">
      <w:pPr>
        <w:spacing w:before="100" w:beforeAutospacing="1" w:after="100" w:afterAutospacing="1" w:line="240" w:lineRule="auto"/>
        <w:rPr>
          <w:rFonts w:ascii="Times New Roman" w:hAnsi="Times New Roman" w:cs="Times New Roman"/>
        </w:rPr>
      </w:pPr>
      <w:r w:rsidRPr="004A5F88">
        <w:rPr>
          <w:rFonts w:ascii="Times New Roman" w:hAnsi="Times New Roman" w:cs="Times New Roman"/>
        </w:rPr>
        <w:t xml:space="preserve">Bradford, B., Yesberg, J.A., Jackson, J. and Dawson, P. (2022) ‘Live facial recognition: Trust and legitimacy as predictors of public support for police use of new technology’, </w:t>
      </w:r>
      <w:r w:rsidRPr="004A5F88">
        <w:rPr>
          <w:rFonts w:ascii="Times New Roman" w:hAnsi="Times New Roman" w:cs="Times New Roman"/>
          <w:i/>
          <w:iCs/>
        </w:rPr>
        <w:t>British Journal of Criminology</w:t>
      </w:r>
      <w:r w:rsidRPr="004A5F88">
        <w:rPr>
          <w:rFonts w:ascii="Times New Roman" w:hAnsi="Times New Roman" w:cs="Times New Roman"/>
        </w:rPr>
        <w:t>, 62(2), pp. 305–324.</w:t>
      </w:r>
    </w:p>
    <w:p w14:paraId="78176DBA" w14:textId="77777777" w:rsidR="00873593" w:rsidRPr="004A5F88" w:rsidRDefault="00873593" w:rsidP="00873593">
      <w:pPr>
        <w:spacing w:before="100" w:beforeAutospacing="1" w:after="100" w:afterAutospacing="1" w:line="240" w:lineRule="auto"/>
        <w:rPr>
          <w:rFonts w:ascii="Times New Roman" w:hAnsi="Times New Roman" w:cs="Times New Roman"/>
        </w:rPr>
      </w:pPr>
      <w:r w:rsidRPr="004A5F88">
        <w:rPr>
          <w:rFonts w:ascii="Times New Roman" w:hAnsi="Times New Roman" w:cs="Times New Roman"/>
        </w:rPr>
        <w:t xml:space="preserve">Bryman, A. (2016) </w:t>
      </w:r>
      <w:r w:rsidRPr="004A5F88">
        <w:rPr>
          <w:rFonts w:ascii="Times New Roman" w:hAnsi="Times New Roman" w:cs="Times New Roman"/>
          <w:i/>
          <w:iCs/>
        </w:rPr>
        <w:t>Social Research Methods</w:t>
      </w:r>
      <w:r w:rsidRPr="004A5F88">
        <w:rPr>
          <w:rFonts w:ascii="Times New Roman" w:hAnsi="Times New Roman" w:cs="Times New Roman"/>
        </w:rPr>
        <w:t>. 5th edn. Oxford: Oxford University Press.</w:t>
      </w:r>
    </w:p>
    <w:p w14:paraId="35D981C4" w14:textId="77777777" w:rsidR="00873593" w:rsidRPr="004A5F88" w:rsidRDefault="00873593" w:rsidP="00873593">
      <w:pPr>
        <w:spacing w:before="100" w:beforeAutospacing="1" w:after="100" w:afterAutospacing="1" w:line="240" w:lineRule="auto"/>
        <w:rPr>
          <w:rFonts w:ascii="Times New Roman" w:hAnsi="Times New Roman" w:cs="Times New Roman"/>
        </w:rPr>
      </w:pPr>
      <w:r w:rsidRPr="004A5F88">
        <w:rPr>
          <w:rFonts w:ascii="Times New Roman" w:hAnsi="Times New Roman" w:cs="Times New Roman"/>
        </w:rPr>
        <w:t xml:space="preserve">Casey, L. (2023) </w:t>
      </w:r>
      <w:r w:rsidRPr="004A5F88">
        <w:rPr>
          <w:rFonts w:ascii="Times New Roman" w:hAnsi="Times New Roman" w:cs="Times New Roman"/>
          <w:i/>
          <w:iCs/>
        </w:rPr>
        <w:t>Final Report: An Independent Review into the Standards of Behaviour and Internal Culture of the Metropolitan Police Service</w:t>
      </w:r>
      <w:r w:rsidRPr="004A5F88">
        <w:rPr>
          <w:rFonts w:ascii="Times New Roman" w:hAnsi="Times New Roman" w:cs="Times New Roman"/>
        </w:rPr>
        <w:t>. London: Greater London Authority.</w:t>
      </w:r>
    </w:p>
    <w:p w14:paraId="74540628" w14:textId="77777777" w:rsidR="00873593" w:rsidRPr="004A5F88" w:rsidRDefault="00873593" w:rsidP="00873593">
      <w:pPr>
        <w:spacing w:before="100" w:beforeAutospacing="1" w:after="100" w:afterAutospacing="1" w:line="240" w:lineRule="auto"/>
        <w:rPr>
          <w:rFonts w:ascii="Times New Roman" w:hAnsi="Times New Roman" w:cs="Times New Roman"/>
        </w:rPr>
      </w:pPr>
      <w:r w:rsidRPr="004A5F88">
        <w:rPr>
          <w:rFonts w:ascii="Times New Roman" w:hAnsi="Times New Roman" w:cs="Times New Roman"/>
        </w:rPr>
        <w:t xml:space="preserve">Cockcroft, T. (2013) </w:t>
      </w:r>
      <w:r w:rsidRPr="004A5F88">
        <w:rPr>
          <w:rFonts w:ascii="Times New Roman" w:hAnsi="Times New Roman" w:cs="Times New Roman"/>
          <w:i/>
          <w:iCs/>
        </w:rPr>
        <w:t>Police Culture: Themes and Concepts</w:t>
      </w:r>
      <w:r w:rsidRPr="004A5F88">
        <w:rPr>
          <w:rFonts w:ascii="Times New Roman" w:hAnsi="Times New Roman" w:cs="Times New Roman"/>
        </w:rPr>
        <w:t>. Abingdon: Routledge.</w:t>
      </w:r>
    </w:p>
    <w:p w14:paraId="567D1116" w14:textId="77777777" w:rsidR="00873593" w:rsidRPr="004A5F88" w:rsidRDefault="00873593" w:rsidP="00873593">
      <w:pPr>
        <w:spacing w:before="100" w:beforeAutospacing="1" w:after="100" w:afterAutospacing="1" w:line="240" w:lineRule="auto"/>
        <w:rPr>
          <w:rFonts w:ascii="Times New Roman" w:hAnsi="Times New Roman" w:cs="Times New Roman"/>
        </w:rPr>
      </w:pPr>
      <w:r w:rsidRPr="004A5F88">
        <w:rPr>
          <w:rFonts w:ascii="Times New Roman" w:hAnsi="Times New Roman" w:cs="Times New Roman"/>
        </w:rPr>
        <w:t xml:space="preserve">Cockcroft, T. (2020) </w:t>
      </w:r>
      <w:r w:rsidRPr="004A5F88">
        <w:rPr>
          <w:rFonts w:ascii="Times New Roman" w:hAnsi="Times New Roman" w:cs="Times New Roman"/>
          <w:i/>
          <w:iCs/>
        </w:rPr>
        <w:t>Police Culture: Themes and Concepts</w:t>
      </w:r>
      <w:r w:rsidRPr="004A5F88">
        <w:rPr>
          <w:rFonts w:ascii="Times New Roman" w:hAnsi="Times New Roman" w:cs="Times New Roman"/>
        </w:rPr>
        <w:t>. 2nd edn. Abingdon: Routledge.</w:t>
      </w:r>
    </w:p>
    <w:p w14:paraId="170549D8" w14:textId="77777777" w:rsidR="00873593" w:rsidRPr="004A5F88" w:rsidRDefault="00873593" w:rsidP="00873593">
      <w:pPr>
        <w:spacing w:before="100" w:beforeAutospacing="1" w:after="100" w:afterAutospacing="1" w:line="240" w:lineRule="auto"/>
        <w:rPr>
          <w:rFonts w:ascii="Times New Roman" w:hAnsi="Times New Roman" w:cs="Times New Roman"/>
        </w:rPr>
      </w:pPr>
      <w:r w:rsidRPr="004A5F88">
        <w:rPr>
          <w:rFonts w:ascii="Times New Roman" w:hAnsi="Times New Roman" w:cs="Times New Roman"/>
        </w:rPr>
        <w:t xml:space="preserve">College of Policing (2023) </w:t>
      </w:r>
      <w:r w:rsidRPr="004A5F88">
        <w:rPr>
          <w:rFonts w:ascii="Times New Roman" w:hAnsi="Times New Roman" w:cs="Times New Roman"/>
          <w:i/>
          <w:iCs/>
        </w:rPr>
        <w:t>Equality, Diversity and Inclusion Strategy</w:t>
      </w:r>
      <w:r w:rsidRPr="004A5F88">
        <w:rPr>
          <w:rFonts w:ascii="Times New Roman" w:hAnsi="Times New Roman" w:cs="Times New Roman"/>
        </w:rPr>
        <w:t>. Coventry: College of Policing.</w:t>
      </w:r>
    </w:p>
    <w:p w14:paraId="40EE9692" w14:textId="415DBE94" w:rsidR="00873593" w:rsidRPr="004A5F88" w:rsidRDefault="00873593" w:rsidP="00873593">
      <w:pPr>
        <w:spacing w:before="100" w:beforeAutospacing="1" w:after="100" w:afterAutospacing="1" w:line="240" w:lineRule="auto"/>
        <w:rPr>
          <w:rFonts w:ascii="Times New Roman" w:hAnsi="Times New Roman" w:cs="Times New Roman"/>
        </w:rPr>
      </w:pPr>
      <w:r w:rsidRPr="004A5F88">
        <w:rPr>
          <w:rFonts w:ascii="Times New Roman" w:hAnsi="Times New Roman" w:cs="Times New Roman"/>
        </w:rPr>
        <w:t xml:space="preserve">Equality Act 2010. c.15. London: The Stationery Office. Available at: https://www.legislation.gov.uk/ukpga/2010/15/contents (Accessed: </w:t>
      </w:r>
      <w:r>
        <w:rPr>
          <w:rFonts w:ascii="Times New Roman" w:hAnsi="Times New Roman" w:cs="Times New Roman"/>
        </w:rPr>
        <w:t>10th October</w:t>
      </w:r>
      <w:r w:rsidRPr="004A5F88">
        <w:rPr>
          <w:rFonts w:ascii="Times New Roman" w:hAnsi="Times New Roman" w:cs="Times New Roman"/>
        </w:rPr>
        <w:t xml:space="preserve"> 2025).</w:t>
      </w:r>
    </w:p>
    <w:p w14:paraId="1C13343C" w14:textId="77777777" w:rsidR="00873593" w:rsidRPr="004A5F88" w:rsidRDefault="00873593" w:rsidP="00873593">
      <w:pPr>
        <w:spacing w:before="100" w:beforeAutospacing="1" w:after="100" w:afterAutospacing="1" w:line="240" w:lineRule="auto"/>
        <w:rPr>
          <w:rFonts w:ascii="Times New Roman" w:hAnsi="Times New Roman" w:cs="Times New Roman"/>
        </w:rPr>
      </w:pPr>
      <w:r w:rsidRPr="004A5F88">
        <w:rPr>
          <w:rFonts w:ascii="Times New Roman" w:hAnsi="Times New Roman" w:cs="Times New Roman"/>
        </w:rPr>
        <w:t xml:space="preserve">Foster, J. (2003) ‘Police cultures’, in Newburn, T. (ed.) </w:t>
      </w:r>
      <w:r w:rsidRPr="004A5F88">
        <w:rPr>
          <w:rFonts w:ascii="Times New Roman" w:hAnsi="Times New Roman" w:cs="Times New Roman"/>
          <w:i/>
          <w:iCs/>
        </w:rPr>
        <w:t>Handbook of Policing</w:t>
      </w:r>
      <w:r w:rsidRPr="004A5F88">
        <w:rPr>
          <w:rFonts w:ascii="Times New Roman" w:hAnsi="Times New Roman" w:cs="Times New Roman"/>
        </w:rPr>
        <w:t>. Cullompton: Willan Publishing, pp. 196–227.</w:t>
      </w:r>
    </w:p>
    <w:p w14:paraId="27C7A96E" w14:textId="77777777" w:rsidR="00873593" w:rsidRPr="004A5F88" w:rsidRDefault="00873593" w:rsidP="00873593">
      <w:pPr>
        <w:spacing w:before="100" w:beforeAutospacing="1" w:after="100" w:afterAutospacing="1" w:line="240" w:lineRule="auto"/>
        <w:rPr>
          <w:rFonts w:ascii="Times New Roman" w:hAnsi="Times New Roman" w:cs="Times New Roman"/>
        </w:rPr>
      </w:pPr>
      <w:r w:rsidRPr="004A5F88">
        <w:rPr>
          <w:rFonts w:ascii="Times New Roman" w:hAnsi="Times New Roman" w:cs="Times New Roman"/>
        </w:rPr>
        <w:t xml:space="preserve">HM Inspectorate of Constabulary and Fire &amp; Rescue Services (HMICFRS) (2022) </w:t>
      </w:r>
      <w:r w:rsidRPr="004A5F88">
        <w:rPr>
          <w:rFonts w:ascii="Times New Roman" w:hAnsi="Times New Roman" w:cs="Times New Roman"/>
          <w:i/>
          <w:iCs/>
        </w:rPr>
        <w:t>An Inspection of Vetting, Misconduct and Misogyny in the Police Service</w:t>
      </w:r>
      <w:r w:rsidRPr="004A5F88">
        <w:rPr>
          <w:rFonts w:ascii="Times New Roman" w:hAnsi="Times New Roman" w:cs="Times New Roman"/>
        </w:rPr>
        <w:t>. London: HMICFRS.</w:t>
      </w:r>
    </w:p>
    <w:p w14:paraId="31BBAD50" w14:textId="77777777" w:rsidR="00873593" w:rsidRPr="004A5F88" w:rsidRDefault="00873593" w:rsidP="00873593">
      <w:pPr>
        <w:spacing w:before="100" w:beforeAutospacing="1" w:after="100" w:afterAutospacing="1" w:line="240" w:lineRule="auto"/>
        <w:rPr>
          <w:rFonts w:ascii="Times New Roman" w:hAnsi="Times New Roman" w:cs="Times New Roman"/>
        </w:rPr>
      </w:pPr>
      <w:r w:rsidRPr="004A5F88">
        <w:rPr>
          <w:rFonts w:ascii="Times New Roman" w:hAnsi="Times New Roman" w:cs="Times New Roman"/>
        </w:rPr>
        <w:t xml:space="preserve">HM Inspectorate of Constabulary and Fire &amp; Rescue Services (HMICFRS) (2023) </w:t>
      </w:r>
      <w:r w:rsidRPr="004A5F88">
        <w:rPr>
          <w:rFonts w:ascii="Times New Roman" w:hAnsi="Times New Roman" w:cs="Times New Roman"/>
          <w:i/>
          <w:iCs/>
        </w:rPr>
        <w:t>State of Policing: The Annual Assessment of Policing in England and Wales 2022</w:t>
      </w:r>
      <w:r w:rsidRPr="004A5F88">
        <w:rPr>
          <w:rFonts w:ascii="Times New Roman" w:hAnsi="Times New Roman" w:cs="Times New Roman"/>
        </w:rPr>
        <w:t>. London: HMICFRS.</w:t>
      </w:r>
    </w:p>
    <w:p w14:paraId="07F4B36D" w14:textId="77777777" w:rsidR="00873593" w:rsidRPr="004A5F88" w:rsidRDefault="00873593" w:rsidP="00873593">
      <w:pPr>
        <w:spacing w:before="100" w:beforeAutospacing="1" w:after="100" w:afterAutospacing="1" w:line="240" w:lineRule="auto"/>
        <w:rPr>
          <w:rFonts w:ascii="Times New Roman" w:hAnsi="Times New Roman" w:cs="Times New Roman"/>
        </w:rPr>
      </w:pPr>
      <w:r w:rsidRPr="004A5F88">
        <w:rPr>
          <w:rFonts w:ascii="Times New Roman" w:hAnsi="Times New Roman" w:cs="Times New Roman"/>
        </w:rPr>
        <w:t xml:space="preserve">Home Office (2023) </w:t>
      </w:r>
      <w:r w:rsidRPr="004A5F88">
        <w:rPr>
          <w:rFonts w:ascii="Times New Roman" w:hAnsi="Times New Roman" w:cs="Times New Roman"/>
          <w:i/>
          <w:iCs/>
        </w:rPr>
        <w:t>Police Workforce, England and Wales: 31 March 2023</w:t>
      </w:r>
      <w:r w:rsidRPr="004A5F88">
        <w:rPr>
          <w:rFonts w:ascii="Times New Roman" w:hAnsi="Times New Roman" w:cs="Times New Roman"/>
        </w:rPr>
        <w:t>. London: Home Office.</w:t>
      </w:r>
    </w:p>
    <w:p w14:paraId="51941C83" w14:textId="77777777" w:rsidR="00873593" w:rsidRPr="004A5F88" w:rsidRDefault="00873593" w:rsidP="00873593">
      <w:pPr>
        <w:spacing w:before="100" w:beforeAutospacing="1" w:after="100" w:afterAutospacing="1" w:line="240" w:lineRule="auto"/>
        <w:rPr>
          <w:rFonts w:ascii="Times New Roman" w:hAnsi="Times New Roman" w:cs="Times New Roman"/>
        </w:rPr>
      </w:pPr>
      <w:r w:rsidRPr="004A5F88">
        <w:rPr>
          <w:rFonts w:ascii="Times New Roman" w:hAnsi="Times New Roman" w:cs="Times New Roman"/>
        </w:rPr>
        <w:t xml:space="preserve">Home Office (2025) </w:t>
      </w:r>
      <w:r w:rsidRPr="004A5F88">
        <w:rPr>
          <w:rFonts w:ascii="Times New Roman" w:hAnsi="Times New Roman" w:cs="Times New Roman"/>
          <w:i/>
          <w:iCs/>
        </w:rPr>
        <w:t>Police Workforce, England and Wales: 31 March 2025</w:t>
      </w:r>
      <w:r w:rsidRPr="004A5F88">
        <w:rPr>
          <w:rFonts w:ascii="Times New Roman" w:hAnsi="Times New Roman" w:cs="Times New Roman"/>
        </w:rPr>
        <w:t>. London: Home Office.</w:t>
      </w:r>
    </w:p>
    <w:p w14:paraId="3A16A51B" w14:textId="77777777" w:rsidR="00873593" w:rsidRPr="004A5F88" w:rsidRDefault="00873593" w:rsidP="00873593">
      <w:pPr>
        <w:spacing w:before="100" w:beforeAutospacing="1" w:after="100" w:afterAutospacing="1" w:line="240" w:lineRule="auto"/>
        <w:rPr>
          <w:rFonts w:ascii="Times New Roman" w:hAnsi="Times New Roman" w:cs="Times New Roman"/>
        </w:rPr>
      </w:pPr>
      <w:r w:rsidRPr="004A5F88">
        <w:rPr>
          <w:rFonts w:ascii="Times New Roman" w:hAnsi="Times New Roman" w:cs="Times New Roman"/>
        </w:rPr>
        <w:t xml:space="preserve">Jackson, J., Bradford, B., Hough, M. and Murray, K. (2012) ‘Compliance with the Law and Policing by Consent: Notes on Police and Legal Legitimacy’, in Crawford, A. and Hucklesby, A. (eds.) </w:t>
      </w:r>
      <w:r w:rsidRPr="004A5F88">
        <w:rPr>
          <w:rFonts w:ascii="Times New Roman" w:hAnsi="Times New Roman" w:cs="Times New Roman"/>
          <w:i/>
          <w:iCs/>
        </w:rPr>
        <w:t>Legitimacy and Compliance in Criminal Justice</w:t>
      </w:r>
      <w:r w:rsidRPr="004A5F88">
        <w:rPr>
          <w:rFonts w:ascii="Times New Roman" w:hAnsi="Times New Roman" w:cs="Times New Roman"/>
        </w:rPr>
        <w:t>. Abingdon: Routledge, pp. 29–49.</w:t>
      </w:r>
    </w:p>
    <w:p w14:paraId="11C8DCA5" w14:textId="77777777" w:rsidR="00873593" w:rsidRPr="004A5F88" w:rsidRDefault="00873593" w:rsidP="00873593">
      <w:pPr>
        <w:spacing w:before="100" w:beforeAutospacing="1" w:after="100" w:afterAutospacing="1" w:line="240" w:lineRule="auto"/>
        <w:rPr>
          <w:rFonts w:ascii="Times New Roman" w:hAnsi="Times New Roman" w:cs="Times New Roman"/>
        </w:rPr>
      </w:pPr>
      <w:r w:rsidRPr="004A5F88">
        <w:rPr>
          <w:rFonts w:ascii="Times New Roman" w:hAnsi="Times New Roman" w:cs="Times New Roman"/>
        </w:rPr>
        <w:t xml:space="preserve">Loftus, B. (2009) </w:t>
      </w:r>
      <w:r w:rsidRPr="004A5F88">
        <w:rPr>
          <w:rFonts w:ascii="Times New Roman" w:hAnsi="Times New Roman" w:cs="Times New Roman"/>
          <w:i/>
          <w:iCs/>
        </w:rPr>
        <w:t>Police Culture in a Changing World</w:t>
      </w:r>
      <w:r w:rsidRPr="004A5F88">
        <w:rPr>
          <w:rFonts w:ascii="Times New Roman" w:hAnsi="Times New Roman" w:cs="Times New Roman"/>
        </w:rPr>
        <w:t>. Oxford: Oxford University Press.</w:t>
      </w:r>
    </w:p>
    <w:p w14:paraId="61C565A1" w14:textId="77777777" w:rsidR="00873593" w:rsidRPr="004A5F88" w:rsidRDefault="00873593" w:rsidP="00873593">
      <w:pPr>
        <w:spacing w:before="100" w:beforeAutospacing="1" w:after="100" w:afterAutospacing="1" w:line="240" w:lineRule="auto"/>
        <w:rPr>
          <w:rFonts w:ascii="Times New Roman" w:hAnsi="Times New Roman" w:cs="Times New Roman"/>
        </w:rPr>
      </w:pPr>
      <w:r w:rsidRPr="004A5F88">
        <w:rPr>
          <w:rFonts w:ascii="Times New Roman" w:hAnsi="Times New Roman" w:cs="Times New Roman"/>
        </w:rPr>
        <w:t xml:space="preserve">Macpherson, W. (1999) </w:t>
      </w:r>
      <w:r w:rsidRPr="004A5F88">
        <w:rPr>
          <w:rFonts w:ascii="Times New Roman" w:hAnsi="Times New Roman" w:cs="Times New Roman"/>
          <w:i/>
          <w:iCs/>
        </w:rPr>
        <w:t>The Stephen Lawrence Inquiry: Report of an Inquiry by Sir William Macpherson of Cluny</w:t>
      </w:r>
      <w:r w:rsidRPr="004A5F88">
        <w:rPr>
          <w:rFonts w:ascii="Times New Roman" w:hAnsi="Times New Roman" w:cs="Times New Roman"/>
        </w:rPr>
        <w:t>. Cm 4262-I. London: The Stationery Office.</w:t>
      </w:r>
    </w:p>
    <w:p w14:paraId="6CD8BA76" w14:textId="77777777" w:rsidR="00873593" w:rsidRPr="004A5F88" w:rsidRDefault="00873593" w:rsidP="00873593">
      <w:pPr>
        <w:spacing w:before="100" w:beforeAutospacing="1" w:after="100" w:afterAutospacing="1" w:line="240" w:lineRule="auto"/>
        <w:rPr>
          <w:rFonts w:ascii="Times New Roman" w:hAnsi="Times New Roman" w:cs="Times New Roman"/>
        </w:rPr>
      </w:pPr>
      <w:r w:rsidRPr="004A5F88">
        <w:rPr>
          <w:rFonts w:ascii="Times New Roman" w:hAnsi="Times New Roman" w:cs="Times New Roman"/>
        </w:rPr>
        <w:lastRenderedPageBreak/>
        <w:t xml:space="preserve">Race Disparity Unit (2024) </w:t>
      </w:r>
      <w:r w:rsidRPr="004A5F88">
        <w:rPr>
          <w:rFonts w:ascii="Times New Roman" w:hAnsi="Times New Roman" w:cs="Times New Roman"/>
          <w:i/>
          <w:iCs/>
        </w:rPr>
        <w:t>Ethnicity Facts and Figures: Criminal Justice System</w:t>
      </w:r>
      <w:r w:rsidRPr="004A5F88">
        <w:rPr>
          <w:rFonts w:ascii="Times New Roman" w:hAnsi="Times New Roman" w:cs="Times New Roman"/>
        </w:rPr>
        <w:t>. London: Cabinet Office.</w:t>
      </w:r>
    </w:p>
    <w:p w14:paraId="51762D10" w14:textId="77777777" w:rsidR="00873593" w:rsidRPr="004A5F88" w:rsidRDefault="00873593" w:rsidP="00873593">
      <w:pPr>
        <w:spacing w:before="100" w:beforeAutospacing="1" w:after="100" w:afterAutospacing="1" w:line="240" w:lineRule="auto"/>
        <w:rPr>
          <w:rFonts w:ascii="Times New Roman" w:hAnsi="Times New Roman" w:cs="Times New Roman"/>
        </w:rPr>
      </w:pPr>
      <w:r w:rsidRPr="004A5F88">
        <w:rPr>
          <w:rFonts w:ascii="Times New Roman" w:hAnsi="Times New Roman" w:cs="Times New Roman"/>
        </w:rPr>
        <w:t xml:space="preserve">Reiner, R. (2010) </w:t>
      </w:r>
      <w:r w:rsidRPr="004A5F88">
        <w:rPr>
          <w:rFonts w:ascii="Times New Roman" w:hAnsi="Times New Roman" w:cs="Times New Roman"/>
          <w:i/>
          <w:iCs/>
        </w:rPr>
        <w:t>The Politics of the Police</w:t>
      </w:r>
      <w:r w:rsidRPr="004A5F88">
        <w:rPr>
          <w:rFonts w:ascii="Times New Roman" w:hAnsi="Times New Roman" w:cs="Times New Roman"/>
        </w:rPr>
        <w:t>. 4th edn. Oxford: Oxford University Press.</w:t>
      </w:r>
    </w:p>
    <w:p w14:paraId="3DABA3BE" w14:textId="77777777" w:rsidR="00873593" w:rsidRPr="004A5F88" w:rsidRDefault="00873593" w:rsidP="00873593">
      <w:pPr>
        <w:spacing w:before="100" w:beforeAutospacing="1" w:after="100" w:afterAutospacing="1" w:line="240" w:lineRule="auto"/>
        <w:rPr>
          <w:rFonts w:ascii="Times New Roman" w:hAnsi="Times New Roman" w:cs="Times New Roman"/>
        </w:rPr>
      </w:pPr>
      <w:r w:rsidRPr="004A5F88">
        <w:rPr>
          <w:rFonts w:ascii="Times New Roman" w:hAnsi="Times New Roman" w:cs="Times New Roman"/>
        </w:rPr>
        <w:t xml:space="preserve">Rowe, M. (2014) </w:t>
      </w:r>
      <w:r w:rsidRPr="004A5F88">
        <w:rPr>
          <w:rFonts w:ascii="Times New Roman" w:hAnsi="Times New Roman" w:cs="Times New Roman"/>
          <w:i/>
          <w:iCs/>
        </w:rPr>
        <w:t>Introduction to Policing</w:t>
      </w:r>
      <w:r w:rsidRPr="004A5F88">
        <w:rPr>
          <w:rFonts w:ascii="Times New Roman" w:hAnsi="Times New Roman" w:cs="Times New Roman"/>
        </w:rPr>
        <w:t>. 2nd edn. London: Sage Publications.</w:t>
      </w:r>
    </w:p>
    <w:p w14:paraId="7CB57D32" w14:textId="77777777" w:rsidR="00873593" w:rsidRPr="004A5F88" w:rsidRDefault="00873593" w:rsidP="00873593">
      <w:pPr>
        <w:spacing w:before="100" w:beforeAutospacing="1" w:after="100" w:afterAutospacing="1" w:line="240" w:lineRule="auto"/>
        <w:rPr>
          <w:rFonts w:ascii="Times New Roman" w:hAnsi="Times New Roman" w:cs="Times New Roman"/>
        </w:rPr>
      </w:pPr>
      <w:r w:rsidRPr="004A5F88">
        <w:rPr>
          <w:rFonts w:ascii="Times New Roman" w:hAnsi="Times New Roman" w:cs="Times New Roman"/>
        </w:rPr>
        <w:t xml:space="preserve">Saunders, M., Lewis, P. and Thornhill, A. (2019) </w:t>
      </w:r>
      <w:r w:rsidRPr="004A5F88">
        <w:rPr>
          <w:rFonts w:ascii="Times New Roman" w:hAnsi="Times New Roman" w:cs="Times New Roman"/>
          <w:i/>
          <w:iCs/>
        </w:rPr>
        <w:t>Research Methods for Business Students</w:t>
      </w:r>
      <w:r w:rsidRPr="004A5F88">
        <w:rPr>
          <w:rFonts w:ascii="Times New Roman" w:hAnsi="Times New Roman" w:cs="Times New Roman"/>
        </w:rPr>
        <w:t>. 8th edn. Harlow: Pearson.</w:t>
      </w:r>
    </w:p>
    <w:p w14:paraId="5990EAD0" w14:textId="77777777" w:rsidR="00873593" w:rsidRPr="004A5F88" w:rsidRDefault="00873593" w:rsidP="00873593">
      <w:pPr>
        <w:spacing w:before="100" w:beforeAutospacing="1" w:after="100" w:afterAutospacing="1" w:line="240" w:lineRule="auto"/>
        <w:rPr>
          <w:rFonts w:ascii="Times New Roman" w:hAnsi="Times New Roman" w:cs="Times New Roman"/>
        </w:rPr>
      </w:pPr>
      <w:r w:rsidRPr="004A5F88">
        <w:rPr>
          <w:rFonts w:ascii="Times New Roman" w:hAnsi="Times New Roman" w:cs="Times New Roman"/>
        </w:rPr>
        <w:t xml:space="preserve">Tyler, T.R. (2006) </w:t>
      </w:r>
      <w:r w:rsidRPr="004A5F88">
        <w:rPr>
          <w:rFonts w:ascii="Times New Roman" w:hAnsi="Times New Roman" w:cs="Times New Roman"/>
          <w:i/>
          <w:iCs/>
        </w:rPr>
        <w:t>Why People Obey the Law</w:t>
      </w:r>
      <w:r w:rsidRPr="004A5F88">
        <w:rPr>
          <w:rFonts w:ascii="Times New Roman" w:hAnsi="Times New Roman" w:cs="Times New Roman"/>
        </w:rPr>
        <w:t>. 2nd edn. Princeton, NJ: Princeton University Press.</w:t>
      </w:r>
    </w:p>
    <w:p w14:paraId="278D0CF3" w14:textId="77777777" w:rsidR="00873593" w:rsidRPr="004A5F88" w:rsidRDefault="00873593" w:rsidP="00873593">
      <w:pPr>
        <w:spacing w:before="100" w:beforeAutospacing="1" w:after="100" w:afterAutospacing="1" w:line="240" w:lineRule="auto"/>
        <w:rPr>
          <w:rFonts w:ascii="Times New Roman" w:hAnsi="Times New Roman" w:cs="Times New Roman"/>
        </w:rPr>
      </w:pPr>
      <w:r w:rsidRPr="004A5F88">
        <w:rPr>
          <w:rFonts w:ascii="Times New Roman" w:hAnsi="Times New Roman" w:cs="Times New Roman"/>
        </w:rPr>
        <w:t xml:space="preserve">YouGov (2023) </w:t>
      </w:r>
      <w:r w:rsidRPr="004A5F88">
        <w:rPr>
          <w:rFonts w:ascii="Times New Roman" w:hAnsi="Times New Roman" w:cs="Times New Roman"/>
          <w:i/>
          <w:iCs/>
        </w:rPr>
        <w:t>Public Attitudes Towards the Police in Britain</w:t>
      </w:r>
      <w:r w:rsidRPr="004A5F88">
        <w:rPr>
          <w:rFonts w:ascii="Times New Roman" w:hAnsi="Times New Roman" w:cs="Times New Roman"/>
        </w:rPr>
        <w:t>. London: YouGov.</w:t>
      </w:r>
    </w:p>
    <w:p w14:paraId="69368284" w14:textId="77777777" w:rsidR="00873593" w:rsidRPr="00674902" w:rsidRDefault="00873593" w:rsidP="00873593"/>
    <w:p w14:paraId="24EA66D2" w14:textId="77777777" w:rsidR="00873593" w:rsidRDefault="00873593" w:rsidP="00873593">
      <w:pPr>
        <w:spacing w:before="100" w:beforeAutospacing="1" w:after="100" w:afterAutospacing="1" w:line="240" w:lineRule="auto"/>
        <w:rPr>
          <w:rFonts w:ascii="Calibri" w:hAnsi="Calibri" w:cs="Calibri"/>
        </w:rPr>
      </w:pPr>
    </w:p>
    <w:p w14:paraId="3A0C3734" w14:textId="77777777" w:rsidR="00873593" w:rsidRPr="00873593" w:rsidRDefault="00873593" w:rsidP="00873593">
      <w:pPr>
        <w:spacing w:before="100" w:beforeAutospacing="1" w:after="100" w:afterAutospacing="1" w:line="240" w:lineRule="auto"/>
        <w:rPr>
          <w:rFonts w:ascii="Calibri" w:hAnsi="Calibri" w:cs="Calibri"/>
        </w:rPr>
      </w:pPr>
    </w:p>
    <w:p w14:paraId="4EAD0A9C" w14:textId="77777777" w:rsidR="00873593" w:rsidRDefault="00873593" w:rsidP="00873593"/>
    <w:p w14:paraId="7757B003" w14:textId="77777777" w:rsidR="00873593" w:rsidRPr="00873593" w:rsidRDefault="00873593" w:rsidP="00873593">
      <w:pPr>
        <w:spacing w:before="100" w:beforeAutospacing="1" w:after="100" w:afterAutospacing="1" w:line="240" w:lineRule="auto"/>
        <w:rPr>
          <w:rFonts w:ascii="Calibri" w:hAnsi="Calibri" w:cs="Calibri"/>
        </w:rPr>
      </w:pPr>
    </w:p>
    <w:p w14:paraId="3BF57D1B" w14:textId="77777777" w:rsidR="00873593" w:rsidRPr="00873593" w:rsidRDefault="00873593" w:rsidP="00873593">
      <w:pPr>
        <w:spacing w:before="100" w:beforeAutospacing="1" w:after="100" w:afterAutospacing="1" w:line="240" w:lineRule="auto"/>
        <w:rPr>
          <w:rFonts w:ascii="Calibri" w:hAnsi="Calibri" w:cs="Calibri"/>
        </w:rPr>
      </w:pPr>
    </w:p>
    <w:p w14:paraId="53CD4774" w14:textId="77777777" w:rsidR="00873593" w:rsidRPr="00873593" w:rsidRDefault="00873593" w:rsidP="00873593">
      <w:pPr>
        <w:spacing w:before="100" w:beforeAutospacing="1" w:after="100" w:afterAutospacing="1" w:line="240" w:lineRule="auto"/>
        <w:rPr>
          <w:rFonts w:ascii="Calibri" w:hAnsi="Calibri" w:cs="Calibri"/>
        </w:rPr>
      </w:pPr>
    </w:p>
    <w:p w14:paraId="1F04F332" w14:textId="77777777" w:rsidR="00871AF3" w:rsidRPr="00873593" w:rsidRDefault="00871AF3" w:rsidP="00871AF3">
      <w:pPr>
        <w:spacing w:before="100" w:beforeAutospacing="1" w:after="100" w:afterAutospacing="1" w:line="240" w:lineRule="auto"/>
        <w:rPr>
          <w:rFonts w:ascii="Calibri" w:hAnsi="Calibri" w:cs="Calibri"/>
        </w:rPr>
      </w:pPr>
    </w:p>
    <w:p w14:paraId="26F04767" w14:textId="77777777" w:rsidR="00871AF3" w:rsidRPr="00873593" w:rsidRDefault="00871AF3" w:rsidP="00871AF3">
      <w:pPr>
        <w:spacing w:before="100" w:beforeAutospacing="1" w:after="100" w:afterAutospacing="1" w:line="240" w:lineRule="auto"/>
        <w:rPr>
          <w:rFonts w:ascii="Calibri" w:hAnsi="Calibri" w:cs="Calibri"/>
        </w:rPr>
      </w:pPr>
    </w:p>
    <w:p w14:paraId="3A54FA20" w14:textId="77777777" w:rsidR="00871AF3" w:rsidRPr="00873593" w:rsidRDefault="00871AF3" w:rsidP="00C60CA7">
      <w:pPr>
        <w:tabs>
          <w:tab w:val="left" w:pos="2520"/>
        </w:tabs>
        <w:rPr>
          <w:rFonts w:ascii="Calibri" w:hAnsi="Calibri" w:cs="Calibri"/>
          <w:b/>
          <w:bCs/>
        </w:rPr>
      </w:pPr>
    </w:p>
    <w:sectPr w:rsidR="00871AF3" w:rsidRPr="008735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FBF"/>
    <w:rsid w:val="00172686"/>
    <w:rsid w:val="0027634F"/>
    <w:rsid w:val="00484BAF"/>
    <w:rsid w:val="00507FBF"/>
    <w:rsid w:val="0062474F"/>
    <w:rsid w:val="00871AF3"/>
    <w:rsid w:val="00873593"/>
    <w:rsid w:val="009A3A04"/>
    <w:rsid w:val="00A86CE8"/>
    <w:rsid w:val="00C60CA7"/>
    <w:rsid w:val="00C654AF"/>
    <w:rsid w:val="00E84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8B7BD"/>
  <w15:chartTrackingRefBased/>
  <w15:docId w15:val="{8D0D6CD4-EC3A-4CCD-857A-384DEA3C0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474F"/>
    <w:pPr>
      <w:tabs>
        <w:tab w:val="left" w:pos="2520"/>
      </w:tabs>
      <w:outlineLvl w:val="0"/>
    </w:pPr>
    <w:rPr>
      <w:rFonts w:ascii="Arial" w:hAnsi="Arial" w:cs="Arial"/>
      <w:b/>
      <w:bCs/>
      <w:sz w:val="32"/>
      <w:szCs w:val="32"/>
    </w:rPr>
  </w:style>
  <w:style w:type="paragraph" w:styleId="Heading2">
    <w:name w:val="heading 2"/>
    <w:basedOn w:val="Normal"/>
    <w:next w:val="Normal"/>
    <w:link w:val="Heading2Char"/>
    <w:uiPriority w:val="9"/>
    <w:unhideWhenUsed/>
    <w:qFormat/>
    <w:rsid w:val="0062474F"/>
    <w:pPr>
      <w:spacing w:before="100" w:beforeAutospacing="1" w:after="100" w:afterAutospacing="1" w:line="240" w:lineRule="auto"/>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
    <w:semiHidden/>
    <w:unhideWhenUsed/>
    <w:qFormat/>
    <w:rsid w:val="00507F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7F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7F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7F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7F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7F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7F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474F"/>
    <w:rPr>
      <w:rFonts w:ascii="Arial" w:hAnsi="Arial" w:cs="Arial"/>
      <w:b/>
      <w:bCs/>
      <w:sz w:val="32"/>
      <w:szCs w:val="32"/>
    </w:rPr>
  </w:style>
  <w:style w:type="character" w:customStyle="1" w:styleId="Heading2Char">
    <w:name w:val="Heading 2 Char"/>
    <w:basedOn w:val="DefaultParagraphFont"/>
    <w:link w:val="Heading2"/>
    <w:uiPriority w:val="9"/>
    <w:rsid w:val="0062474F"/>
    <w:rPr>
      <w:rFonts w:ascii="Arial" w:eastAsia="Times New Roman" w:hAnsi="Arial" w:cs="Arial"/>
      <w:b/>
      <w:bCs/>
      <w:i/>
      <w:iCs/>
      <w:sz w:val="28"/>
      <w:szCs w:val="28"/>
    </w:rPr>
  </w:style>
  <w:style w:type="character" w:customStyle="1" w:styleId="Heading3Char">
    <w:name w:val="Heading 3 Char"/>
    <w:basedOn w:val="DefaultParagraphFont"/>
    <w:link w:val="Heading3"/>
    <w:uiPriority w:val="9"/>
    <w:semiHidden/>
    <w:rsid w:val="00507F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7F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7F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7F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7F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7F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7FBF"/>
    <w:rPr>
      <w:rFonts w:eastAsiaTheme="majorEastAsia" w:cstheme="majorBidi"/>
      <w:color w:val="272727" w:themeColor="text1" w:themeTint="D8"/>
    </w:rPr>
  </w:style>
  <w:style w:type="paragraph" w:styleId="Title">
    <w:name w:val="Title"/>
    <w:basedOn w:val="Normal"/>
    <w:next w:val="Normal"/>
    <w:link w:val="TitleChar"/>
    <w:uiPriority w:val="10"/>
    <w:qFormat/>
    <w:rsid w:val="00507F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7F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7F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7F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7FBF"/>
    <w:pPr>
      <w:spacing w:before="160"/>
      <w:jc w:val="center"/>
    </w:pPr>
    <w:rPr>
      <w:i/>
      <w:iCs/>
      <w:color w:val="404040" w:themeColor="text1" w:themeTint="BF"/>
    </w:rPr>
  </w:style>
  <w:style w:type="character" w:customStyle="1" w:styleId="QuoteChar">
    <w:name w:val="Quote Char"/>
    <w:basedOn w:val="DefaultParagraphFont"/>
    <w:link w:val="Quote"/>
    <w:uiPriority w:val="29"/>
    <w:rsid w:val="00507FBF"/>
    <w:rPr>
      <w:i/>
      <w:iCs/>
      <w:color w:val="404040" w:themeColor="text1" w:themeTint="BF"/>
    </w:rPr>
  </w:style>
  <w:style w:type="paragraph" w:styleId="ListParagraph">
    <w:name w:val="List Paragraph"/>
    <w:basedOn w:val="Normal"/>
    <w:uiPriority w:val="34"/>
    <w:qFormat/>
    <w:rsid w:val="00507FBF"/>
    <w:pPr>
      <w:ind w:left="720"/>
      <w:contextualSpacing/>
    </w:pPr>
  </w:style>
  <w:style w:type="character" w:styleId="IntenseEmphasis">
    <w:name w:val="Intense Emphasis"/>
    <w:basedOn w:val="DefaultParagraphFont"/>
    <w:uiPriority w:val="21"/>
    <w:qFormat/>
    <w:rsid w:val="00507FBF"/>
    <w:rPr>
      <w:i/>
      <w:iCs/>
      <w:color w:val="0F4761" w:themeColor="accent1" w:themeShade="BF"/>
    </w:rPr>
  </w:style>
  <w:style w:type="paragraph" w:styleId="IntenseQuote">
    <w:name w:val="Intense Quote"/>
    <w:basedOn w:val="Normal"/>
    <w:next w:val="Normal"/>
    <w:link w:val="IntenseQuoteChar"/>
    <w:uiPriority w:val="30"/>
    <w:qFormat/>
    <w:rsid w:val="00507F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7FBF"/>
    <w:rPr>
      <w:i/>
      <w:iCs/>
      <w:color w:val="0F4761" w:themeColor="accent1" w:themeShade="BF"/>
    </w:rPr>
  </w:style>
  <w:style w:type="character" w:styleId="IntenseReference">
    <w:name w:val="Intense Reference"/>
    <w:basedOn w:val="DefaultParagraphFont"/>
    <w:uiPriority w:val="32"/>
    <w:qFormat/>
    <w:rsid w:val="00507FBF"/>
    <w:rPr>
      <w:b/>
      <w:bCs/>
      <w:smallCaps/>
      <w:color w:val="0F4761" w:themeColor="accent1" w:themeShade="BF"/>
      <w:spacing w:val="5"/>
    </w:rPr>
  </w:style>
  <w:style w:type="paragraph" w:customStyle="1" w:styleId="p1">
    <w:name w:val="p1"/>
    <w:basedOn w:val="Normal"/>
    <w:rsid w:val="00871AF3"/>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TOCHeading">
    <w:name w:val="TOC Heading"/>
    <w:basedOn w:val="Heading1"/>
    <w:next w:val="Normal"/>
    <w:uiPriority w:val="39"/>
    <w:unhideWhenUsed/>
    <w:qFormat/>
    <w:rsid w:val="0062474F"/>
    <w:pPr>
      <w:keepNext/>
      <w:keepLines/>
      <w:tabs>
        <w:tab w:val="clear" w:pos="2520"/>
      </w:tabs>
      <w:spacing w:before="240" w:after="0"/>
      <w:outlineLvl w:val="9"/>
    </w:pPr>
    <w:rPr>
      <w:rFonts w:asciiTheme="majorHAnsi" w:eastAsiaTheme="majorEastAsia" w:hAnsiTheme="majorHAnsi" w:cstheme="majorBidi"/>
      <w:b w:val="0"/>
      <w:bCs w:val="0"/>
      <w:color w:val="0F4761" w:themeColor="accent1" w:themeShade="BF"/>
      <w:lang w:val="en-US"/>
    </w:rPr>
  </w:style>
  <w:style w:type="paragraph" w:styleId="TOC1">
    <w:name w:val="toc 1"/>
    <w:basedOn w:val="Normal"/>
    <w:next w:val="Normal"/>
    <w:autoRedefine/>
    <w:uiPriority w:val="39"/>
    <w:unhideWhenUsed/>
    <w:rsid w:val="0062474F"/>
    <w:pPr>
      <w:spacing w:after="100"/>
    </w:pPr>
  </w:style>
  <w:style w:type="paragraph" w:styleId="TOC2">
    <w:name w:val="toc 2"/>
    <w:basedOn w:val="Normal"/>
    <w:next w:val="Normal"/>
    <w:autoRedefine/>
    <w:uiPriority w:val="39"/>
    <w:unhideWhenUsed/>
    <w:rsid w:val="0062474F"/>
    <w:pPr>
      <w:spacing w:after="100"/>
      <w:ind w:left="220"/>
    </w:pPr>
  </w:style>
  <w:style w:type="character" w:styleId="Hyperlink">
    <w:name w:val="Hyperlink"/>
    <w:basedOn w:val="DefaultParagraphFont"/>
    <w:uiPriority w:val="99"/>
    <w:unhideWhenUsed/>
    <w:rsid w:val="0062474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FFAEAB-1D13-44A8-BE02-4CF6F88831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30</Pages>
  <Words>10517</Words>
  <Characters>59950</Characters>
  <Application>Microsoft Office Word</Application>
  <DocSecurity>0</DocSecurity>
  <Lines>499</Lines>
  <Paragraphs>140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70327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Djaoui,Nicholas swp8779</dc:creator>
  <cp:keywords/>
  <dc:description/>
  <cp:lastModifiedBy>Djaoui,Nicholas swp8779</cp:lastModifiedBy>
  <cp:revision>3</cp:revision>
  <dcterms:created xsi:type="dcterms:W3CDTF">2026-06-21T10:38:00Z</dcterms:created>
  <dcterms:modified xsi:type="dcterms:W3CDTF">2026-06-21T19:53:00Z</dcterms:modified>
</cp:coreProperties>
</file>