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1FA4F0">
      <w:pPr>
        <w:pStyle w:val="14"/>
        <w:rPr>
          <w:rFonts w:hint="default"/>
          <w:sz w:val="44"/>
          <w:szCs w:val="48"/>
          <w:lang w:val="en-US"/>
        </w:rPr>
      </w:pPr>
    </w:p>
    <w:p w14:paraId="671F9DEB">
      <w:pPr>
        <w:pStyle w:val="14"/>
        <w:rPr>
          <w:sz w:val="44"/>
          <w:szCs w:val="48"/>
        </w:rPr>
      </w:pPr>
      <w:r>
        <w:rPr>
          <w:rFonts w:hint="default"/>
          <w:sz w:val="44"/>
          <w:szCs w:val="48"/>
          <w:lang w:val="en-US"/>
        </w:rPr>
        <w:t>Course</w:t>
      </w:r>
      <w:r>
        <w:rPr>
          <w:sz w:val="44"/>
          <w:szCs w:val="48"/>
        </w:rPr>
        <w:t>: Master of Business Administration</w:t>
      </w:r>
    </w:p>
    <w:p w14:paraId="08CAF101">
      <w:pPr>
        <w:pStyle w:val="14"/>
      </w:pPr>
    </w:p>
    <w:p w14:paraId="6FC6C7FA">
      <w:pPr>
        <w:pStyle w:val="14"/>
      </w:pPr>
      <w:r>
        <w:t xml:space="preserve">LCMB7024: Marketing Management </w:t>
      </w:r>
    </w:p>
    <w:p w14:paraId="3ABD4D11">
      <w:pPr>
        <w:pStyle w:val="14"/>
      </w:pPr>
      <w:r>
        <w:t>Assessment 1: Essay</w:t>
      </w:r>
    </w:p>
    <w:p w14:paraId="05808222"/>
    <w:p w14:paraId="0BDFB6F2"/>
    <w:p w14:paraId="380A9C5E"/>
    <w:p w14:paraId="417760E2"/>
    <w:p w14:paraId="610363D9"/>
    <w:p w14:paraId="1635DFD1">
      <w:pPr>
        <w:jc w:val="center"/>
      </w:pPr>
    </w:p>
    <w:p w14:paraId="73B51AFC">
      <w:pPr>
        <w:jc w:val="center"/>
        <w:rPr>
          <w:rFonts w:hint="default"/>
          <w:lang w:val="en-US"/>
        </w:rPr>
      </w:pPr>
      <w:r>
        <w:t>Student Name</w:t>
      </w:r>
      <w:r>
        <w:rPr>
          <w:rFonts w:hint="default"/>
          <w:lang w:val="en-US"/>
        </w:rPr>
        <w:t xml:space="preserve"> </w:t>
      </w:r>
      <w:r>
        <w:t>-</w:t>
      </w:r>
      <w:r>
        <w:rPr>
          <w:rFonts w:hint="default"/>
          <w:lang w:val="en-US"/>
        </w:rPr>
        <w:t xml:space="preserve"> Minal Ramani</w:t>
      </w:r>
    </w:p>
    <w:p w14:paraId="62F10A31">
      <w:pPr>
        <w:jc w:val="center"/>
        <w:rPr>
          <w:rFonts w:hint="default"/>
          <w:lang w:val="en-US"/>
        </w:rPr>
      </w:pPr>
      <w:r>
        <w:t>Student ID</w:t>
      </w:r>
      <w:r>
        <w:rPr>
          <w:rFonts w:hint="default"/>
          <w:lang w:val="en-US"/>
        </w:rPr>
        <w:t xml:space="preserve"> </w:t>
      </w:r>
      <w:r>
        <w:t>-</w:t>
      </w:r>
      <w:r>
        <w:rPr>
          <w:rFonts w:hint="default"/>
          <w:lang w:val="en-US"/>
        </w:rPr>
        <w:t xml:space="preserve"> 2423401</w:t>
      </w:r>
    </w:p>
    <w:p w14:paraId="09E6DEFC">
      <w:pPr>
        <w:jc w:val="center"/>
        <w:rPr>
          <w:rFonts w:hint="default"/>
          <w:lang w:val="en-US"/>
        </w:rPr>
      </w:pPr>
      <w:r>
        <w:t>Lecturer's Name</w:t>
      </w:r>
      <w:r>
        <w:rPr>
          <w:rFonts w:hint="default"/>
          <w:lang w:val="en-US"/>
        </w:rPr>
        <w:t xml:space="preserve"> </w:t>
      </w:r>
      <w:r>
        <w:t>-</w:t>
      </w:r>
      <w:r>
        <w:rPr>
          <w:rFonts w:hint="default"/>
          <w:lang w:val="en-US"/>
        </w:rPr>
        <w:t xml:space="preserve"> Laila Maazouz</w:t>
      </w:r>
    </w:p>
    <w:p w14:paraId="33810B72">
      <w:pPr>
        <w:spacing w:line="259" w:lineRule="auto"/>
        <w:jc w:val="left"/>
      </w:pPr>
      <w:r>
        <w:br w:type="page"/>
      </w:r>
    </w:p>
    <w:sdt>
      <w:sdtPr>
        <w:id w:val="-1488165848"/>
        <w:docPartObj>
          <w:docPartGallery w:val="Table of Contents"/>
          <w:docPartUnique/>
        </w:docPartObj>
      </w:sdtPr>
      <w:sdtEndPr>
        <w:rPr>
          <w:rFonts w:eastAsiaTheme="minorHAnsi" w:cstheme="minorBidi"/>
          <w:bCs/>
          <w:szCs w:val="20"/>
          <w:lang w:val="en-GB" w:bidi="hi-IN"/>
        </w:rPr>
      </w:sdtEndPr>
      <w:sdtContent>
        <w:p w14:paraId="2260D2E3">
          <w:pPr>
            <w:pStyle w:val="17"/>
          </w:pPr>
          <w:r>
            <w:t>Table of Contents</w:t>
          </w:r>
        </w:p>
        <w:p w14:paraId="64BFEE26">
          <w:pPr>
            <w:pStyle w:val="15"/>
            <w:tabs>
              <w:tab w:val="right" w:leader="dot" w:pos="9350"/>
            </w:tabs>
            <w:rPr>
              <w:rFonts w:asciiTheme="minorHAnsi" w:hAnsiTheme="minorHAnsi" w:eastAsiaTheme="minorEastAsia"/>
              <w:sz w:val="22"/>
              <w:lang w:val="en-US"/>
            </w:rPr>
          </w:pPr>
          <w:r>
            <w:fldChar w:fldCharType="begin"/>
          </w:r>
          <w:r>
            <w:instrText xml:space="preserve"> TOC \o "1-3" \h \z \u </w:instrText>
          </w:r>
          <w:r>
            <w:fldChar w:fldCharType="separate"/>
          </w:r>
          <w:r>
            <w:fldChar w:fldCharType="begin"/>
          </w:r>
          <w:r>
            <w:instrText xml:space="preserve"> HYPERLINK \l "_Toc193393091" </w:instrText>
          </w:r>
          <w:r>
            <w:fldChar w:fldCharType="separate"/>
          </w:r>
          <w:r>
            <w:rPr>
              <w:rStyle w:val="11"/>
            </w:rPr>
            <w:t>Introduction</w:t>
          </w:r>
          <w:r>
            <w:tab/>
          </w:r>
          <w:r>
            <w:fldChar w:fldCharType="begin"/>
          </w:r>
          <w:r>
            <w:instrText xml:space="preserve"> PAGEREF _Toc193393091 \h </w:instrText>
          </w:r>
          <w:r>
            <w:fldChar w:fldCharType="separate"/>
          </w:r>
          <w:r>
            <w:t>3</w:t>
          </w:r>
          <w:r>
            <w:fldChar w:fldCharType="end"/>
          </w:r>
          <w:r>
            <w:fldChar w:fldCharType="end"/>
          </w:r>
        </w:p>
        <w:p w14:paraId="7DAE3A62">
          <w:pPr>
            <w:pStyle w:val="15"/>
            <w:tabs>
              <w:tab w:val="right" w:leader="dot" w:pos="9350"/>
            </w:tabs>
            <w:rPr>
              <w:rFonts w:asciiTheme="minorHAnsi" w:hAnsiTheme="minorHAnsi" w:eastAsiaTheme="minorEastAsia"/>
              <w:sz w:val="22"/>
              <w:lang w:val="en-US"/>
            </w:rPr>
          </w:pPr>
          <w:r>
            <w:fldChar w:fldCharType="begin"/>
          </w:r>
          <w:r>
            <w:instrText xml:space="preserve"> HYPERLINK \l "_Toc193393092" </w:instrText>
          </w:r>
          <w:r>
            <w:fldChar w:fldCharType="separate"/>
          </w:r>
          <w:r>
            <w:rPr>
              <w:rStyle w:val="11"/>
            </w:rPr>
            <w:t>Advantages of Being a Pioneer</w:t>
          </w:r>
          <w:r>
            <w:tab/>
          </w:r>
          <w:r>
            <w:fldChar w:fldCharType="begin"/>
          </w:r>
          <w:r>
            <w:instrText xml:space="preserve"> PAGEREF _Toc193393092 \h </w:instrText>
          </w:r>
          <w:r>
            <w:fldChar w:fldCharType="separate"/>
          </w:r>
          <w:r>
            <w:t>4</w:t>
          </w:r>
          <w:r>
            <w:fldChar w:fldCharType="end"/>
          </w:r>
          <w:r>
            <w:fldChar w:fldCharType="end"/>
          </w:r>
        </w:p>
        <w:p w14:paraId="4641D5CC">
          <w:pPr>
            <w:pStyle w:val="15"/>
            <w:tabs>
              <w:tab w:val="right" w:leader="dot" w:pos="9350"/>
            </w:tabs>
            <w:rPr>
              <w:rFonts w:asciiTheme="minorHAnsi" w:hAnsiTheme="minorHAnsi" w:eastAsiaTheme="minorEastAsia"/>
              <w:sz w:val="22"/>
              <w:lang w:val="en-US"/>
            </w:rPr>
          </w:pPr>
          <w:r>
            <w:fldChar w:fldCharType="begin"/>
          </w:r>
          <w:r>
            <w:instrText xml:space="preserve"> HYPERLINK \l "_Toc193393093" </w:instrText>
          </w:r>
          <w:r>
            <w:fldChar w:fldCharType="separate"/>
          </w:r>
          <w:r>
            <w:rPr>
              <w:rStyle w:val="11"/>
            </w:rPr>
            <w:t>Advantages of Being a Follower</w:t>
          </w:r>
          <w:r>
            <w:tab/>
          </w:r>
          <w:r>
            <w:fldChar w:fldCharType="begin"/>
          </w:r>
          <w:r>
            <w:instrText xml:space="preserve"> PAGEREF _Toc193393093 \h </w:instrText>
          </w:r>
          <w:r>
            <w:fldChar w:fldCharType="separate"/>
          </w:r>
          <w:r>
            <w:t>5</w:t>
          </w:r>
          <w:r>
            <w:fldChar w:fldCharType="end"/>
          </w:r>
          <w:r>
            <w:fldChar w:fldCharType="end"/>
          </w:r>
        </w:p>
        <w:p w14:paraId="1FEF19B4">
          <w:pPr>
            <w:pStyle w:val="15"/>
            <w:tabs>
              <w:tab w:val="right" w:leader="dot" w:pos="9350"/>
            </w:tabs>
            <w:rPr>
              <w:rFonts w:asciiTheme="minorHAnsi" w:hAnsiTheme="minorHAnsi" w:eastAsiaTheme="minorEastAsia"/>
              <w:sz w:val="22"/>
              <w:lang w:val="en-US"/>
            </w:rPr>
          </w:pPr>
          <w:r>
            <w:fldChar w:fldCharType="begin"/>
          </w:r>
          <w:r>
            <w:instrText xml:space="preserve"> HYPERLINK \l "_Toc193393094" </w:instrText>
          </w:r>
          <w:r>
            <w:fldChar w:fldCharType="separate"/>
          </w:r>
          <w:r>
            <w:rPr>
              <w:rStyle w:val="11"/>
              <w:lang w:val="en-US"/>
            </w:rPr>
            <w:t>Product Life Cycle (PLC) Strategies of Pioneer and Follower Companies</w:t>
          </w:r>
          <w:r>
            <w:tab/>
          </w:r>
          <w:r>
            <w:fldChar w:fldCharType="begin"/>
          </w:r>
          <w:r>
            <w:instrText xml:space="preserve"> PAGEREF _Toc193393094 \h </w:instrText>
          </w:r>
          <w:r>
            <w:fldChar w:fldCharType="separate"/>
          </w:r>
          <w:r>
            <w:t>8</w:t>
          </w:r>
          <w:r>
            <w:fldChar w:fldCharType="end"/>
          </w:r>
          <w:r>
            <w:fldChar w:fldCharType="end"/>
          </w:r>
        </w:p>
        <w:p w14:paraId="270BF33E">
          <w:pPr>
            <w:pStyle w:val="15"/>
            <w:tabs>
              <w:tab w:val="right" w:leader="dot" w:pos="9350"/>
            </w:tabs>
            <w:rPr>
              <w:rFonts w:asciiTheme="minorHAnsi" w:hAnsiTheme="minorHAnsi" w:eastAsiaTheme="minorEastAsia"/>
              <w:sz w:val="22"/>
              <w:lang w:val="en-US"/>
            </w:rPr>
          </w:pPr>
          <w:r>
            <w:fldChar w:fldCharType="begin"/>
          </w:r>
          <w:r>
            <w:instrText xml:space="preserve"> HYPERLINK \l "_Toc193393095" </w:instrText>
          </w:r>
          <w:r>
            <w:fldChar w:fldCharType="separate"/>
          </w:r>
          <w:r>
            <w:rPr>
              <w:rStyle w:val="11"/>
            </w:rPr>
            <w:t>Critical Evaluation</w:t>
          </w:r>
          <w:r>
            <w:tab/>
          </w:r>
          <w:r>
            <w:fldChar w:fldCharType="begin"/>
          </w:r>
          <w:r>
            <w:instrText xml:space="preserve"> PAGEREF _Toc193393095 \h </w:instrText>
          </w:r>
          <w:r>
            <w:fldChar w:fldCharType="separate"/>
          </w:r>
          <w:r>
            <w:t>10</w:t>
          </w:r>
          <w:r>
            <w:fldChar w:fldCharType="end"/>
          </w:r>
          <w:r>
            <w:fldChar w:fldCharType="end"/>
          </w:r>
        </w:p>
        <w:p w14:paraId="4E565F7F">
          <w:pPr>
            <w:pStyle w:val="15"/>
            <w:tabs>
              <w:tab w:val="right" w:leader="dot" w:pos="9350"/>
            </w:tabs>
            <w:rPr>
              <w:rFonts w:asciiTheme="minorHAnsi" w:hAnsiTheme="minorHAnsi" w:eastAsiaTheme="minorEastAsia"/>
              <w:sz w:val="22"/>
              <w:lang w:val="en-US"/>
            </w:rPr>
          </w:pPr>
          <w:r>
            <w:fldChar w:fldCharType="begin"/>
          </w:r>
          <w:r>
            <w:instrText xml:space="preserve"> HYPERLINK \l "_Toc193393096" </w:instrText>
          </w:r>
          <w:r>
            <w:fldChar w:fldCharType="separate"/>
          </w:r>
          <w:r>
            <w:rPr>
              <w:rStyle w:val="11"/>
              <w:lang w:val="en-US"/>
            </w:rPr>
            <w:t>Conclusion</w:t>
          </w:r>
          <w:r>
            <w:tab/>
          </w:r>
          <w:r>
            <w:fldChar w:fldCharType="begin"/>
          </w:r>
          <w:r>
            <w:instrText xml:space="preserve"> PAGEREF _Toc193393096 \h </w:instrText>
          </w:r>
          <w:r>
            <w:fldChar w:fldCharType="separate"/>
          </w:r>
          <w:r>
            <w:t>12</w:t>
          </w:r>
          <w:r>
            <w:fldChar w:fldCharType="end"/>
          </w:r>
          <w:r>
            <w:fldChar w:fldCharType="end"/>
          </w:r>
        </w:p>
        <w:p w14:paraId="5943EA21">
          <w:pPr>
            <w:pStyle w:val="15"/>
            <w:tabs>
              <w:tab w:val="right" w:leader="dot" w:pos="9350"/>
            </w:tabs>
            <w:rPr>
              <w:rFonts w:asciiTheme="minorHAnsi" w:hAnsiTheme="minorHAnsi" w:eastAsiaTheme="minorEastAsia"/>
              <w:sz w:val="22"/>
              <w:lang w:val="en-US"/>
            </w:rPr>
          </w:pPr>
          <w:r>
            <w:fldChar w:fldCharType="begin"/>
          </w:r>
          <w:r>
            <w:instrText xml:space="preserve"> HYPERLINK \l "_Toc193393097" </w:instrText>
          </w:r>
          <w:r>
            <w:fldChar w:fldCharType="separate"/>
          </w:r>
          <w:r>
            <w:rPr>
              <w:rStyle w:val="11"/>
              <w:lang w:val="en-US"/>
            </w:rPr>
            <w:t>References</w:t>
          </w:r>
          <w:r>
            <w:tab/>
          </w:r>
          <w:r>
            <w:fldChar w:fldCharType="begin"/>
          </w:r>
          <w:r>
            <w:instrText xml:space="preserve"> PAGEREF _Toc193393097 \h </w:instrText>
          </w:r>
          <w:r>
            <w:fldChar w:fldCharType="separate"/>
          </w:r>
          <w:r>
            <w:t>13</w:t>
          </w:r>
          <w:r>
            <w:fldChar w:fldCharType="end"/>
          </w:r>
          <w:r>
            <w:fldChar w:fldCharType="end"/>
          </w:r>
        </w:p>
        <w:p w14:paraId="1027A22A">
          <w:r>
            <w:rPr>
              <w:b/>
              <w:bCs/>
            </w:rPr>
            <w:fldChar w:fldCharType="end"/>
          </w:r>
        </w:p>
      </w:sdtContent>
    </w:sdt>
    <w:p w14:paraId="1327D94B">
      <w:pPr>
        <w:pStyle w:val="17"/>
      </w:pPr>
      <w:r>
        <w:t>Table of Figures</w:t>
      </w:r>
      <w:r>
        <w:fldChar w:fldCharType="begin"/>
      </w:r>
      <w:r>
        <w:instrText xml:space="preserve"> TOC \h \z \c "Figure" </w:instrText>
      </w:r>
      <w:r>
        <w:fldChar w:fldCharType="separate"/>
      </w:r>
    </w:p>
    <w:p w14:paraId="0ED9B09B">
      <w:pPr>
        <w:pStyle w:val="13"/>
        <w:tabs>
          <w:tab w:val="right" w:leader="dot" w:pos="9350"/>
        </w:tabs>
        <w:rPr>
          <w:rFonts w:asciiTheme="minorHAnsi" w:hAnsiTheme="minorHAnsi" w:eastAsiaTheme="minorEastAsia"/>
          <w:sz w:val="22"/>
          <w:lang w:val="en-US"/>
        </w:rPr>
      </w:pPr>
      <w:r>
        <w:fldChar w:fldCharType="begin"/>
      </w:r>
      <w:r>
        <w:instrText xml:space="preserve"> HYPERLINK \l "_Toc193393098" </w:instrText>
      </w:r>
      <w:r>
        <w:fldChar w:fldCharType="separate"/>
      </w:r>
      <w:r>
        <w:rPr>
          <w:rStyle w:val="11"/>
        </w:rPr>
        <w:t>Figure 1</w:t>
      </w:r>
      <w:r>
        <w:rPr>
          <w:rStyle w:val="11"/>
          <w:lang w:val="en-US"/>
        </w:rPr>
        <w:t>: Advantages of Pioneer and Follower strategy</w:t>
      </w:r>
      <w:r>
        <w:tab/>
      </w:r>
      <w:r>
        <w:fldChar w:fldCharType="begin"/>
      </w:r>
      <w:r>
        <w:instrText xml:space="preserve"> PAGEREF _Toc193393098 \h </w:instrText>
      </w:r>
      <w:r>
        <w:fldChar w:fldCharType="separate"/>
      </w:r>
      <w:r>
        <w:t>7</w:t>
      </w:r>
      <w:r>
        <w:fldChar w:fldCharType="end"/>
      </w:r>
      <w:r>
        <w:fldChar w:fldCharType="end"/>
      </w:r>
    </w:p>
    <w:p w14:paraId="1A21E048">
      <w:pPr>
        <w:pStyle w:val="13"/>
        <w:tabs>
          <w:tab w:val="right" w:leader="dot" w:pos="9350"/>
        </w:tabs>
        <w:rPr>
          <w:rFonts w:asciiTheme="minorHAnsi" w:hAnsiTheme="minorHAnsi" w:eastAsiaTheme="minorEastAsia"/>
          <w:sz w:val="22"/>
          <w:lang w:val="en-US"/>
        </w:rPr>
      </w:pPr>
      <w:r>
        <w:fldChar w:fldCharType="begin"/>
      </w:r>
      <w:r>
        <w:instrText xml:space="preserve"> HYPERLINK \l "_Toc193393099" </w:instrText>
      </w:r>
      <w:r>
        <w:fldChar w:fldCharType="separate"/>
      </w:r>
      <w:r>
        <w:rPr>
          <w:rStyle w:val="11"/>
        </w:rPr>
        <w:t>Figure 2</w:t>
      </w:r>
      <w:r>
        <w:rPr>
          <w:rStyle w:val="11"/>
          <w:lang w:val="en-US"/>
        </w:rPr>
        <w:t>: PLC Stages</w:t>
      </w:r>
      <w:r>
        <w:tab/>
      </w:r>
      <w:r>
        <w:fldChar w:fldCharType="begin"/>
      </w:r>
      <w:r>
        <w:instrText xml:space="preserve"> PAGEREF _Toc193393099 \h </w:instrText>
      </w:r>
      <w:r>
        <w:fldChar w:fldCharType="separate"/>
      </w:r>
      <w:r>
        <w:t>8</w:t>
      </w:r>
      <w:r>
        <w:fldChar w:fldCharType="end"/>
      </w:r>
      <w:r>
        <w:fldChar w:fldCharType="end"/>
      </w:r>
    </w:p>
    <w:p w14:paraId="1606AACE">
      <w:pPr>
        <w:pStyle w:val="17"/>
        <w:rPr>
          <w:szCs w:val="29"/>
        </w:rPr>
      </w:pPr>
      <w:r>
        <w:fldChar w:fldCharType="end"/>
      </w:r>
      <w:r>
        <w:br w:type="page"/>
      </w:r>
    </w:p>
    <w:p w14:paraId="4F705DE3">
      <w:pPr>
        <w:pStyle w:val="2"/>
      </w:pPr>
      <w:bookmarkStart w:id="0" w:name="_Toc193393091"/>
      <w:r>
        <w:rPr>
          <w:rFonts w:hint="default"/>
          <w:lang w:val="en-US"/>
        </w:rPr>
        <w:t xml:space="preserve"> </w:t>
      </w:r>
      <w:r>
        <w:t>Introduction</w:t>
      </w:r>
      <w:bookmarkEnd w:id="0"/>
    </w:p>
    <w:p w14:paraId="03D70909">
      <w:pPr>
        <w:ind w:firstLine="600" w:firstLineChars="250"/>
      </w:pPr>
      <w:r>
        <w:rPr>
          <w:rFonts w:hint="default"/>
          <w:lang w:val="en-US"/>
        </w:rPr>
        <w:t xml:space="preserve">The </w:t>
      </w:r>
      <w:r>
        <w:t>Timing of product or technology introduction in today's hyper-competitive technology-oriented business world can be a key to business success. The degree of market share acquired, customer loyalty acquired and competitive advantage achieved is determined to some degree by making more accurate strategic decisions on being a pioneer through introducing a product to a market or being a later mover with product upgrades. Companies have to make a strategic decision on adopting a pioneer strategy through being a first-mover to a market or a follower strategy through being a later mover after the pioneer and capturing latent demand while avoiding uncertainty and risk of being first to a promising market.</w:t>
      </w:r>
    </w:p>
    <w:p w14:paraId="0048E564">
      <w:pPr>
        <w:ind w:firstLine="600" w:firstLineChars="250"/>
      </w:pPr>
      <w:r>
        <w:t xml:space="preserve">A pioneer or </w:t>
      </w:r>
      <w:r>
        <w:rPr>
          <w:lang w:val="en-US"/>
        </w:rPr>
        <w:t xml:space="preserve">first </w:t>
      </w:r>
      <w:r>
        <w:t>mover is a company that attempts to capture market space by introducing pioneering solutions to market ahead of rivals to gain the benefits of market dominance, brand recognition, and industry standard-setting. As opposed to that, later-mover or follower companies can enjoy lower risk, research costs, smaller research, and room to improve existing products based on customer feedback and market trends.</w:t>
      </w:r>
    </w:p>
    <w:p w14:paraId="5F48C6CE">
      <w:pPr>
        <w:ind w:firstLine="600" w:firstLineChars="250"/>
      </w:pPr>
      <w:r>
        <w:t>Using this essay, critically analyse the advantages of both pioneer and follower strategies with real-world examples to identify effective applications of both. Apart from that, this will also analyse product life cycle strategies undertaken by such businesses to continue to grow and maintain a competitive advantage. This essay will also analyse the impact of data analytics, digital tools, and automation technology on timing decision making in today's disrupted world.</w:t>
      </w:r>
    </w:p>
    <w:p w14:paraId="2A804F31"/>
    <w:p w14:paraId="46C0DF67"/>
    <w:p w14:paraId="63F7D976">
      <w:r>
        <w:br w:type="textWrapping"/>
      </w:r>
    </w:p>
    <w:p w14:paraId="6F70072A">
      <w:r>
        <w:br w:type="page"/>
      </w:r>
    </w:p>
    <w:p w14:paraId="11E01D6D">
      <w:pPr>
        <w:pStyle w:val="2"/>
      </w:pPr>
      <w:bookmarkStart w:id="1" w:name="_Toc193393092"/>
      <w:r>
        <w:t>Advantages of Being a Pioneer</w:t>
      </w:r>
      <w:bookmarkEnd w:id="1"/>
    </w:p>
    <w:p w14:paraId="3765CCAB">
      <w:pPr>
        <w:ind w:firstLine="720" w:firstLineChars="300"/>
      </w:pPr>
      <w:r>
        <w:rPr>
          <w:b/>
          <w:bCs/>
        </w:rPr>
        <w:t>First mover advantage</w:t>
      </w:r>
      <w:r>
        <w:t xml:space="preserve"> in executive marketing strategy refers to advantages that accrue to the original prominent occupant of a marketplace. This is referred to as first mover advantage, in that a business can move into the market ahead of other competitors (Zou et al., 2024, p.5) and thus reap early brand building, customer loyalty, and ability to influence customer preference and industry standards. Although the first-mover approach has risks like high research and development (R&amp;D) spending and uncertainty of the market, several pioneering businesses have harnessed such first-mover benefits and beaten their competitors (Kalisty and Dudziuk, 2024, p.31).</w:t>
      </w:r>
    </w:p>
    <w:p w14:paraId="3CCBB693">
      <w:pPr>
        <w:ind w:firstLine="720" w:firstLineChars="300"/>
      </w:pPr>
      <w:r>
        <w:t xml:space="preserve">The early entrants' advantage is customer loyalty and brand recognition. The initial movers become deeply equated with the product or service such that they create a mental association in customers' minds (Gantsho et al., 2024, p.1). Such early recognition helps in developing brand loyalty; people tend to stick with a company that they see as innovative and dependable. </w:t>
      </w:r>
      <w:r>
        <w:rPr>
          <w:b/>
          <w:bCs/>
        </w:rPr>
        <w:t>For example, with the introduction of the iPhone in 2007, Apple Inc.</w:t>
      </w:r>
      <w:r>
        <w:t xml:space="preserve"> (Cecere et al., 2015, p.1) shook up the cell phone industry by bringing together a beautiful design, touch interface, and integrated ecosystem of applications. As a pioneer, Apple built a good brand image that was equated with being quality-oriented and innovative, resulting in high customer retention with a capacity to command premium prices. Being in the top position in making quality products, Apple built a loyal customer base that has helped it to maintain its evolution in a competitive business environment.</w:t>
      </w:r>
    </w:p>
    <w:p w14:paraId="53C88223">
      <w:pPr>
        <w:ind w:firstLine="720" w:firstLineChars="300"/>
      </w:pPr>
      <w:r>
        <w:t xml:space="preserve">Other intrinsic benefits of pioneering are technological leadership and patent rights. Leaders often tend to be pioneers with early introductions to technology and processes that take years to be copied by other players. Pioneers invest a considerable amount of capital in R&amp;D to produce distinct offerings and acquire rights like intellectual and patent rights over such innovations (Chen, Ma and Sun, 2024). The exclusivity allows them to start with little competition to offer high profit margins and long-term market control. </w:t>
      </w:r>
      <w:r>
        <w:rPr>
          <w:b/>
          <w:bCs/>
        </w:rPr>
        <w:t>For instance, Tesla,</w:t>
      </w:r>
      <w:r>
        <w:t xml:space="preserve"> became a pioneer in the </w:t>
      </w:r>
      <w:r>
        <w:rPr>
          <w:b/>
          <w:bCs/>
        </w:rPr>
        <w:t>electric vehicle marketplace</w:t>
      </w:r>
      <w:r>
        <w:t>. By creating own battery technology, rolling out Superchargers or other charging stations worldwide, and applying over-the-air software upgrades, Tesla positioned itself as a technology firm . Its pioneering move not only attracted client trust but also built high entry barriers to other players, establishing its dominance in the EV market (</w:t>
      </w:r>
      <w:r>
        <w:rPr>
          <w:rFonts w:hint="default"/>
          <w:lang w:val="en-US"/>
        </w:rPr>
        <w:t xml:space="preserve"> </w:t>
      </w:r>
      <w:r>
        <w:rPr>
          <w:lang w:val="en-US"/>
        </w:rPr>
        <w:t xml:space="preserve">Przychodzen </w:t>
      </w:r>
      <w:r>
        <w:t xml:space="preserve"> et </w:t>
      </w:r>
      <w:r>
        <w:rPr>
          <w:lang w:val="en-US"/>
        </w:rPr>
        <w:t>Al</w:t>
      </w:r>
      <w:r>
        <w:t>., 2020, p.2).</w:t>
      </w:r>
    </w:p>
    <w:p w14:paraId="5041FA31">
      <w:pPr>
        <w:ind w:firstLine="840" w:firstLineChars="350"/>
      </w:pPr>
      <w:r>
        <w:t xml:space="preserve">Besides that, pioneers can create customer expectations and industry standards. The initial players can create product quality and feature standards and service models. These can become entrenched with time and can be hard to disrupt by later players. </w:t>
      </w:r>
      <w:r>
        <w:rPr>
          <w:b/>
          <w:bCs/>
        </w:rPr>
        <w:t>Amazon is such an example,</w:t>
      </w:r>
      <w:r>
        <w:t xml:space="preserve"> pioneering cloud computing and e-commerce logistics. By offering services like customized recommendations, single-click buying, and speedy delivery through one of the industry's largest logistics networks, Amazon changed online shopping. Apart from this, </w:t>
      </w:r>
      <w:r>
        <w:rPr>
          <w:b/>
          <w:bCs/>
        </w:rPr>
        <w:t>Amazon Web Services launch in 2006</w:t>
      </w:r>
      <w:r>
        <w:t xml:space="preserve"> positioned Amazon at the forefront of cloud services and competition standards around pricing, reliability, and customized scalability. As a result, Amazon has attained dominant market positions in retail as well as cloud computing (Hazlett, 2024).</w:t>
      </w:r>
    </w:p>
    <w:p w14:paraId="7ED114D6">
      <w:pPr>
        <w:ind w:firstLine="960" w:firstLineChars="400"/>
      </w:pPr>
      <w:r>
        <w:t>But pioneering companies does not always translate to long-term success and if a pioneer can continue to innovate, react to market feedback, and continue to enhance the value equation. Otherwise, it will be replaced by the follower with something enhanced at a lower price (CFI, 2023). But if implemented effectively, pioneering strategy can generate long-term value such as in take-off of such players like Amazon, Apple, as well as Tesla.</w:t>
      </w:r>
    </w:p>
    <w:p w14:paraId="3B864229">
      <w:pPr>
        <w:pStyle w:val="2"/>
      </w:pPr>
      <w:bookmarkStart w:id="2" w:name="_Toc193393093"/>
      <w:r>
        <w:t>Advantages of Being a Follower</w:t>
      </w:r>
      <w:bookmarkEnd w:id="2"/>
    </w:p>
    <w:p w14:paraId="1E244C59">
      <w:pPr>
        <w:ind w:firstLine="720" w:firstLineChars="300"/>
      </w:pPr>
      <w:r>
        <w:t>Here is a twist in the strategic marketing information; not every corporation wants to be a pioneer. Most have a follower’s strategy and enter markets after a pioneer has introduced a new technology or product. Such a strategy is referred to as the late-mover strategy and enables companies to watch what leaders do (Silver et al., 2021, p.3) and after witnessing their failures and successes, to make cheaper and quality products. Pioneers (Early-entrants) both have high cost and uncertainty and followers can benefit since followers take advantage of both free market power already achieved and available previous market information to it. The second movers have the advantage over pioneers because</w:t>
      </w:r>
      <w:bookmarkStart w:id="9" w:name="_GoBack"/>
      <w:bookmarkEnd w:id="9"/>
      <w:r>
        <w:t xml:space="preserve"> in some cases followers are surpassing the way pioneers do it through better strategies.</w:t>
      </w:r>
    </w:p>
    <w:p w14:paraId="0A8E27E4">
      <w:pPr>
        <w:ind w:firstLine="840" w:firstLineChars="350"/>
      </w:pPr>
      <w:r>
        <w:t xml:space="preserve">The greatest benefit of being a follower is that they can learn from pioneers’ mistakes. Pioneers have steep learning curves as they move into untested markets and technologies. Common early-stage challenges vary from technical challenges and regulatory challenges to reaching the right consumers. Followers can see such pitfalls and learn to do things differently (Silver et al., 2021, p.3). They learn through consumers’ feedback to the pioneer's products, gaps or complaints, and adapt their products to fit the market. It enables more informed decision-making and lower risk. </w:t>
      </w:r>
      <w:r>
        <w:rPr>
          <w:b/>
          <w:bCs/>
        </w:rPr>
        <w:t>For instance, Facebook (now Meta) ventured into social networking after MySpace</w:t>
      </w:r>
      <w:r>
        <w:t xml:space="preserve"> had already gained popularity in online social networking (Press, 2018). Facebook avoided MySpace's mistakes with user management and platform scalability and went on to create a more engaging and scalable product that conquered the social media war.</w:t>
      </w:r>
    </w:p>
    <w:p w14:paraId="416683BF">
      <w:pPr>
        <w:ind w:firstLine="840" w:firstLineChars="350"/>
      </w:pPr>
      <w:r>
        <w:t xml:space="preserve">Another </w:t>
      </w:r>
      <w:r>
        <w:rPr>
          <w:b/>
          <w:bCs/>
        </w:rPr>
        <w:t>important advantage is Pioneers</w:t>
      </w:r>
      <w:r>
        <w:t xml:space="preserve"> spend a great deal of time, capital, and imagination to create a product and bring it to market with a risk of losing a great deal of time and capital if the product does not sell to consumers. On the other hand, Followers can circumvent initial R&amp;D through reverse engineering (Liu et al., 2024, p.2, 22) or using already-existing technology or open research. They can then spend resources more effectively, such as product optimization, cost reduction, and advertising. </w:t>
      </w:r>
      <w:r>
        <w:rPr>
          <w:b/>
          <w:bCs/>
        </w:rPr>
        <w:t>For example, company Samsung copied company Apple</w:t>
      </w:r>
      <w:r>
        <w:t xml:space="preserve"> into the mobile telephone business but spent extravagantly to diversify and simplify core product features and release lots of different products to lots of different market niches (Kornelakis and Petrakaki, 2024, p.3). Using that same business model of Apple, Samsung was able to provide high-quality smartphones that covered all different price ranges and acquired a large portion of the global marketplace as one of the key players in the trade of mobile technologies.</w:t>
      </w:r>
    </w:p>
    <w:p w14:paraId="45B3B3F3">
      <w:pPr>
        <w:ind w:firstLine="840" w:firstLineChars="350"/>
      </w:pPr>
      <w:r>
        <w:rPr>
          <w:b/>
          <w:bCs/>
        </w:rPr>
        <w:t xml:space="preserve">Followers </w:t>
      </w:r>
      <w:r>
        <w:t xml:space="preserve">also appreciate market validation. Entering a market with already proven demand diminishes uncertainty regarding customer acceptance and fees of adoption. They have market information to time their entry and target a large scale and profitability. </w:t>
      </w:r>
      <w:r>
        <w:rPr>
          <w:b/>
          <w:bCs/>
        </w:rPr>
        <w:t>Such is evident with Toyota's emergence</w:t>
      </w:r>
      <w:r>
        <w:t xml:space="preserve"> as among leaders in the world's auto market. Instead of launching cars in nascent markets, therefore, Toyota wagered on mature markets like North America as well as Europe (Alonso, 2023) that already had their demand and infrastructure. Toyota's focus on being efficient, cost-effective, and reliable allowed it to acquire tremendous market share in particular with </w:t>
      </w:r>
      <w:r>
        <w:rPr>
          <w:b/>
          <w:bCs/>
        </w:rPr>
        <w:t>cars like Corolla and Camry</w:t>
      </w:r>
      <w:r>
        <w:t>.</w:t>
      </w:r>
    </w:p>
    <w:p w14:paraId="10A83416">
      <w:pPr>
        <w:ind w:firstLine="960" w:firstLineChars="400"/>
      </w:pPr>
      <w:r>
        <w:t>Along with that, late-movers can innovate incrementally. Instead of spending efforts and time to recreate the wheel, followers can innovate on top of existing products with value-added attributes, customer services that are enhanced (Naganathan, 2023). The ability to build on top of pioneer's foundations enables followers to have shorter time to market as customer demand and technology change. The practice increases product iteration speed and customer engagement, critical in competitive and innovative industries like technology and consumer products.</w:t>
      </w:r>
    </w:p>
    <w:p w14:paraId="1B869535">
      <w:pPr>
        <w:ind w:firstLine="600" w:firstLineChars="250"/>
      </w:pPr>
      <w:r>
        <w:t>But it's all a matter of doing it right, and achievement with a follower strategy relies on it. The late-movers should be creative, adaptable, and sensitive to variations in the marketplace. But to arrive at the wrong time is to risk missing out or to arrive at a time at which the market is already flooded with followers, and failing to differentiate themselves creatively from the pioneer is of little brand appreciation. But if done right, a follower strategy can generate competitive benefit, long-term expansion, along with marketplace supremacy</w:t>
      </w:r>
      <w:r>
        <w:rPr>
          <w:lang w:val="en-US"/>
        </w:rPr>
        <w:t>.</w:t>
      </w:r>
    </w:p>
    <w:p w14:paraId="598528CB">
      <w:pPr>
        <w:keepNext/>
        <w:jc w:val="center"/>
      </w:pPr>
      <w:r>
        <w:drawing>
          <wp:inline distT="0" distB="0" distL="0" distR="0">
            <wp:extent cx="5581650" cy="2186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5592418" cy="2191559"/>
                    </a:xfrm>
                    <a:prstGeom prst="rect">
                      <a:avLst/>
                    </a:prstGeom>
                  </pic:spPr>
                </pic:pic>
              </a:graphicData>
            </a:graphic>
          </wp:inline>
        </w:drawing>
      </w:r>
    </w:p>
    <w:p w14:paraId="2944E53A">
      <w:pPr>
        <w:pStyle w:val="8"/>
        <w:jc w:val="center"/>
        <w:rPr>
          <w:lang w:val="en-US"/>
        </w:rPr>
      </w:pPr>
      <w:bookmarkStart w:id="3" w:name="_Toc193393098"/>
      <w:r>
        <w:t xml:space="preserve">Figure </w:t>
      </w:r>
      <w:r>
        <w:fldChar w:fldCharType="begin"/>
      </w:r>
      <w:r>
        <w:instrText xml:space="preserve"> SEQ Figure \* ARABIC </w:instrText>
      </w:r>
      <w:r>
        <w:fldChar w:fldCharType="separate"/>
      </w:r>
      <w:r>
        <w:t>1</w:t>
      </w:r>
      <w:r>
        <w:fldChar w:fldCharType="end"/>
      </w:r>
      <w:r>
        <w:rPr>
          <w:lang w:val="en-US"/>
        </w:rPr>
        <w:t>: Advantages of Pioneer and Follower strategy</w:t>
      </w:r>
      <w:bookmarkEnd w:id="3"/>
    </w:p>
    <w:p w14:paraId="2EDA5C74">
      <w:pPr>
        <w:jc w:val="center"/>
        <w:rPr>
          <w:lang w:val="en-US"/>
        </w:rPr>
      </w:pPr>
      <w:r>
        <w:rPr>
          <w:lang w:val="en-US"/>
        </w:rPr>
        <w:t>Source: (Author, 2025)</w:t>
      </w:r>
    </w:p>
    <w:p w14:paraId="67DD4C35">
      <w:pPr>
        <w:pStyle w:val="2"/>
        <w:rPr>
          <w:rFonts w:hint="default"/>
          <w:lang w:val="en-US"/>
        </w:rPr>
      </w:pPr>
      <w:bookmarkStart w:id="4" w:name="_Toc193393094"/>
      <w:r>
        <w:rPr>
          <w:lang w:val="en-US"/>
        </w:rPr>
        <w:t>Product Life Cycle (PLC) Strategies of Pioneer and Follower Companies</w:t>
      </w:r>
      <w:bookmarkEnd w:id="4"/>
      <w:r>
        <w:rPr>
          <w:rFonts w:hint="default"/>
          <w:lang w:val="en-US"/>
        </w:rPr>
        <w:t>:</w:t>
      </w:r>
    </w:p>
    <w:p w14:paraId="5EB619DD">
      <w:pPr>
        <w:ind w:firstLine="720" w:firstLineChars="300"/>
        <w:rPr>
          <w:lang w:val="en-US"/>
        </w:rPr>
      </w:pPr>
      <w:r>
        <w:rPr>
          <w:lang w:val="en-US"/>
        </w:rPr>
        <w:t>Understanding and management of the PLC is important in marketing to offer competitive benefit and long-term success. The PLC has 4 phases and stages of PLC are Introduction, Growth, Maturity, and Decline. Every stage of PLC possesses unique opportunities and challenges that make corporations familiarize their production, advertisement, and innovative strategies accordingly (Nibusinessinfo.co.uk, 2025). First-mover and late-mover corporations formulate customized PLC strategies to increase, improve market share, and become competitive in competitive marketplaces.</w:t>
      </w:r>
    </w:p>
    <w:p w14:paraId="0E215316">
      <w:pPr>
        <w:keepNext/>
        <w:jc w:val="center"/>
      </w:pPr>
      <w:r>
        <w:drawing>
          <wp:inline distT="0" distB="0" distL="0" distR="0">
            <wp:extent cx="4361180" cy="1991360"/>
            <wp:effectExtent l="0" t="0" r="127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4371978" cy="1996351"/>
                    </a:xfrm>
                    <a:prstGeom prst="rect">
                      <a:avLst/>
                    </a:prstGeom>
                  </pic:spPr>
                </pic:pic>
              </a:graphicData>
            </a:graphic>
          </wp:inline>
        </w:drawing>
      </w:r>
    </w:p>
    <w:p w14:paraId="0F025554">
      <w:pPr>
        <w:pStyle w:val="8"/>
        <w:jc w:val="center"/>
        <w:rPr>
          <w:lang w:val="en-US"/>
        </w:rPr>
      </w:pPr>
      <w:bookmarkStart w:id="5" w:name="_Toc193393099"/>
      <w:r>
        <w:t xml:space="preserve">Figure </w:t>
      </w:r>
      <w:r>
        <w:fldChar w:fldCharType="begin"/>
      </w:r>
      <w:r>
        <w:instrText xml:space="preserve"> SEQ Figure \* ARABIC </w:instrText>
      </w:r>
      <w:r>
        <w:fldChar w:fldCharType="separate"/>
      </w:r>
      <w:r>
        <w:t>2</w:t>
      </w:r>
      <w:r>
        <w:fldChar w:fldCharType="end"/>
      </w:r>
      <w:r>
        <w:rPr>
          <w:lang w:val="en-US"/>
        </w:rPr>
        <w:t>: PLC Stages</w:t>
      </w:r>
      <w:bookmarkEnd w:id="5"/>
    </w:p>
    <w:p w14:paraId="6286E970">
      <w:pPr>
        <w:jc w:val="center"/>
        <w:rPr>
          <w:lang w:val="en-US"/>
        </w:rPr>
      </w:pPr>
      <w:r>
        <w:rPr>
          <w:lang w:val="en-US"/>
        </w:rPr>
        <w:t xml:space="preserve">Source: </w:t>
      </w:r>
      <w:r>
        <w:rPr>
          <w:color w:val="000000"/>
          <w:shd w:val="clear" w:color="auto" w:fill="FFFFFF"/>
        </w:rPr>
        <w:t>(Sabhadiya, 2024)</w:t>
      </w:r>
    </w:p>
    <w:p w14:paraId="2BEE1DF9">
      <w:pPr>
        <w:ind w:firstLine="600" w:firstLineChars="250"/>
        <w:rPr>
          <w:lang w:val="en-US"/>
        </w:rPr>
      </w:pPr>
      <w:r>
        <w:rPr>
          <w:lang w:val="en-US"/>
        </w:rPr>
        <w:t>The Launch (Introduction) Phase creates product introduction, market penetration, and product adoption by consumers (Kopp, 2024). In this stage businesses have heavy expenditures on research and development, advertising, and customer education with minimal revenue generation. For pioneers it means investing and innovating in earlier stages to build up awareness and outgrowth demand.</w:t>
      </w:r>
    </w:p>
    <w:p w14:paraId="5E4356E4">
      <w:pPr>
        <w:ind w:firstLine="720" w:firstLineChars="300"/>
        <w:rPr>
          <w:lang w:val="en-US"/>
        </w:rPr>
      </w:pPr>
      <w:r>
        <w:rPr>
          <w:b/>
          <w:bCs/>
          <w:lang w:val="en-US"/>
        </w:rPr>
        <w:t xml:space="preserve">For example, category leaders such as Apple introduced the iPhone in 2007 </w:t>
      </w:r>
      <w:r>
        <w:rPr>
          <w:lang w:val="en-US"/>
        </w:rPr>
        <w:t>(Cecere et al., 2015, p.1)</w:t>
      </w:r>
      <w:r>
        <w:rPr>
          <w:b/>
          <w:bCs/>
          <w:lang w:val="en-US"/>
        </w:rPr>
        <w:t>.</w:t>
      </w:r>
      <w:r>
        <w:rPr>
          <w:lang w:val="en-US"/>
        </w:rPr>
        <w:t xml:space="preserve"> Apple being a category leader spent massive budgets on product development and advertising and at the same time on a supporting application ecosystem that laid down pillars of customer engagement and customer loyalty. Apple's early attempt to convince consumers and developers of the promise of smartphones was crucial to defining the direction of the industry.</w:t>
      </w:r>
    </w:p>
    <w:p w14:paraId="1CD0C178">
      <w:pPr>
        <w:ind w:firstLine="720" w:firstLineChars="300"/>
        <w:rPr>
          <w:lang w:val="en-US"/>
        </w:rPr>
      </w:pPr>
      <w:r>
        <w:rPr>
          <w:lang w:val="en-US"/>
        </w:rPr>
        <w:t xml:space="preserve">Conversely, followers have a fast-follow strategy at the introduction stage. They move into the market more frequently once pioneers have proven that demand exists with the objectives to offer improved product features and user experiences. </w:t>
      </w:r>
      <w:r>
        <w:rPr>
          <w:b/>
          <w:bCs/>
          <w:lang w:val="en-US"/>
        </w:rPr>
        <w:t>For instance, Samsung Galaxy</w:t>
      </w:r>
      <w:r>
        <w:rPr>
          <w:lang w:val="en-US"/>
        </w:rPr>
        <w:t xml:space="preserve"> series was introduced subsequent to the success of the iPhone. Samsung copied fast at the design level with big screen sizes, styluses (S Pen) (Shi et al., 2024), and customization based on Android to cater to a mass user base. It minimized risk to a great extent for Samsung to become a serious contender at an early point in the product lifecycle without facing early market risks Apple had to encounter.</w:t>
      </w:r>
    </w:p>
    <w:p w14:paraId="55BB836A">
      <w:pPr>
        <w:ind w:firstLine="720" w:firstLineChars="300"/>
        <w:rPr>
          <w:lang w:val="en-US"/>
        </w:rPr>
      </w:pPr>
      <w:r>
        <w:rPr>
          <w:lang w:val="en-US"/>
        </w:rPr>
        <w:t xml:space="preserve">During the Stage of Development (Growth), more consumers embrace it, more new participants enter in, and sales increase (Kopp, 2024). All of this refers to to business expansion, adding features to the product, and more distribution channels. Pioneers want to take advantage early and act fast in-market presence. </w:t>
      </w:r>
      <w:r>
        <w:rPr>
          <w:b/>
          <w:bCs/>
          <w:lang w:val="en-US"/>
        </w:rPr>
        <w:t>For instance, Tesla's expansion as a pioneer of electric vehicles</w:t>
      </w:r>
      <w:r>
        <w:rPr>
          <w:lang w:val="en-US"/>
        </w:rPr>
        <w:t xml:space="preserve"> changed from mainly offering offer niche luxury EVs (Model S) and mass-market vehicles (Model Y and 3) to adding production facilities and installing charging stations (Przychodzen et al., 2020, p.2). In such a situation, Tesla was simply an effortless winner in the EV market while still holding technological dominance.</w:t>
      </w:r>
    </w:p>
    <w:p w14:paraId="3D3B38F0">
      <w:pPr>
        <w:ind w:firstLine="600" w:firstLineChars="250"/>
        <w:rPr>
          <w:lang w:val="en-US"/>
        </w:rPr>
      </w:pPr>
      <w:r>
        <w:rPr>
          <w:lang w:val="en-US"/>
        </w:rPr>
        <w:t>During the expansion phase, followers can aggressively grow and offer competitive prices (Kopp, 2024). Xiaomi is a mobile-follower firm that started at a time when mobile technology worldwide was rising by offering quality but low-cost mobile products. It facilitated fast penetration in price-sensitive geographies such as India and Asia with lean production and direct-to-consumer selling. Cost-effectiveness and fast time-to-market prioritization by Xiaomi once it started allowed it to grow fast even in the face of tough rivalry (buildd, 2022).</w:t>
      </w:r>
    </w:p>
    <w:p w14:paraId="19C812E2">
      <w:pPr>
        <w:ind w:firstLine="600" w:firstLineChars="250"/>
        <w:rPr>
          <w:lang w:val="en-US"/>
        </w:rPr>
      </w:pPr>
      <w:r>
        <w:rPr>
          <w:lang w:val="en-US"/>
        </w:rPr>
        <w:t xml:space="preserve">During the </w:t>
      </w:r>
      <w:r>
        <w:rPr>
          <w:b/>
          <w:bCs/>
          <w:lang w:val="en-US"/>
        </w:rPr>
        <w:t>Maturity Phase,</w:t>
      </w:r>
      <w:r>
        <w:rPr>
          <w:lang w:val="en-US"/>
        </w:rPr>
        <w:t xml:space="preserve"> saturation in the market has been attained, expansion slows down, and competition heightens (Kopp, 2024). The focus of companies now shifts to retaining and differentiating in the market. Early movers will diversify to new consumers with new products or create complementary products to their product line. In short, a pioneer like </w:t>
      </w:r>
      <w:r>
        <w:rPr>
          <w:b/>
          <w:bCs/>
          <w:lang w:val="en-US"/>
        </w:rPr>
        <w:t>Amazon is a good example of a company</w:t>
      </w:r>
      <w:r>
        <w:rPr>
          <w:lang w:val="en-US"/>
        </w:rPr>
        <w:t xml:space="preserve"> that has continued to grow revenue over several years by being able to move into cloud services such as AWS, Alexa, and entertainment platforms for example Prime Video extending their core business life cycle even as it spreads into numerous new sub-segments (Hazlett, 2024).</w:t>
      </w:r>
    </w:p>
    <w:p w14:paraId="35E12D2F">
      <w:pPr>
        <w:ind w:firstLine="600" w:firstLineChars="250"/>
        <w:rPr>
          <w:lang w:val="en-US"/>
        </w:rPr>
      </w:pPr>
      <w:r>
        <w:rPr>
          <w:lang w:val="en-US"/>
        </w:rPr>
        <w:t xml:space="preserve">Late-mover companies will pursue strategic leadership and creative acquisitions to differentiate their markets at the Maturity stage. </w:t>
      </w:r>
      <w:r>
        <w:rPr>
          <w:b/>
          <w:bCs/>
          <w:lang w:val="en-US"/>
        </w:rPr>
        <w:t>Facebook's (Meta's) acquisition of Instagram and WhatsApp</w:t>
      </w:r>
      <w:r>
        <w:rPr>
          <w:lang w:val="en-US"/>
        </w:rPr>
        <w:t xml:space="preserve"> demonstrates a shift to ride out its maturity-stage dominance (Press, 2018). The acquisitions helped Facebook's Meta diversify platform offerings, acquire youth audiences, and continue to dominate social networking by pushing the platform to reach maturity in user expansion.</w:t>
      </w:r>
    </w:p>
    <w:p w14:paraId="7CDDDE93">
      <w:pPr>
        <w:ind w:firstLine="600" w:firstLineChars="250"/>
        <w:rPr>
          <w:lang w:val="en-US"/>
        </w:rPr>
      </w:pPr>
      <w:r>
        <w:rPr>
          <w:lang w:val="en-US"/>
        </w:rPr>
        <w:t xml:space="preserve">Finally, at the </w:t>
      </w:r>
      <w:r>
        <w:rPr>
          <w:b/>
          <w:bCs/>
          <w:lang w:val="en-US"/>
        </w:rPr>
        <w:t>Decline phase,</w:t>
      </w:r>
      <w:r>
        <w:rPr>
          <w:lang w:val="en-US"/>
        </w:rPr>
        <w:t xml:space="preserve"> market demand declines because of changes in consumers' perceptions, technological obsolescence, and amplified competition (Kopp, 2024). </w:t>
      </w:r>
      <w:r>
        <w:rPr>
          <w:b/>
          <w:bCs/>
          <w:lang w:val="en-US"/>
        </w:rPr>
        <w:t>For example, Pioneer Companies like Apple</w:t>
      </w:r>
      <w:r>
        <w:rPr>
          <w:lang w:val="en-US"/>
        </w:rPr>
        <w:t xml:space="preserve"> have phased out their products systematically over time as consumers' demand shifted to multifunctional gadgets like the iPhone. It assisted it to avoid dreadful market rivalry while driving customers to more profitable products (Pereira, 2024).</w:t>
      </w:r>
    </w:p>
    <w:p w14:paraId="6D2C994C">
      <w:pPr>
        <w:ind w:firstLine="600" w:firstLineChars="250"/>
        <w:rPr>
          <w:lang w:val="en-US"/>
        </w:rPr>
      </w:pPr>
      <w:r>
        <w:rPr>
          <w:lang w:val="en-US"/>
        </w:rPr>
        <w:t xml:space="preserve">Late-mover companies can also pivot or reposition in decline. </w:t>
      </w:r>
      <w:r>
        <w:rPr>
          <w:b/>
          <w:bCs/>
          <w:lang w:val="en-US"/>
        </w:rPr>
        <w:t>BlackBerry</w:t>
      </w:r>
      <w:r>
        <w:rPr>
          <w:lang w:val="en-US"/>
        </w:rPr>
        <w:t xml:space="preserve"> was an enormous mobile phone company but got out of hardware after hardware sales fell with the introduction of iOS along with Android products. Blackberry pivoted instead as a cyber-security and enterprise Software Corporation employing its legacy in secure communications to stay being significant (Seth, 2025).</w:t>
      </w:r>
    </w:p>
    <w:p w14:paraId="56C8868D">
      <w:pPr>
        <w:pStyle w:val="2"/>
      </w:pPr>
      <w:bookmarkStart w:id="6" w:name="_Toc193393095"/>
      <w:r>
        <w:t>Critical Evaluation</w:t>
      </w:r>
      <w:bookmarkEnd w:id="6"/>
    </w:p>
    <w:p w14:paraId="4E001C13">
      <w:pPr>
        <w:ind w:firstLine="600" w:firstLineChars="250"/>
      </w:pPr>
      <w:r>
        <w:t>The achievement of pioneer or follower strategies relies on receptiveness of customers, market forces, and organizational capabilities. Emerging technologies such as AI, data analysis, and digital advertising have been revolutionizing strategy implementation by limiting risk to innovators and making followers more adaptable. The technologies offer real-time insights, rapid innovations, and tailor-made marketing that is revolutionizing competitive markets. As marketplaces evolve continuously, organizations must have responsive and adaptable approaches and continuous innovations. Foreseeing emerging trends and leveraging technology as a tool permits organizations to become competitive and bridge the module's coverage of critically inspecting marketing operations and planning for developing advances in marketing.</w:t>
      </w:r>
    </w:p>
    <w:p w14:paraId="21D11411"/>
    <w:p w14:paraId="2007A3B4"/>
    <w:p w14:paraId="13A9A5B5"/>
    <w:p w14:paraId="6447B76F">
      <w:pPr>
        <w:spacing w:line="259" w:lineRule="auto"/>
        <w:jc w:val="left"/>
        <w:rPr>
          <w:rFonts w:eastAsiaTheme="majorEastAsia" w:cstheme="majorBidi"/>
          <w:b/>
          <w:szCs w:val="29"/>
          <w:lang w:val="en-US"/>
        </w:rPr>
      </w:pPr>
      <w:r>
        <w:rPr>
          <w:lang w:val="en-US"/>
        </w:rPr>
        <w:br w:type="page"/>
      </w:r>
    </w:p>
    <w:p w14:paraId="031CA330">
      <w:pPr>
        <w:pStyle w:val="2"/>
        <w:rPr>
          <w:lang w:val="en-US"/>
        </w:rPr>
      </w:pPr>
      <w:bookmarkStart w:id="7" w:name="_Toc193393096"/>
      <w:r>
        <w:rPr>
          <w:lang w:val="en-US"/>
        </w:rPr>
        <w:t>Conclusion</w:t>
      </w:r>
      <w:bookmarkEnd w:id="7"/>
    </w:p>
    <w:p w14:paraId="3BA33F48">
      <w:pPr>
        <w:ind w:firstLine="600" w:firstLineChars="250"/>
        <w:rPr>
          <w:lang w:val="en-US"/>
        </w:rPr>
      </w:pPr>
      <w:r>
        <w:rPr>
          <w:lang w:val="en-US"/>
        </w:rPr>
        <w:t>From this essay it is concluded that both followers and pioneers have their pros and that the outcome depends on adaptability, application, and marketplace circumstances. Pioneers have early market dominance and brand loyalty while followers can have it with lesser risk and enhanced products with help of learning and innovation. Successful PLC strategies have a crucial role in sustaining growth and competitive edge with both strategies. New technology innovations like data analytics and AI are transforming practices with wiser timing choices and responsiveness. Flexibility, ongoing innovation along with forward thinking have vital roles to play with today's fast-moving marketplaces. The companies that can visualize transformation and have a fast response will be best placed to succeed in the long-term and it is a reflection of the transforming role of marketing to drive organizational performance and readiness in the upcoming future.</w:t>
      </w:r>
    </w:p>
    <w:p w14:paraId="1D69658E">
      <w:pPr>
        <w:spacing w:line="259" w:lineRule="auto"/>
        <w:jc w:val="left"/>
        <w:rPr>
          <w:lang w:val="en-US"/>
        </w:rPr>
      </w:pPr>
      <w:r>
        <w:rPr>
          <w:lang w:val="en-US"/>
        </w:rPr>
        <w:br w:type="page"/>
      </w:r>
    </w:p>
    <w:p w14:paraId="650AD607">
      <w:pPr>
        <w:pStyle w:val="2"/>
        <w:rPr>
          <w:lang w:val="en-US"/>
        </w:rPr>
      </w:pPr>
      <w:bookmarkStart w:id="8" w:name="_Toc193393097"/>
      <w:r>
        <w:rPr>
          <w:lang w:val="en-US"/>
        </w:rPr>
        <w:t>References</w:t>
      </w:r>
      <w:bookmarkEnd w:id="8"/>
    </w:p>
    <w:p w14:paraId="54683CA2">
      <w:pPr>
        <w:jc w:val="left"/>
      </w:pPr>
      <w:r>
        <w:t>Alonso, T. (2023), </w:t>
      </w:r>
      <w:r>
        <w:rPr>
          <w:i/>
          <w:iCs/>
        </w:rPr>
        <w:t>Strategy Study: How Toyota Went From Humble Beginnings To Automotive Giant</w:t>
      </w:r>
      <w:r>
        <w:t>. [online] Cascade.app. Available at: https://www.cascade.app/studies/how-toyota-went-from-humble-beginnings-to-automotive-giant [Accessed 20 Mar. 2025].</w:t>
      </w:r>
    </w:p>
    <w:p w14:paraId="0386889E">
      <w:pPr>
        <w:jc w:val="left"/>
        <w:rPr>
          <w:rFonts w:ascii="Times New Roman" w:hAnsi="Times New Roman"/>
          <w:lang w:val="en-US"/>
        </w:rPr>
      </w:pPr>
      <w:r>
        <w:t>‌buildd (2022), </w:t>
      </w:r>
      <w:r>
        <w:rPr>
          <w:i/>
          <w:iCs/>
        </w:rPr>
        <w:t>Xiaomi Marketing Strategy: Unveiling The Blueprint for Global Dominance</w:t>
      </w:r>
      <w:r>
        <w:t>. [online] Available at: https://buildd.co/marketing/xiaomi-marketing-strategy [Accessed 20 Mar. 2025].</w:t>
      </w:r>
    </w:p>
    <w:p w14:paraId="610CE5DF">
      <w:pPr>
        <w:jc w:val="left"/>
        <w:rPr>
          <w:shd w:val="clear" w:color="auto" w:fill="FFFFFF"/>
        </w:rPr>
      </w:pPr>
      <w:r>
        <w:rPr>
          <w:shd w:val="clear" w:color="auto" w:fill="FFFFFF"/>
        </w:rPr>
        <w:t>Cecere, G., Corrocher, N. and Battaglia, R.D., (2015), ‘Innovation and competition in the smartphone industry: Is there a dominant design?’, </w:t>
      </w:r>
      <w:r>
        <w:rPr>
          <w:i/>
          <w:iCs/>
          <w:shd w:val="clear" w:color="auto" w:fill="FFFFFF"/>
        </w:rPr>
        <w:t>Telecommunications Policy</w:t>
      </w:r>
      <w:r>
        <w:rPr>
          <w:shd w:val="clear" w:color="auto" w:fill="FFFFFF"/>
        </w:rPr>
        <w:t>, </w:t>
      </w:r>
      <w:r>
        <w:rPr>
          <w:i/>
          <w:iCs/>
          <w:shd w:val="clear" w:color="auto" w:fill="FFFFFF"/>
        </w:rPr>
        <w:t>39</w:t>
      </w:r>
      <w:r>
        <w:rPr>
          <w:shd w:val="clear" w:color="auto" w:fill="FFFFFF"/>
        </w:rPr>
        <w:t>(3-4), pp.162-175.</w:t>
      </w:r>
    </w:p>
    <w:p w14:paraId="51C8B432">
      <w:pPr>
        <w:jc w:val="left"/>
      </w:pPr>
      <w:r>
        <w:t>CFI (2023), </w:t>
      </w:r>
      <w:r>
        <w:rPr>
          <w:i/>
          <w:iCs/>
        </w:rPr>
        <w:t>First Mover Advantage</w:t>
      </w:r>
      <w:r>
        <w:t>. [online] Corporate Finance Institute. Available at: https://corporatefinanceinstitute.com/resources/management/first-mover-advantage/ [Accessed 20 Mar. 2025].</w:t>
      </w:r>
    </w:p>
    <w:p w14:paraId="52E998B4">
      <w:pPr>
        <w:jc w:val="left"/>
        <w:rPr>
          <w:shd w:val="clear" w:color="auto" w:fill="FFFFFF"/>
        </w:rPr>
      </w:pPr>
      <w:r>
        <w:rPr>
          <w:shd w:val="clear" w:color="auto" w:fill="FFFFFF"/>
        </w:rPr>
        <w:t>Chen, L., Ma, Y. and Sun, Y., (2024), ‘The role of intellectual property on Enterprise-led Industry-University-Research Institution cooperation: case of innovation awards in China’, </w:t>
      </w:r>
      <w:r>
        <w:rPr>
          <w:i/>
          <w:iCs/>
          <w:shd w:val="clear" w:color="auto" w:fill="FFFFFF"/>
        </w:rPr>
        <w:t>Humanities and Social Sciences Communications</w:t>
      </w:r>
      <w:r>
        <w:rPr>
          <w:shd w:val="clear" w:color="auto" w:fill="FFFFFF"/>
        </w:rPr>
        <w:t>, </w:t>
      </w:r>
      <w:r>
        <w:rPr>
          <w:i/>
          <w:iCs/>
          <w:shd w:val="clear" w:color="auto" w:fill="FFFFFF"/>
        </w:rPr>
        <w:t>11</w:t>
      </w:r>
      <w:r>
        <w:rPr>
          <w:shd w:val="clear" w:color="auto" w:fill="FFFFFF"/>
        </w:rPr>
        <w:t>(1), pp.1-14.</w:t>
      </w:r>
    </w:p>
    <w:p w14:paraId="1B6912D8">
      <w:pPr>
        <w:jc w:val="left"/>
        <w:rPr>
          <w:shd w:val="clear" w:color="auto" w:fill="FFFFFF"/>
        </w:rPr>
      </w:pPr>
      <w:r>
        <w:rPr>
          <w:shd w:val="clear" w:color="auto" w:fill="FFFFFF"/>
        </w:rPr>
        <w:t>Gantsho, K.A., van Vuuren, J. and Fabris-Rotelli, I., (2024), ‘Consumer perspectives on the relationship between iconic branding and entrepreneurial orientation’, </w:t>
      </w:r>
      <w:r>
        <w:rPr>
          <w:i/>
          <w:iCs/>
          <w:shd w:val="clear" w:color="auto" w:fill="FFFFFF"/>
        </w:rPr>
        <w:t>Southern African Journal of Entrepreneurship and Small Business Management</w:t>
      </w:r>
      <w:r>
        <w:rPr>
          <w:shd w:val="clear" w:color="auto" w:fill="FFFFFF"/>
        </w:rPr>
        <w:t>, </w:t>
      </w:r>
      <w:r>
        <w:rPr>
          <w:i/>
          <w:iCs/>
          <w:shd w:val="clear" w:color="auto" w:fill="FFFFFF"/>
        </w:rPr>
        <w:t>16</w:t>
      </w:r>
      <w:r>
        <w:rPr>
          <w:shd w:val="clear" w:color="auto" w:fill="FFFFFF"/>
        </w:rPr>
        <w:t>(1), pp.1-11.</w:t>
      </w:r>
    </w:p>
    <w:p w14:paraId="0AEE4607">
      <w:pPr>
        <w:jc w:val="left"/>
        <w:rPr>
          <w:shd w:val="clear" w:color="auto" w:fill="FFFFFF"/>
        </w:rPr>
      </w:pPr>
      <w:r>
        <w:rPr>
          <w:shd w:val="clear" w:color="auto" w:fill="FFFFFF"/>
        </w:rPr>
        <w:t>Hazlett, T.W., (2024), US antitrust policy in the age of Amazon, Google, Microsoft, Apple, Netflix and Facebook. </w:t>
      </w:r>
      <w:r>
        <w:rPr>
          <w:i/>
          <w:iCs/>
          <w:shd w:val="clear" w:color="auto" w:fill="FFFFFF"/>
        </w:rPr>
        <w:t>Constitutional Political Economy</w:t>
      </w:r>
      <w:r>
        <w:rPr>
          <w:shd w:val="clear" w:color="auto" w:fill="FFFFFF"/>
        </w:rPr>
        <w:t>, </w:t>
      </w:r>
      <w:r>
        <w:rPr>
          <w:i/>
          <w:iCs/>
          <w:shd w:val="clear" w:color="auto" w:fill="FFFFFF"/>
        </w:rPr>
        <w:t>35</w:t>
      </w:r>
      <w:r>
        <w:rPr>
          <w:shd w:val="clear" w:color="auto" w:fill="FFFFFF"/>
        </w:rPr>
        <w:t>(1), pp.73-108.</w:t>
      </w:r>
    </w:p>
    <w:p w14:paraId="631F6150">
      <w:pPr>
        <w:jc w:val="left"/>
        <w:rPr>
          <w:shd w:val="clear" w:color="auto" w:fill="FFFFFF"/>
        </w:rPr>
      </w:pPr>
      <w:r>
        <w:rPr>
          <w:shd w:val="clear" w:color="auto" w:fill="FFFFFF"/>
        </w:rPr>
        <w:t>Kalisty, K. and Dudziuk, I., (2024), ‘Winning the innovation race: Insights from game theory and microeconomics’, </w:t>
      </w:r>
      <w:r>
        <w:rPr>
          <w:i/>
          <w:iCs/>
          <w:shd w:val="clear" w:color="auto" w:fill="FFFFFF"/>
        </w:rPr>
        <w:t>Central European Review of Economics &amp; Finance</w:t>
      </w:r>
      <w:r>
        <w:rPr>
          <w:shd w:val="clear" w:color="auto" w:fill="FFFFFF"/>
        </w:rPr>
        <w:t>, </w:t>
      </w:r>
      <w:r>
        <w:rPr>
          <w:i/>
          <w:iCs/>
          <w:shd w:val="clear" w:color="auto" w:fill="FFFFFF"/>
        </w:rPr>
        <w:t>47</w:t>
      </w:r>
      <w:r>
        <w:rPr>
          <w:shd w:val="clear" w:color="auto" w:fill="FFFFFF"/>
        </w:rPr>
        <w:t>(2), pp.20-39.</w:t>
      </w:r>
    </w:p>
    <w:p w14:paraId="7ED84238">
      <w:pPr>
        <w:jc w:val="left"/>
      </w:pPr>
      <w:r>
        <w:t>Kopp, C.M. (2024), </w:t>
      </w:r>
      <w:r>
        <w:rPr>
          <w:i/>
          <w:iCs/>
        </w:rPr>
        <w:t>Product Life Cycle Explained: Stage and Examples</w:t>
      </w:r>
      <w:r>
        <w:t>. [online] Investopedia. Available at: https://www.investopedia.com/terms/p/product-life-cycle.asp [Accessed 20 Mar. 2025].</w:t>
      </w:r>
    </w:p>
    <w:p w14:paraId="0AA94F7A">
      <w:pPr>
        <w:jc w:val="left"/>
        <w:rPr>
          <w:shd w:val="clear" w:color="auto" w:fill="FFFFFF"/>
        </w:rPr>
      </w:pPr>
      <w:r>
        <w:rPr>
          <w:shd w:val="clear" w:color="auto" w:fill="FFFFFF"/>
        </w:rPr>
        <w:t>Kornelakis, A. and Petrakaki, D., (2024), ‘Technological innovation, industry platforms or financialization? A comparative institutional perspective on Nokia, Apple, and Samsung’, </w:t>
      </w:r>
      <w:r>
        <w:rPr>
          <w:i/>
          <w:iCs/>
          <w:shd w:val="clear" w:color="auto" w:fill="FFFFFF"/>
        </w:rPr>
        <w:t>Business History</w:t>
      </w:r>
      <w:r>
        <w:rPr>
          <w:shd w:val="clear" w:color="auto" w:fill="FFFFFF"/>
        </w:rPr>
        <w:t>, pp.1-26.</w:t>
      </w:r>
    </w:p>
    <w:p w14:paraId="59774B43">
      <w:pPr>
        <w:jc w:val="left"/>
        <w:rPr>
          <w:shd w:val="clear" w:color="auto" w:fill="FFFFFF"/>
        </w:rPr>
      </w:pPr>
      <w:r>
        <w:rPr>
          <w:shd w:val="clear" w:color="auto" w:fill="FFFFFF"/>
        </w:rPr>
        <w:t>Liu, L., Xiong, Y., Feng, K., Li, X. and Fu, Y., (2024), ‘Cross-market innovation: the dynamics of latecomer catching-up model from new Chinese electric vehicle OEMs’, </w:t>
      </w:r>
      <w:r>
        <w:rPr>
          <w:i/>
          <w:iCs/>
          <w:shd w:val="clear" w:color="auto" w:fill="FFFFFF"/>
        </w:rPr>
        <w:t>Asia Pacific Business Review</w:t>
      </w:r>
      <w:r>
        <w:rPr>
          <w:shd w:val="clear" w:color="auto" w:fill="FFFFFF"/>
        </w:rPr>
        <w:t>, pp.1-26.</w:t>
      </w:r>
    </w:p>
    <w:p w14:paraId="3C5CD6DD">
      <w:pPr>
        <w:jc w:val="left"/>
      </w:pPr>
      <w:r>
        <w:t>Naganathan, K. (2023), </w:t>
      </w:r>
      <w:r>
        <w:rPr>
          <w:i/>
          <w:iCs/>
        </w:rPr>
        <w:t>About innovation pioneers, fast followers and defenders</w:t>
      </w:r>
      <w:r>
        <w:t>. [online] Think Horizon Consulting. Available at: https://www.thinkhorizonconsulting.com/post/about-innovation-pioneers-fast-followers-and-defenders [Accessed 20 Mar. 2025].</w:t>
      </w:r>
    </w:p>
    <w:p w14:paraId="30215081">
      <w:pPr>
        <w:jc w:val="left"/>
      </w:pPr>
      <w:r>
        <w:t>Nibusinessinfo.co.uk (2025), </w:t>
      </w:r>
      <w:r>
        <w:rPr>
          <w:i/>
          <w:iCs/>
        </w:rPr>
        <w:t>Product life cycle strategies</w:t>
      </w:r>
      <w:r>
        <w:t>. [online] Nibusinessinfo.co.uk. Available at: https://www.nibusinessinfo.co.uk/content/product-life-cycle-strategies [Accessed 20 Mar. 2025].</w:t>
      </w:r>
    </w:p>
    <w:p w14:paraId="3BA293BE">
      <w:pPr>
        <w:jc w:val="left"/>
      </w:pPr>
      <w:r>
        <w:t>Pereira, D. (2024), </w:t>
      </w:r>
      <w:r>
        <w:rPr>
          <w:i/>
          <w:iCs/>
        </w:rPr>
        <w:t>Apple Marketing Strategy</w:t>
      </w:r>
      <w:r>
        <w:t>. [online] Business Model Analyst. Available at: https://businessmodelanalyst.com/apple-marketing-strategy/?srsltid=AfmBOoq9852z3bPxrBX0insPLox_ZoQF7wkZUdAMeoHwr_VccLLLKM64 [Accessed 20 Mar. 2025].</w:t>
      </w:r>
    </w:p>
    <w:p w14:paraId="1D9C671B">
      <w:pPr>
        <w:jc w:val="left"/>
      </w:pPr>
      <w:r>
        <w:t>Press, G. (2018), </w:t>
      </w:r>
      <w:r>
        <w:rPr>
          <w:i/>
          <w:iCs/>
        </w:rPr>
        <w:t>Why Facebook Triumphed Over All Other Social Networks</w:t>
      </w:r>
      <w:r>
        <w:t>. [online] Forbes. Available at: https://www.forbes.com/sites/gilpress/2018/04/08/why-facebook-triumphed-over-all-other-social-networks/ [Accessed 20 Mar. 2025].</w:t>
      </w:r>
    </w:p>
    <w:p w14:paraId="43F09F53">
      <w:pPr>
        <w:jc w:val="left"/>
        <w:rPr>
          <w:shd w:val="clear" w:color="auto" w:fill="FFFFFF"/>
        </w:rPr>
      </w:pPr>
      <w:r>
        <w:rPr>
          <w:shd w:val="clear" w:color="auto" w:fill="FFFFFF"/>
        </w:rPr>
        <w:t>Przychodzen, W., Leyva</w:t>
      </w:r>
      <w:r>
        <w:rPr>
          <w:rFonts w:ascii="Cambria Math" w:hAnsi="Cambria Math" w:cs="Cambria Math"/>
          <w:shd w:val="clear" w:color="auto" w:fill="FFFFFF"/>
        </w:rPr>
        <w:t>‐</w:t>
      </w:r>
      <w:r>
        <w:rPr>
          <w:shd w:val="clear" w:color="auto" w:fill="FFFFFF"/>
        </w:rPr>
        <w:t>de la Hiz, D.I. and Przychodzen, J., (2020), ‘First</w:t>
      </w:r>
      <w:r>
        <w:rPr>
          <w:rFonts w:ascii="Cambria Math" w:hAnsi="Cambria Math" w:cs="Cambria Math"/>
          <w:shd w:val="clear" w:color="auto" w:fill="FFFFFF"/>
        </w:rPr>
        <w:t>‐</w:t>
      </w:r>
      <w:r>
        <w:rPr>
          <w:shd w:val="clear" w:color="auto" w:fill="FFFFFF"/>
        </w:rPr>
        <w:t>mover advantages in green innovation—Opportunities and threats for financial performance: A longitudinal analysis’, </w:t>
      </w:r>
      <w:r>
        <w:rPr>
          <w:i/>
          <w:iCs/>
          <w:shd w:val="clear" w:color="auto" w:fill="FFFFFF"/>
        </w:rPr>
        <w:t>Corporate Social Responsibility and Environmental Management</w:t>
      </w:r>
      <w:r>
        <w:rPr>
          <w:shd w:val="clear" w:color="auto" w:fill="FFFFFF"/>
        </w:rPr>
        <w:t>, </w:t>
      </w:r>
      <w:r>
        <w:rPr>
          <w:i/>
          <w:iCs/>
          <w:shd w:val="clear" w:color="auto" w:fill="FFFFFF"/>
        </w:rPr>
        <w:t>27</w:t>
      </w:r>
      <w:r>
        <w:rPr>
          <w:shd w:val="clear" w:color="auto" w:fill="FFFFFF"/>
        </w:rPr>
        <w:t>(1), pp.1-19.</w:t>
      </w:r>
    </w:p>
    <w:p w14:paraId="3E07B971">
      <w:pPr>
        <w:jc w:val="left"/>
      </w:pPr>
      <w:r>
        <w:t>Seth, S. (2025). </w:t>
      </w:r>
      <w:r>
        <w:rPr>
          <w:i/>
          <w:iCs/>
        </w:rPr>
        <w:t>BlackBerry: A Story of Constant Success and Failure</w:t>
      </w:r>
      <w:r>
        <w:t>. [online] Investopedia. Available at: https://www.investopedia.com/articles/investing/062315/blackberry-story-constant-success-failure.asp [Accessed 20 Mar. 2025].</w:t>
      </w:r>
    </w:p>
    <w:p w14:paraId="608589B3">
      <w:pPr>
        <w:jc w:val="left"/>
        <w:rPr>
          <w:shd w:val="clear" w:color="auto" w:fill="FFFFFF"/>
        </w:rPr>
      </w:pPr>
      <w:r>
        <w:rPr>
          <w:shd w:val="clear" w:color="auto" w:fill="FFFFFF"/>
        </w:rPr>
        <w:t>Shi, L., Campbell, R., Chi, P., Cirimele, M., Cleron, M., Climer, K., Fleming, C.Q., Ganti, A., Gervais, P., Gonnet, P. and Karim, T.A., (2024, May), ‘Inkeraction: An Interaction Modality Powered by Ink Recognition and Synthesis’, In </w:t>
      </w:r>
      <w:r>
        <w:rPr>
          <w:i/>
          <w:iCs/>
          <w:shd w:val="clear" w:color="auto" w:fill="FFFFFF"/>
        </w:rPr>
        <w:t>Proceedings of the 2024 CHI Conference on Human Factors in Computing Systems</w:t>
      </w:r>
      <w:r>
        <w:rPr>
          <w:shd w:val="clear" w:color="auto" w:fill="FFFFFF"/>
        </w:rPr>
        <w:t>, pp. 1-26.</w:t>
      </w:r>
    </w:p>
    <w:p w14:paraId="6B250422">
      <w:r>
        <w:t>Sabhadiya, J. (2024), </w:t>
      </w:r>
      <w:r>
        <w:rPr>
          <w:i/>
          <w:iCs/>
        </w:rPr>
        <w:t>Product Life Cycle: Definition, Stages, Managements and Example</w:t>
      </w:r>
      <w:r>
        <w:t>. [online] Mechdaily. Available at: https://www.mechdaily.com/what-is-product-life-cycle/ [Accessed 20 Mar. 2025].</w:t>
      </w:r>
    </w:p>
    <w:p w14:paraId="3020F12C">
      <w:pPr>
        <w:jc w:val="left"/>
        <w:rPr>
          <w:shd w:val="clear" w:color="auto" w:fill="FFFFFF"/>
        </w:rPr>
      </w:pPr>
      <w:r>
        <w:rPr>
          <w:shd w:val="clear" w:color="auto" w:fill="FFFFFF"/>
        </w:rPr>
        <w:t>Silver, I., Kelly, B.A. and Small, D.A., (2021), ‘Selfless first movers and self</w:t>
      </w:r>
      <w:r>
        <w:rPr>
          <w:rFonts w:ascii="Cambria Math" w:hAnsi="Cambria Math" w:cs="Cambria Math"/>
          <w:shd w:val="clear" w:color="auto" w:fill="FFFFFF"/>
        </w:rPr>
        <w:t>‐</w:t>
      </w:r>
      <w:r>
        <w:rPr>
          <w:shd w:val="clear" w:color="auto" w:fill="FFFFFF"/>
        </w:rPr>
        <w:t>interested followers: Order of entry signals purity of motive in pursuit of the greater good’, </w:t>
      </w:r>
      <w:r>
        <w:rPr>
          <w:i/>
          <w:iCs/>
          <w:shd w:val="clear" w:color="auto" w:fill="FFFFFF"/>
        </w:rPr>
        <w:t>Journal of Consumer Psychology</w:t>
      </w:r>
      <w:r>
        <w:rPr>
          <w:shd w:val="clear" w:color="auto" w:fill="FFFFFF"/>
        </w:rPr>
        <w:t>, </w:t>
      </w:r>
      <w:r>
        <w:rPr>
          <w:i/>
          <w:iCs/>
          <w:shd w:val="clear" w:color="auto" w:fill="FFFFFF"/>
        </w:rPr>
        <w:t>31</w:t>
      </w:r>
      <w:r>
        <w:rPr>
          <w:shd w:val="clear" w:color="auto" w:fill="FFFFFF"/>
        </w:rPr>
        <w:t>(3), pp.501-517.</w:t>
      </w:r>
    </w:p>
    <w:p w14:paraId="602EFE8D">
      <w:pPr>
        <w:jc w:val="left"/>
        <w:rPr>
          <w:shd w:val="clear" w:color="auto" w:fill="FFFFFF"/>
        </w:rPr>
      </w:pPr>
      <w:r>
        <w:rPr>
          <w:shd w:val="clear" w:color="auto" w:fill="FFFFFF"/>
        </w:rPr>
        <w:t>Zou, F., Medapa, P.K. and Tunç, M., (2024), ‘How Does Early Involvement of External Contributors Impact Open Source Software Development and Maintenance? Evidence from Github’, pp.1-26.</w:t>
      </w:r>
    </w:p>
    <w:p w14:paraId="59537570">
      <w:pPr>
        <w:pStyle w:val="12"/>
        <w:rPr>
          <w:color w:val="000000"/>
        </w:rPr>
      </w:pPr>
      <w:r>
        <w:rPr>
          <w:color w:val="000000"/>
        </w:rPr>
        <w:t>‌</w:t>
      </w:r>
    </w:p>
    <w:p w14:paraId="0A487EE1">
      <w:pPr>
        <w:pStyle w:val="12"/>
        <w:rPr>
          <w:color w:val="000000"/>
        </w:rPr>
      </w:pPr>
    </w:p>
    <w:p w14:paraId="4D154B20">
      <w:pPr>
        <w:rPr>
          <w:lang w:val="en-US"/>
        </w:rPr>
      </w:pPr>
    </w:p>
    <w:p w14:paraId="27F78435">
      <w:r>
        <w:br w:type="textWrapping"/>
      </w:r>
    </w:p>
    <w:sectPr>
      <w:headerReference r:id="rId5" w:type="default"/>
      <w:footerReference r:id="rId6"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angal">
    <w:altName w:val="Segoe Print"/>
    <w:panose1 w:val="02040503050203030202"/>
    <w:charset w:val="00"/>
    <w:family w:val="roman"/>
    <w:pitch w:val="default"/>
    <w:sig w:usb0="00000000" w:usb1="00000000" w:usb2="00000000" w:usb3="00000000" w:csb0="00000001"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2717511"/>
      <w:docPartObj>
        <w:docPartGallery w:val="autotext"/>
      </w:docPartObj>
    </w:sdtPr>
    <w:sdtContent>
      <w:p w14:paraId="05EB09CD">
        <w:pPr>
          <w:pStyle w:val="9"/>
          <w:jc w:val="right"/>
        </w:pPr>
        <w:r>
          <w:fldChar w:fldCharType="begin"/>
        </w:r>
        <w:r>
          <w:instrText xml:space="preserve"> PAGE   \* MERGEFORMAT </w:instrText>
        </w:r>
        <w:r>
          <w:fldChar w:fldCharType="separate"/>
        </w:r>
        <w:r>
          <w:t>2</w:t>
        </w:r>
        <w:r>
          <w:fldChar w:fldCharType="end"/>
        </w:r>
      </w:p>
    </w:sdtContent>
  </w:sdt>
  <w:p w14:paraId="6ABFA67F">
    <w:pPr>
      <w:pStyle w:val="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BCAD8A3">
    <w:pPr>
      <w:pStyle w:val="10"/>
    </w:pPr>
    <w:r>
      <w:drawing>
        <wp:inline distT="0" distB="0" distL="0" distR="0">
          <wp:extent cx="1685925" cy="6642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
                  <a:stretch>
                    <a:fillRect/>
                  </a:stretch>
                </pic:blipFill>
                <pic:spPr>
                  <a:xfrm>
                    <a:off x="0" y="0"/>
                    <a:ext cx="1697266" cy="66911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4"/>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B3D"/>
    <w:rsid w:val="00055C81"/>
    <w:rsid w:val="000924F3"/>
    <w:rsid w:val="000F22A7"/>
    <w:rsid w:val="0011732B"/>
    <w:rsid w:val="00134AA7"/>
    <w:rsid w:val="00166ADA"/>
    <w:rsid w:val="001A491E"/>
    <w:rsid w:val="001B709F"/>
    <w:rsid w:val="00214086"/>
    <w:rsid w:val="00226B3D"/>
    <w:rsid w:val="002C0A06"/>
    <w:rsid w:val="002E4334"/>
    <w:rsid w:val="002E6A0C"/>
    <w:rsid w:val="00301CED"/>
    <w:rsid w:val="003836F1"/>
    <w:rsid w:val="00395B52"/>
    <w:rsid w:val="003E15DD"/>
    <w:rsid w:val="003F5AE8"/>
    <w:rsid w:val="00404ED2"/>
    <w:rsid w:val="004464BE"/>
    <w:rsid w:val="00463458"/>
    <w:rsid w:val="00504C41"/>
    <w:rsid w:val="00516514"/>
    <w:rsid w:val="00543F58"/>
    <w:rsid w:val="00595672"/>
    <w:rsid w:val="00631111"/>
    <w:rsid w:val="006C0DC2"/>
    <w:rsid w:val="006D41E5"/>
    <w:rsid w:val="00747EDD"/>
    <w:rsid w:val="00764956"/>
    <w:rsid w:val="00787619"/>
    <w:rsid w:val="007B67E9"/>
    <w:rsid w:val="007B6E4D"/>
    <w:rsid w:val="008607F1"/>
    <w:rsid w:val="008A2158"/>
    <w:rsid w:val="008A2536"/>
    <w:rsid w:val="008A7313"/>
    <w:rsid w:val="00981B7B"/>
    <w:rsid w:val="00987FB0"/>
    <w:rsid w:val="009933FC"/>
    <w:rsid w:val="009D4B35"/>
    <w:rsid w:val="00A14197"/>
    <w:rsid w:val="00A2116F"/>
    <w:rsid w:val="00A4430D"/>
    <w:rsid w:val="00A8754F"/>
    <w:rsid w:val="00AD039F"/>
    <w:rsid w:val="00B13E00"/>
    <w:rsid w:val="00B2077E"/>
    <w:rsid w:val="00C24542"/>
    <w:rsid w:val="00CC4F30"/>
    <w:rsid w:val="00CE5CF0"/>
    <w:rsid w:val="00D2705A"/>
    <w:rsid w:val="00D361EF"/>
    <w:rsid w:val="00D7540E"/>
    <w:rsid w:val="00D83C37"/>
    <w:rsid w:val="00DA55D5"/>
    <w:rsid w:val="00F16D45"/>
    <w:rsid w:val="00F3723D"/>
    <w:rsid w:val="00FE2E52"/>
    <w:rsid w:val="141B5F7E"/>
    <w:rsid w:val="5EDC55FF"/>
    <w:rsid w:val="693A0F9E"/>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sz w:val="24"/>
      <w:lang w:val="en-GB" w:eastAsia="en-US" w:bidi="hi-IN"/>
    </w:rPr>
  </w:style>
  <w:style w:type="paragraph" w:styleId="2">
    <w:name w:val="heading 1"/>
    <w:basedOn w:val="1"/>
    <w:next w:val="1"/>
    <w:link w:val="16"/>
    <w:qFormat/>
    <w:uiPriority w:val="9"/>
    <w:pPr>
      <w:keepNext/>
      <w:keepLines/>
      <w:spacing w:before="240" w:after="0"/>
      <w:outlineLvl w:val="0"/>
    </w:pPr>
    <w:rPr>
      <w:rFonts w:eastAsiaTheme="majorEastAsia" w:cstheme="majorBidi"/>
      <w:b/>
      <w:szCs w:val="29"/>
    </w:rPr>
  </w:style>
  <w:style w:type="paragraph" w:styleId="3">
    <w:name w:val="heading 2"/>
    <w:basedOn w:val="1"/>
    <w:next w:val="1"/>
    <w:link w:val="22"/>
    <w:semiHidden/>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3"/>
    </w:rPr>
  </w:style>
  <w:style w:type="paragraph" w:styleId="4">
    <w:name w:val="heading 3"/>
    <w:basedOn w:val="1"/>
    <w:next w:val="1"/>
    <w:link w:val="23"/>
    <w:semiHidden/>
    <w:unhideWhenUsed/>
    <w:qFormat/>
    <w:uiPriority w:val="9"/>
    <w:pPr>
      <w:keepNext/>
      <w:keepLines/>
      <w:spacing w:before="40" w:after="0"/>
      <w:outlineLvl w:val="2"/>
    </w:pPr>
    <w:rPr>
      <w:rFonts w:asciiTheme="majorHAnsi" w:hAnsiTheme="majorHAnsi" w:eastAsiaTheme="majorEastAsia" w:cstheme="majorBidi"/>
      <w:color w:val="1F4E79" w:themeColor="accent1" w:themeShade="80"/>
      <w:szCs w:val="21"/>
    </w:rPr>
  </w:style>
  <w:style w:type="paragraph" w:styleId="5">
    <w:name w:val="heading 4"/>
    <w:basedOn w:val="1"/>
    <w:next w:val="1"/>
    <w:link w:val="24"/>
    <w:semiHidden/>
    <w:unhideWhenUsed/>
    <w:qFormat/>
    <w:uiPriority w:val="9"/>
    <w:pPr>
      <w:keepNext/>
      <w:keepLines/>
      <w:spacing w:before="40" w:after="0"/>
      <w:outlineLvl w:val="3"/>
    </w:pPr>
    <w:rPr>
      <w:rFonts w:asciiTheme="majorHAnsi" w:hAnsiTheme="majorHAnsi" w:eastAsiaTheme="majorEastAsia" w:cstheme="majorBidi"/>
      <w:i/>
      <w:iCs/>
      <w:color w:val="2E75B6" w:themeColor="accent1" w:themeShade="BF"/>
    </w:rPr>
  </w:style>
  <w:style w:type="character" w:default="1" w:styleId="6">
    <w:name w:val="Default Paragraph Font"/>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8">
    <w:name w:val="caption"/>
    <w:basedOn w:val="1"/>
    <w:next w:val="1"/>
    <w:unhideWhenUsed/>
    <w:qFormat/>
    <w:uiPriority w:val="35"/>
    <w:pPr>
      <w:spacing w:after="200" w:line="240" w:lineRule="auto"/>
    </w:pPr>
    <w:rPr>
      <w:i/>
      <w:iCs/>
      <w:color w:val="44546A" w:themeColor="text2"/>
      <w:sz w:val="18"/>
      <w:szCs w:val="16"/>
      <w14:textFill>
        <w14:solidFill>
          <w14:schemeClr w14:val="tx2"/>
        </w14:solidFill>
      </w14:textFill>
    </w:rPr>
  </w:style>
  <w:style w:type="paragraph" w:styleId="9">
    <w:name w:val="footer"/>
    <w:basedOn w:val="1"/>
    <w:link w:val="20"/>
    <w:unhideWhenUsed/>
    <w:uiPriority w:val="99"/>
    <w:pPr>
      <w:tabs>
        <w:tab w:val="center" w:pos="4680"/>
        <w:tab w:val="right" w:pos="9360"/>
      </w:tabs>
      <w:spacing w:after="0" w:line="240" w:lineRule="auto"/>
    </w:pPr>
  </w:style>
  <w:style w:type="paragraph" w:styleId="10">
    <w:name w:val="header"/>
    <w:basedOn w:val="1"/>
    <w:link w:val="19"/>
    <w:unhideWhenUsed/>
    <w:uiPriority w:val="99"/>
    <w:pPr>
      <w:tabs>
        <w:tab w:val="center" w:pos="4680"/>
        <w:tab w:val="right" w:pos="9360"/>
      </w:tabs>
      <w:spacing w:after="0" w:line="240" w:lineRule="auto"/>
    </w:pPr>
  </w:style>
  <w:style w:type="character" w:styleId="11">
    <w:name w:val="Hyperlink"/>
    <w:basedOn w:val="6"/>
    <w:unhideWhenUsed/>
    <w:uiPriority w:val="99"/>
    <w:rPr>
      <w:color w:val="0563C1" w:themeColor="hyperlink"/>
      <w:u w:val="single"/>
      <w14:textFill>
        <w14:solidFill>
          <w14:schemeClr w14:val="hlink"/>
        </w14:solidFill>
      </w14:textFill>
    </w:rPr>
  </w:style>
  <w:style w:type="paragraph" w:styleId="12">
    <w:name w:val="Normal (Web)"/>
    <w:basedOn w:val="1"/>
    <w:unhideWhenUsed/>
    <w:uiPriority w:val="99"/>
    <w:pPr>
      <w:spacing w:before="100" w:beforeAutospacing="1" w:after="100" w:afterAutospacing="1" w:line="240" w:lineRule="auto"/>
      <w:jc w:val="left"/>
    </w:pPr>
    <w:rPr>
      <w:rFonts w:ascii="Times New Roman" w:hAnsi="Times New Roman" w:eastAsia="Times New Roman" w:cs="Times New Roman"/>
      <w:szCs w:val="24"/>
      <w:lang w:val="en-US"/>
    </w:rPr>
  </w:style>
  <w:style w:type="paragraph" w:styleId="13">
    <w:name w:val="table of figures"/>
    <w:basedOn w:val="1"/>
    <w:next w:val="1"/>
    <w:unhideWhenUsed/>
    <w:uiPriority w:val="99"/>
    <w:pPr>
      <w:spacing w:after="0"/>
    </w:pPr>
  </w:style>
  <w:style w:type="paragraph" w:styleId="14">
    <w:name w:val="Title"/>
    <w:basedOn w:val="1"/>
    <w:next w:val="1"/>
    <w:link w:val="18"/>
    <w:qFormat/>
    <w:uiPriority w:val="10"/>
    <w:pPr>
      <w:spacing w:after="0"/>
      <w:contextualSpacing/>
      <w:jc w:val="center"/>
    </w:pPr>
    <w:rPr>
      <w:rFonts w:eastAsiaTheme="majorEastAsia" w:cstheme="majorBidi"/>
      <w:b/>
      <w:spacing w:val="-10"/>
      <w:kern w:val="28"/>
      <w:sz w:val="48"/>
      <w:szCs w:val="50"/>
    </w:rPr>
  </w:style>
  <w:style w:type="paragraph" w:styleId="15">
    <w:name w:val="toc 1"/>
    <w:basedOn w:val="1"/>
    <w:next w:val="1"/>
    <w:autoRedefine/>
    <w:unhideWhenUsed/>
    <w:uiPriority w:val="39"/>
    <w:pPr>
      <w:spacing w:after="100"/>
    </w:pPr>
  </w:style>
  <w:style w:type="character" w:customStyle="1" w:styleId="16">
    <w:name w:val="Heading 1 Char"/>
    <w:basedOn w:val="6"/>
    <w:link w:val="2"/>
    <w:uiPriority w:val="9"/>
    <w:rPr>
      <w:rFonts w:ascii="Arial" w:hAnsi="Arial" w:eastAsiaTheme="majorEastAsia" w:cstheme="majorBidi"/>
      <w:b/>
      <w:sz w:val="24"/>
      <w:szCs w:val="29"/>
      <w:lang w:val="en-GB"/>
    </w:rPr>
  </w:style>
  <w:style w:type="paragraph" w:customStyle="1" w:styleId="17">
    <w:name w:val="TOC Heading"/>
    <w:basedOn w:val="2"/>
    <w:next w:val="1"/>
    <w:unhideWhenUsed/>
    <w:qFormat/>
    <w:uiPriority w:val="39"/>
    <w:pPr>
      <w:outlineLvl w:val="9"/>
    </w:pPr>
    <w:rPr>
      <w:szCs w:val="32"/>
      <w:lang w:val="en-US" w:bidi="ar-SA"/>
    </w:rPr>
  </w:style>
  <w:style w:type="character" w:customStyle="1" w:styleId="18">
    <w:name w:val="Title Char"/>
    <w:basedOn w:val="6"/>
    <w:link w:val="14"/>
    <w:uiPriority w:val="10"/>
    <w:rPr>
      <w:rFonts w:ascii="Arial" w:hAnsi="Arial" w:eastAsiaTheme="majorEastAsia" w:cstheme="majorBidi"/>
      <w:b/>
      <w:spacing w:val="-10"/>
      <w:kern w:val="28"/>
      <w:sz w:val="48"/>
      <w:szCs w:val="50"/>
      <w:lang w:val="en-GB"/>
    </w:rPr>
  </w:style>
  <w:style w:type="character" w:customStyle="1" w:styleId="19">
    <w:name w:val="Header Char"/>
    <w:basedOn w:val="6"/>
    <w:link w:val="10"/>
    <w:uiPriority w:val="99"/>
    <w:rPr>
      <w:rFonts w:ascii="Arial" w:hAnsi="Arial"/>
      <w:sz w:val="24"/>
      <w:lang w:val="en-GB"/>
    </w:rPr>
  </w:style>
  <w:style w:type="character" w:customStyle="1" w:styleId="20">
    <w:name w:val="Footer Char"/>
    <w:basedOn w:val="6"/>
    <w:link w:val="9"/>
    <w:uiPriority w:val="99"/>
    <w:rPr>
      <w:rFonts w:ascii="Arial" w:hAnsi="Arial"/>
      <w:sz w:val="24"/>
      <w:lang w:val="en-GB"/>
    </w:rPr>
  </w:style>
  <w:style w:type="paragraph" w:styleId="21">
    <w:name w:val="List Paragraph"/>
    <w:basedOn w:val="1"/>
    <w:qFormat/>
    <w:uiPriority w:val="34"/>
    <w:pPr>
      <w:ind w:left="720"/>
      <w:contextualSpacing/>
    </w:pPr>
  </w:style>
  <w:style w:type="character" w:customStyle="1" w:styleId="22">
    <w:name w:val="Heading 2 Char"/>
    <w:basedOn w:val="6"/>
    <w:link w:val="3"/>
    <w:semiHidden/>
    <w:uiPriority w:val="9"/>
    <w:rPr>
      <w:rFonts w:asciiTheme="majorHAnsi" w:hAnsiTheme="majorHAnsi" w:eastAsiaTheme="majorEastAsia" w:cstheme="majorBidi"/>
      <w:color w:val="2E75B6" w:themeColor="accent1" w:themeShade="BF"/>
      <w:sz w:val="26"/>
      <w:szCs w:val="23"/>
      <w:lang w:val="en-GB"/>
    </w:rPr>
  </w:style>
  <w:style w:type="character" w:customStyle="1" w:styleId="23">
    <w:name w:val="Heading 3 Char"/>
    <w:basedOn w:val="6"/>
    <w:link w:val="4"/>
    <w:semiHidden/>
    <w:uiPriority w:val="9"/>
    <w:rPr>
      <w:rFonts w:asciiTheme="majorHAnsi" w:hAnsiTheme="majorHAnsi" w:eastAsiaTheme="majorEastAsia" w:cstheme="majorBidi"/>
      <w:color w:val="1F4E79" w:themeColor="accent1" w:themeShade="80"/>
      <w:sz w:val="24"/>
      <w:szCs w:val="21"/>
      <w:lang w:val="en-GB"/>
    </w:rPr>
  </w:style>
  <w:style w:type="character" w:customStyle="1" w:styleId="24">
    <w:name w:val="Heading 4 Char"/>
    <w:basedOn w:val="6"/>
    <w:link w:val="5"/>
    <w:semiHidden/>
    <w:uiPriority w:val="9"/>
    <w:rPr>
      <w:rFonts w:asciiTheme="majorHAnsi" w:hAnsiTheme="majorHAnsi" w:eastAsiaTheme="majorEastAsia" w:cstheme="majorBidi"/>
      <w:i/>
      <w:iCs/>
      <w:color w:val="2E75B6" w:themeColor="accent1" w:themeShade="BF"/>
      <w:sz w:val="24"/>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3D1CF-FED2-40F9-9594-FA55C22E6A5D}">
  <ds:schemaRefs/>
</ds:datastoreItem>
</file>

<file path=docProps/app.xml><?xml version="1.0" encoding="utf-8"?>
<Properties xmlns="http://schemas.openxmlformats.org/officeDocument/2006/extended-properties" xmlns:vt="http://schemas.openxmlformats.org/officeDocument/2006/docPropsVTypes">
  <Template>Normal</Template>
  <Pages>15</Pages>
  <Words>3171</Words>
  <Characters>19361</Characters>
  <Lines>338</Lines>
  <Paragraphs>77</Paragraphs>
  <TotalTime>20</TotalTime>
  <ScaleCrop>false</ScaleCrop>
  <LinksUpToDate>false</LinksUpToDate>
  <CharactersWithSpaces>22457</CharactersWithSpaces>
  <Application>WPS Office_12.2.0.20326_F1E327BC-269C-435d-A152-05C5408002CA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2025-03-20T06:06:00Z</dcterms:created>
  <dc:creator>minal</dc:creator>
  <cp:lastModifiedBy>Minal Ramani</cp:lastModifiedBy>
  <dcterms:modified xsi:type="dcterms:W3CDTF">2025-03-27T14:53:42Z</dcterms:modified>
  <cp:revision>44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9da9a704-eb7d-47bd-ba19-f9366fce15cc</vt:lpwstr>
  </property>
  <property fmtid="{D5CDD505-2E9C-101B-9397-08002B2CF9AE}" pid="3" name="KSOProductBuildVer">
    <vt:lpwstr>1033-12.2.0.20326</vt:lpwstr>
  </property>
  <property fmtid="{D5CDD505-2E9C-101B-9397-08002B2CF9AE}" pid="4" name="ICV">
    <vt:lpwstr>F42F52523057427594B96F864BC98E0B_12</vt:lpwstr>
  </property>
</Properties>
</file>