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B816F4" w:rsidR="00B816F4" w:rsidP="00B816F4" w:rsidRDefault="00B816F4" w14:paraId="18A7AA3D" w14:textId="77777777">
      <w:pPr>
        <w:spacing w:after="106" w:line="259" w:lineRule="auto"/>
        <w:ind w:left="-1" w:right="5451"/>
        <w:jc w:val="right"/>
        <w:rPr>
          <w:rFonts w:eastAsia="Calibri"/>
          <w:color w:val="000000"/>
          <w:kern w:val="2"/>
          <w14:ligatures w14:val="standardContextual"/>
        </w:rPr>
      </w:pPr>
      <w:r w:rsidRPr="00B816F4">
        <w:rPr>
          <w:rFonts w:eastAsia="Calibri"/>
          <w:noProof/>
          <w:color w:val="000000"/>
          <w:kern w:val="2"/>
          <w14:ligatures w14:val="standardContextual"/>
        </w:rPr>
        <w:drawing>
          <wp:inline distT="0" distB="0" distL="0" distR="0" wp14:anchorId="71568DC3" wp14:editId="208977BD">
            <wp:extent cx="2619248" cy="1165860"/>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2619248" cy="1165860"/>
                    </a:xfrm>
                    <a:prstGeom prst="rect">
                      <a:avLst/>
                    </a:prstGeom>
                  </pic:spPr>
                </pic:pic>
              </a:graphicData>
            </a:graphic>
          </wp:inline>
        </w:drawing>
      </w:r>
      <w:r w:rsidRPr="00B816F4" w:rsidR="00B816F4">
        <w:rPr>
          <w:rFonts w:eastAsia="Segoe UI"/>
          <w:color w:val="000000"/>
          <w:kern w:val="2"/>
          <w14:ligatures w14:val="standardContextual"/>
        </w:rPr>
        <w:t xml:space="preserve"> </w:t>
      </w:r>
    </w:p>
    <w:p w:rsidRPr="00B816F4" w:rsidR="00B816F4" w:rsidP="00B816F4" w:rsidRDefault="00B816F4" w14:paraId="733AABEA" w14:textId="77777777">
      <w:pPr>
        <w:spacing w:after="161" w:line="259" w:lineRule="auto"/>
        <w:rPr>
          <w:rFonts w:eastAsia="Calibri"/>
          <w:color w:val="000000"/>
          <w:kern w:val="2"/>
          <w14:ligatures w14:val="standardContextual"/>
        </w:rPr>
      </w:pPr>
      <w:r w:rsidRPr="00B816F4">
        <w:rPr>
          <w:rFonts w:eastAsia="Segoe UI"/>
          <w:color w:val="000000"/>
          <w:kern w:val="2"/>
          <w14:ligatures w14:val="standardContextual"/>
        </w:rPr>
        <w:t xml:space="preserve"> </w:t>
      </w:r>
    </w:p>
    <w:p w:rsidRPr="00B816F4" w:rsidR="00B816F4" w:rsidP="3655509E" w:rsidRDefault="00B816F4" w14:paraId="2CE23455" w14:textId="77777777">
      <w:pPr>
        <w:spacing w:after="157" w:line="259" w:lineRule="auto"/>
        <w:jc w:val="center"/>
        <w:rPr>
          <w:rFonts w:eastAsia="Calibri"/>
          <w:color w:val="000000"/>
          <w:kern w:val="2"/>
          <w14:ligatures w14:val="standardContextual"/>
        </w:rPr>
      </w:pPr>
      <w:r w:rsidRPr="00B816F4" w:rsidR="00B816F4">
        <w:rPr>
          <w:rFonts w:eastAsia="Segoe UI"/>
          <w:color w:val="000000"/>
          <w:kern w:val="2"/>
          <w14:ligatures w14:val="standardContextual"/>
        </w:rPr>
        <w:t xml:space="preserve"> </w:t>
      </w:r>
    </w:p>
    <w:p w:rsidRPr="00C23F97" w:rsidR="00C23F97" w:rsidP="3655509E" w:rsidRDefault="00C23F97" w14:paraId="33486179" w14:textId="23B7934C">
      <w:pPr>
        <w:pStyle w:val="Normal"/>
        <w:spacing w:after="161" w:line="259" w:lineRule="auto"/>
        <w:jc w:val="center"/>
        <w:rPr>
          <w:rFonts w:eastAsia="Segoe UI"/>
          <w:b w:val="1"/>
          <w:bCs w:val="1"/>
          <w:color w:val="000000" w:themeColor="text1" w:themeTint="FF" w:themeShade="FF"/>
          <w:sz w:val="36"/>
          <w:szCs w:val="36"/>
        </w:rPr>
      </w:pPr>
    </w:p>
    <w:p w:rsidRPr="00B816F4" w:rsidR="00B816F4" w:rsidP="3655509E" w:rsidRDefault="00B816F4" w14:textId="77777777" w14:paraId="7CFE7253">
      <w:pPr>
        <w:spacing w:after="161" w:line="259" w:lineRule="auto"/>
        <w:jc w:val="center"/>
        <w:rPr>
          <w:rFonts w:eastAsia="Segoe UI"/>
          <w:color w:val="000000"/>
          <w:kern w:val="2"/>
          <w:sz w:val="36"/>
          <w:szCs w:val="36"/>
          <w14:ligatures w14:val="standardContextual"/>
        </w:rPr>
      </w:pPr>
      <w:r w:rsidRPr="3655509E" w:rsidR="00B816F4">
        <w:rPr>
          <w:rFonts w:eastAsia="Segoe UI"/>
          <w:b w:val="1"/>
          <w:bCs w:val="1"/>
          <w:i w:val="1"/>
          <w:iCs w:val="1"/>
          <w:color w:val="000000"/>
          <w:kern w:val="2"/>
          <w:sz w:val="36"/>
          <w:szCs w:val="36"/>
          <w14:ligatures w14:val="standardContextual"/>
        </w:rPr>
        <w:t>The Role of the Mental Health Nurse: Essential Skills and Strategies for Development</w:t>
      </w:r>
    </w:p>
    <w:p w:rsidRPr="00B816F4" w:rsidR="00B816F4" w:rsidP="3655509E" w:rsidRDefault="00B816F4" w14:textId="77777777" w14:paraId="075E8F31">
      <w:pPr>
        <w:pStyle w:val="Normal"/>
        <w:spacing w:after="157" w:line="259" w:lineRule="auto"/>
        <w:jc w:val="center"/>
      </w:pPr>
      <w:r w:rsidRPr="3655509E" w:rsidR="00B816F4">
        <w:rPr>
          <w:rFonts w:eastAsia="Segoe UI"/>
          <w:color w:val="000000"/>
          <w:kern w:val="2"/>
          <w:sz w:val="36"/>
          <w:szCs w:val="36"/>
          <w14:ligatures w14:val="standardContextual"/>
        </w:rPr>
        <w:t xml:space="preserve"> </w:t>
      </w:r>
    </w:p>
    <w:p w:rsidRPr="00B816F4" w:rsidR="00B816F4" w:rsidP="3655509E" w:rsidRDefault="00B816F4" w14:paraId="4874C500" w14:textId="22B4C67A">
      <w:pPr>
        <w:pStyle w:val="Normal"/>
        <w:spacing w:after="157" w:line="259" w:lineRule="auto"/>
        <w:jc w:val="center"/>
        <w:rPr>
          <w:rFonts w:eastAsia="Segoe UI"/>
          <w:b w:val="1"/>
          <w:bCs w:val="1"/>
          <w:color w:val="000000"/>
          <w:kern w:val="2"/>
          <w:sz w:val="36"/>
          <w:szCs w:val="36"/>
          <w14:ligatures w14:val="standardContextual"/>
        </w:rPr>
      </w:pPr>
      <w:r w:rsidRPr="3655509E" w:rsidR="40F7C70C">
        <w:rPr>
          <w:rFonts w:eastAsia="Segoe UI"/>
          <w:b w:val="1"/>
          <w:bCs w:val="1"/>
          <w:color w:val="000000" w:themeColor="text1" w:themeTint="FF" w:themeShade="FF"/>
          <w:sz w:val="36"/>
          <w:szCs w:val="36"/>
        </w:rPr>
        <w:t>Task 3: Written Report</w:t>
      </w:r>
    </w:p>
    <w:p w:rsidRPr="00B816F4" w:rsidR="00B816F4" w:rsidP="3655509E" w:rsidRDefault="00B816F4" w14:paraId="42B66BBD" w14:textId="77777777">
      <w:pPr>
        <w:spacing w:after="206" w:line="259" w:lineRule="auto"/>
        <w:rPr>
          <w:rFonts w:eastAsia="Calibri"/>
          <w:color w:val="000000"/>
          <w:kern w:val="2"/>
          <w:sz w:val="36"/>
          <w:szCs w:val="36"/>
          <w14:ligatures w14:val="standardContextual"/>
        </w:rPr>
      </w:pPr>
      <w:r w:rsidRPr="3655509E" w:rsidR="00B816F4">
        <w:rPr>
          <w:rFonts w:eastAsia="Segoe UI"/>
          <w:color w:val="000000"/>
          <w:kern w:val="2"/>
          <w:sz w:val="36"/>
          <w:szCs w:val="36"/>
          <w14:ligatures w14:val="standardContextual"/>
        </w:rPr>
        <w:t xml:space="preserve"> </w:t>
      </w:r>
    </w:p>
    <w:p w:rsidR="3655509E" w:rsidP="3655509E" w:rsidRDefault="3655509E" w14:paraId="1F679FCA" w14:textId="3E9C6AC9">
      <w:pPr>
        <w:spacing w:after="160" w:line="259" w:lineRule="auto"/>
        <w:ind w:left="-5" w:hanging="10"/>
        <w:rPr>
          <w:color w:val="000000" w:themeColor="text1" w:themeTint="FF" w:themeShade="FF"/>
          <w:sz w:val="36"/>
          <w:szCs w:val="36"/>
        </w:rPr>
      </w:pPr>
    </w:p>
    <w:p w:rsidR="3655509E" w:rsidP="3655509E" w:rsidRDefault="3655509E" w14:paraId="29FCD313" w14:textId="26499D61">
      <w:pPr>
        <w:spacing w:after="160" w:line="259" w:lineRule="auto"/>
        <w:ind w:left="-5" w:hanging="10"/>
        <w:rPr>
          <w:color w:val="000000" w:themeColor="text1" w:themeTint="FF" w:themeShade="FF"/>
          <w:sz w:val="36"/>
          <w:szCs w:val="36"/>
        </w:rPr>
      </w:pPr>
    </w:p>
    <w:p w:rsidRPr="00B816F4" w:rsidR="00B816F4" w:rsidP="3655509E" w:rsidRDefault="00B816F4" w14:paraId="6B500A39" w14:textId="6131D7CD">
      <w:pPr>
        <w:spacing w:after="160" w:line="259" w:lineRule="auto"/>
        <w:ind w:left="-5" w:hanging="10"/>
        <w:rPr>
          <w:rFonts w:eastAsia="Calibri"/>
          <w:color w:val="000000"/>
          <w:kern w:val="2"/>
          <w:sz w:val="36"/>
          <w:szCs w:val="36"/>
          <w14:ligatures w14:val="standardContextual"/>
        </w:rPr>
      </w:pPr>
      <w:r w:rsidRPr="3655509E" w:rsidR="00B816F4">
        <w:rPr>
          <w:color w:val="000000"/>
          <w:kern w:val="2"/>
          <w:sz w:val="36"/>
          <w:szCs w:val="36"/>
          <w14:ligatures w14:val="standardContextual"/>
        </w:rPr>
        <w:t xml:space="preserve">Name:  </w:t>
      </w:r>
      <w:r w:rsidRPr="3655509E" w:rsidR="0D811A3C">
        <w:rPr>
          <w:color w:val="000000" w:themeColor="text1" w:themeTint="FF" w:themeShade="FF"/>
          <w:sz w:val="36"/>
          <w:szCs w:val="36"/>
        </w:rPr>
        <w:t>EVELYN MONU</w:t>
      </w:r>
    </w:p>
    <w:p w:rsidRPr="00B816F4" w:rsidR="00B816F4" w:rsidP="3655509E" w:rsidRDefault="00B816F4" w14:paraId="78A5215E" w14:textId="2F91F76C">
      <w:pPr>
        <w:spacing w:after="160" w:line="259" w:lineRule="auto"/>
        <w:ind w:left="-5" w:hanging="10"/>
        <w:rPr>
          <w:rFonts w:eastAsia="Calibri"/>
          <w:color w:val="000000"/>
          <w:kern w:val="2"/>
          <w:sz w:val="36"/>
          <w:szCs w:val="36"/>
          <w14:ligatures w14:val="standardContextual"/>
        </w:rPr>
      </w:pPr>
      <w:r w:rsidRPr="3655509E" w:rsidR="00B816F4">
        <w:rPr>
          <w:color w:val="000000"/>
          <w:kern w:val="2"/>
          <w:sz w:val="36"/>
          <w:szCs w:val="36"/>
          <w14:ligatures w14:val="standardContextual"/>
        </w:rPr>
        <w:t xml:space="preserve">Student ID:  </w:t>
      </w:r>
      <w:r w:rsidRPr="3655509E" w:rsidR="243B839C">
        <w:rPr>
          <w:color w:val="000000" w:themeColor="text1" w:themeTint="FF" w:themeShade="FF"/>
          <w:sz w:val="36"/>
          <w:szCs w:val="36"/>
        </w:rPr>
        <w:t>2537502</w:t>
      </w:r>
    </w:p>
    <w:p w:rsidRPr="00B816F4" w:rsidR="00B816F4" w:rsidP="3655509E" w:rsidRDefault="00B816F4" w14:paraId="71FE0C4E" w14:textId="1F245FCB">
      <w:pPr>
        <w:pStyle w:val="Normal"/>
        <w:spacing w:after="160" w:line="259" w:lineRule="auto"/>
        <w:ind w:left="-5" w:hanging="10"/>
        <w:rPr>
          <w:rFonts w:eastAsia="Calibri"/>
          <w:color w:val="000000"/>
          <w:kern w:val="2"/>
          <w:sz w:val="36"/>
          <w:szCs w:val="36"/>
          <w14:ligatures w14:val="standardContextual"/>
        </w:rPr>
      </w:pPr>
      <w:r w:rsidRPr="3655509E" w:rsidR="00B816F4">
        <w:rPr>
          <w:color w:val="000000"/>
          <w:kern w:val="2"/>
          <w:sz w:val="36"/>
          <w:szCs w:val="36"/>
          <w14:ligatures w14:val="standardContextual"/>
        </w:rPr>
        <w:t xml:space="preserve">Module Code:</w:t>
      </w:r>
      <w:r w:rsidRPr="3655509E" w:rsidR="3B2E344A">
        <w:rPr>
          <w:rFonts w:eastAsia="Segoe UI"/>
          <w:b w:val="1"/>
          <w:bCs w:val="1"/>
          <w:color w:val="000000" w:themeColor="text1" w:themeTint="FF" w:themeShade="FF"/>
          <w:sz w:val="36"/>
          <w:szCs w:val="36"/>
        </w:rPr>
        <w:t xml:space="preserve"> </w:t>
      </w:r>
      <w:r w:rsidRPr="3655509E" w:rsidR="3B2E344A">
        <w:rPr>
          <w:rFonts w:eastAsia="Segoe UI"/>
          <w:b w:val="1"/>
          <w:bCs w:val="1"/>
          <w:color w:val="000000" w:themeColor="text1" w:themeTint="FF" w:themeShade="FF"/>
          <w:sz w:val="36"/>
          <w:szCs w:val="36"/>
        </w:rPr>
        <w:t xml:space="preserve">LCHS4001 </w:t>
      </w:r>
      <w:r w:rsidRPr="3655509E" w:rsidR="00B816F4">
        <w:rPr>
          <w:color w:val="000000" w:themeColor="text1" w:themeTint="FF" w:themeShade="FF"/>
          <w:sz w:val="36"/>
          <w:szCs w:val="36"/>
        </w:rPr>
        <w:t xml:space="preserve"> </w:t>
      </w:r>
      <w:r w:rsidRPr="3655509E" w:rsidR="00B816F4">
        <w:rPr>
          <w:color w:val="000000" w:themeColor="text1" w:themeTint="FF" w:themeShade="FF"/>
          <w:sz w:val="36"/>
          <w:szCs w:val="36"/>
        </w:rPr>
        <w:t xml:space="preserve"> </w:t>
      </w:r>
    </w:p>
    <w:p w:rsidRPr="00B816F4" w:rsidR="00B816F4" w:rsidP="3655509E" w:rsidRDefault="00B816F4" w14:paraId="3A2B0199" w14:textId="2BD14778">
      <w:pPr>
        <w:pStyle w:val="Normal"/>
        <w:spacing w:after="160" w:line="259" w:lineRule="auto"/>
        <w:ind w:left="-5" w:hanging="10"/>
        <w:rPr>
          <w:rFonts w:eastAsia="Segoe UI"/>
          <w:color w:val="000000"/>
          <w:kern w:val="2"/>
          <w:sz w:val="36"/>
          <w:szCs w:val="36"/>
          <w14:ligatures w14:val="standardContextual"/>
        </w:rPr>
      </w:pPr>
      <w:r w:rsidRPr="3655509E" w:rsidR="00B816F4">
        <w:rPr>
          <w:color w:val="000000"/>
          <w:kern w:val="2"/>
          <w:sz w:val="36"/>
          <w:szCs w:val="36"/>
          <w14:ligatures w14:val="standardContextual"/>
        </w:rPr>
        <w:t xml:space="preserve">Module:  </w:t>
      </w:r>
      <w:r w:rsidRPr="3655509E" w:rsidR="28547369">
        <w:rPr>
          <w:rFonts w:eastAsia="Segoe UI"/>
          <w:b w:val="1"/>
          <w:bCs w:val="1"/>
          <w:color w:val="000000" w:themeColor="text1" w:themeTint="FF" w:themeShade="FF"/>
          <w:sz w:val="36"/>
          <w:szCs w:val="36"/>
        </w:rPr>
        <w:t>Academic and Employability Skills</w:t>
      </w:r>
    </w:p>
    <w:p w:rsidRPr="00B816F4" w:rsidR="00B816F4" w:rsidP="3655509E" w:rsidRDefault="00B816F4" w14:paraId="1EE92EC3" w14:textId="5FCE5A2D">
      <w:pPr>
        <w:spacing w:after="160" w:line="259" w:lineRule="auto"/>
        <w:ind w:left="-5" w:hanging="10"/>
        <w:rPr>
          <w:color w:val="000000"/>
          <w:kern w:val="2"/>
          <w:sz w:val="36"/>
          <w:szCs w:val="36"/>
          <w14:ligatures w14:val="standardContextual"/>
        </w:rPr>
      </w:pPr>
      <w:r w:rsidRPr="3655509E" w:rsidR="00B816F4">
        <w:rPr>
          <w:color w:val="000000"/>
          <w:kern w:val="2"/>
          <w:sz w:val="36"/>
          <w:szCs w:val="36"/>
          <w14:ligatures w14:val="standardContextual"/>
        </w:rPr>
        <w:t xml:space="preserve">Lecturer:  </w:t>
      </w:r>
      <w:r w:rsidRPr="3655509E" w:rsidR="21A0CEC1">
        <w:rPr>
          <w:color w:val="000000" w:themeColor="text1" w:themeTint="FF" w:themeShade="FF"/>
          <w:sz w:val="36"/>
          <w:szCs w:val="36"/>
        </w:rPr>
        <w:t>Markus Klingelfuss</w:t>
      </w:r>
    </w:p>
    <w:p w:rsidRPr="00B816F4" w:rsidR="00B816F4" w:rsidP="3655509E" w:rsidRDefault="00B816F4" w14:paraId="72B3C30E" w14:textId="77777777">
      <w:pPr>
        <w:spacing w:after="158" w:line="259" w:lineRule="auto"/>
        <w:rPr>
          <w:rFonts w:eastAsia="Calibri"/>
          <w:color w:val="000000"/>
          <w:kern w:val="2"/>
          <w:sz w:val="36"/>
          <w:szCs w:val="36"/>
          <w14:ligatures w14:val="standardContextual"/>
        </w:rPr>
      </w:pPr>
      <w:r w:rsidRPr="3655509E" w:rsidR="00B816F4">
        <w:rPr>
          <w:color w:val="000000"/>
          <w:kern w:val="2"/>
          <w:sz w:val="36"/>
          <w:szCs w:val="36"/>
          <w14:ligatures w14:val="standardContextual"/>
        </w:rPr>
        <w:t xml:space="preserve"> </w:t>
      </w:r>
    </w:p>
    <w:p w:rsidRPr="00B816F4" w:rsidR="00B816F4" w:rsidP="3655509E" w:rsidRDefault="00B816F4" w14:paraId="754EF694" w14:textId="0920E37B">
      <w:pPr>
        <w:spacing w:after="160" w:line="259" w:lineRule="auto"/>
        <w:ind w:left="-5" w:hanging="10"/>
        <w:rPr>
          <w:rFonts w:eastAsia="Calibri"/>
          <w:color w:val="000000"/>
          <w:kern w:val="2"/>
          <w:sz w:val="36"/>
          <w:szCs w:val="36"/>
          <w14:ligatures w14:val="standardContextual"/>
        </w:rPr>
      </w:pPr>
      <w:r w:rsidRPr="3655509E" w:rsidR="00B816F4">
        <w:rPr>
          <w:color w:val="000000"/>
          <w:kern w:val="2"/>
          <w:sz w:val="36"/>
          <w:szCs w:val="36"/>
          <w14:ligatures w14:val="standardContextual"/>
        </w:rPr>
        <w:t xml:space="preserve">Submitted on:   </w:t>
      </w:r>
      <w:r w:rsidRPr="3655509E" w:rsidR="6E931EB0">
        <w:rPr>
          <w:color w:val="000000" w:themeColor="text1" w:themeTint="FF" w:themeShade="FF"/>
          <w:sz w:val="36"/>
          <w:szCs w:val="36"/>
        </w:rPr>
        <w:t>1 July 2026</w:t>
      </w:r>
    </w:p>
    <w:p w:rsidRPr="00B816F4" w:rsidR="00B816F4" w:rsidP="00B816F4" w:rsidRDefault="00B816F4" w14:paraId="4AF8059A" w14:textId="77777777">
      <w:pPr>
        <w:ind w:firstLine="720"/>
      </w:pPr>
    </w:p>
    <w:p w:rsidRPr="00B816F4" w:rsidR="00B816F4" w:rsidP="00B816F4" w:rsidRDefault="006908EC" w14:paraId="02E3B364" w14:textId="4C8B7AEA">
      <w:pPr>
        <w:ind w:firstLine="720"/>
      </w:pPr>
      <w:r>
        <w:t xml:space="preserve"> </w:t>
      </w:r>
      <w:r w:rsidR="0015263B">
        <w:t xml:space="preserve"> </w:t>
      </w:r>
    </w:p>
    <w:p w:rsidRPr="00B816F4" w:rsidR="00B816F4" w:rsidP="00B816F4" w:rsidRDefault="00B816F4" w14:paraId="7B3184E1" w14:textId="77777777">
      <w:pPr>
        <w:ind w:firstLine="720"/>
      </w:pPr>
    </w:p>
    <w:p w:rsidRPr="00B816F4" w:rsidR="00B816F4" w:rsidP="00B816F4" w:rsidRDefault="00B816F4" w14:paraId="2FA502EB" w14:textId="77777777">
      <w:pPr>
        <w:ind w:firstLine="720"/>
      </w:pPr>
    </w:p>
    <w:p w:rsidRPr="00B816F4" w:rsidR="00B816F4" w:rsidP="00B816F4" w:rsidRDefault="00B816F4" w14:paraId="5578DB0A" w14:textId="77777777">
      <w:pPr>
        <w:ind w:firstLine="720"/>
      </w:pPr>
    </w:p>
    <w:p w:rsidR="00B816F4" w:rsidP="3655509E" w:rsidRDefault="00B816F4" w14:paraId="469C5602" w14:textId="1B1B0861">
      <w:pPr>
        <w:pStyle w:val="Normal"/>
        <w:ind w:firstLine="720"/>
      </w:pPr>
    </w:p>
    <w:p w:rsidR="00B816F4" w:rsidP="00B816F4" w:rsidRDefault="00B816F4" w14:paraId="6829E796" w14:textId="77777777">
      <w:pPr>
        <w:tabs>
          <w:tab w:val="left" w:pos="792"/>
        </w:tabs>
      </w:pPr>
    </w:p>
    <w:p w:rsidR="00B816F4" w:rsidP="00B816F4" w:rsidRDefault="00B816F4" w14:paraId="4CA3AED1" w14:textId="77777777">
      <w:pPr>
        <w:tabs>
          <w:tab w:val="left" w:pos="792"/>
        </w:tabs>
      </w:pPr>
    </w:p>
    <w:p w:rsidR="00B816F4" w:rsidP="3655509E" w:rsidRDefault="00B816F4" w14:paraId="7EABDE6A" w14:textId="17B5B4FD">
      <w:pPr>
        <w:pStyle w:val="Normal"/>
        <w:tabs>
          <w:tab w:val="left" w:pos="792"/>
        </w:tabs>
      </w:pPr>
    </w:p>
    <w:p w:rsidR="00B816F4" w:rsidP="00B816F4" w:rsidRDefault="00B816F4" w14:paraId="3A3726C7" w14:textId="77777777">
      <w:pPr>
        <w:tabs>
          <w:tab w:val="left" w:pos="792"/>
        </w:tabs>
      </w:pPr>
    </w:p>
    <w:sdt>
      <w:sdtPr>
        <w:rPr>
          <w:rFonts w:ascii="Arial" w:hAnsi="Arial" w:eastAsia="Arial" w:cs="Arial"/>
          <w:color w:val="auto"/>
          <w:sz w:val="22"/>
          <w:szCs w:val="22"/>
          <w:lang w:val="en-GB" w:eastAsia="en-GB"/>
        </w:rPr>
        <w:id w:val="-515777619"/>
        <w:docPartObj>
          <w:docPartGallery w:val="Table of Contents"/>
          <w:docPartUnique/>
        </w:docPartObj>
      </w:sdtPr>
      <w:sdtEndPr>
        <w:rPr>
          <w:rFonts w:ascii="Arial" w:hAnsi="Arial" w:eastAsia="Arial" w:cs="Arial"/>
          <w:b w:val="1"/>
          <w:bCs w:val="1"/>
          <w:noProof/>
          <w:color w:val="auto"/>
          <w:sz w:val="22"/>
          <w:szCs w:val="22"/>
          <w:lang w:val="en-GB" w:eastAsia="en-GB"/>
        </w:rPr>
      </w:sdtEndPr>
      <w:sdtContent>
        <w:p w:rsidR="00B816F4" w:rsidRDefault="00B816F4" w14:paraId="74552934" w14:textId="49454932">
          <w:pPr>
            <w:pStyle w:val="TOCHeading"/>
          </w:pPr>
          <w:r>
            <w:t>Table of Contents</w:t>
          </w:r>
        </w:p>
        <w:p w:rsidR="00C23F97" w:rsidRDefault="00B816F4" w14:paraId="779EF3F9" w14:textId="2C3C0037">
          <w:pPr>
            <w:pStyle w:val="TOC1"/>
            <w:tabs>
              <w:tab w:val="right" w:leader="dot" w:pos="9016"/>
            </w:tabs>
            <w:rPr>
              <w:rFonts w:asciiTheme="minorHAnsi" w:hAnsiTheme="minorHAnsi"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history="1" w:anchor="_Toc233240138">
            <w:r w:rsidRPr="00E13BA1" w:rsidR="00C23F97">
              <w:rPr>
                <w:rStyle w:val="Hyperlink"/>
                <w:noProof/>
              </w:rPr>
              <w:t>Title</w:t>
            </w:r>
            <w:r w:rsidR="00C23F97">
              <w:rPr>
                <w:noProof/>
                <w:webHidden/>
              </w:rPr>
              <w:tab/>
            </w:r>
            <w:r w:rsidR="00C23F97">
              <w:rPr>
                <w:noProof/>
                <w:webHidden/>
              </w:rPr>
              <w:fldChar w:fldCharType="begin"/>
            </w:r>
            <w:r w:rsidR="00C23F97">
              <w:rPr>
                <w:noProof/>
                <w:webHidden/>
              </w:rPr>
              <w:instrText xml:space="preserve"> PAGEREF _Toc233240138 \h </w:instrText>
            </w:r>
            <w:r w:rsidR="00C23F97">
              <w:rPr>
                <w:noProof/>
                <w:webHidden/>
              </w:rPr>
            </w:r>
            <w:r w:rsidR="00C23F97">
              <w:rPr>
                <w:noProof/>
                <w:webHidden/>
              </w:rPr>
              <w:fldChar w:fldCharType="separate"/>
            </w:r>
            <w:r w:rsidR="00C23F97">
              <w:rPr>
                <w:noProof/>
                <w:webHidden/>
              </w:rPr>
              <w:t>i</w:t>
            </w:r>
            <w:r w:rsidR="00C23F97">
              <w:rPr>
                <w:noProof/>
                <w:webHidden/>
              </w:rPr>
              <w:fldChar w:fldCharType="end"/>
            </w:r>
          </w:hyperlink>
        </w:p>
        <w:p w:rsidR="00C23F97" w:rsidRDefault="00C23F97" w14:paraId="2802969D" w14:textId="15765D5A">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39">
            <w:r w:rsidRPr="00E13BA1">
              <w:rPr>
                <w:rStyle w:val="Hyperlink"/>
                <w:noProof/>
              </w:rPr>
              <w:t>1: Written Report</w:t>
            </w:r>
            <w:r>
              <w:rPr>
                <w:noProof/>
                <w:webHidden/>
              </w:rPr>
              <w:tab/>
            </w:r>
            <w:r>
              <w:rPr>
                <w:noProof/>
                <w:webHidden/>
              </w:rPr>
              <w:fldChar w:fldCharType="begin"/>
            </w:r>
            <w:r>
              <w:rPr>
                <w:noProof/>
                <w:webHidden/>
              </w:rPr>
              <w:instrText xml:space="preserve"> PAGEREF _Toc233240139 \h </w:instrText>
            </w:r>
            <w:r>
              <w:rPr>
                <w:noProof/>
                <w:webHidden/>
              </w:rPr>
            </w:r>
            <w:r>
              <w:rPr>
                <w:noProof/>
                <w:webHidden/>
              </w:rPr>
              <w:fldChar w:fldCharType="separate"/>
            </w:r>
            <w:r>
              <w:rPr>
                <w:noProof/>
                <w:webHidden/>
              </w:rPr>
              <w:t>1</w:t>
            </w:r>
            <w:r>
              <w:rPr>
                <w:noProof/>
                <w:webHidden/>
              </w:rPr>
              <w:fldChar w:fldCharType="end"/>
            </w:r>
          </w:hyperlink>
        </w:p>
        <w:p w:rsidR="00C23F97" w:rsidRDefault="00C23F97" w14:paraId="0658C1F5" w14:textId="754C2A4B">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0">
            <w:r w:rsidRPr="00E13BA1">
              <w:rPr>
                <w:rStyle w:val="Hyperlink"/>
                <w:noProof/>
              </w:rPr>
              <w:t>1.1 Introduction</w:t>
            </w:r>
            <w:r>
              <w:rPr>
                <w:noProof/>
                <w:webHidden/>
              </w:rPr>
              <w:tab/>
            </w:r>
            <w:r>
              <w:rPr>
                <w:noProof/>
                <w:webHidden/>
              </w:rPr>
              <w:fldChar w:fldCharType="begin"/>
            </w:r>
            <w:r>
              <w:rPr>
                <w:noProof/>
                <w:webHidden/>
              </w:rPr>
              <w:instrText xml:space="preserve"> PAGEREF _Toc233240140 \h </w:instrText>
            </w:r>
            <w:r>
              <w:rPr>
                <w:noProof/>
                <w:webHidden/>
              </w:rPr>
            </w:r>
            <w:r>
              <w:rPr>
                <w:noProof/>
                <w:webHidden/>
              </w:rPr>
              <w:fldChar w:fldCharType="separate"/>
            </w:r>
            <w:r>
              <w:rPr>
                <w:noProof/>
                <w:webHidden/>
              </w:rPr>
              <w:t>1</w:t>
            </w:r>
            <w:r>
              <w:rPr>
                <w:noProof/>
                <w:webHidden/>
              </w:rPr>
              <w:fldChar w:fldCharType="end"/>
            </w:r>
          </w:hyperlink>
        </w:p>
        <w:p w:rsidR="00C23F97" w:rsidRDefault="00C23F97" w14:paraId="16157AF8" w14:textId="33CF4749">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1">
            <w:r w:rsidRPr="00E13BA1">
              <w:rPr>
                <w:rStyle w:val="Hyperlink"/>
                <w:noProof/>
              </w:rPr>
              <w:t>1.2 Description of, and background to, the Mental Health Nurse role in healthcare</w:t>
            </w:r>
            <w:r>
              <w:rPr>
                <w:noProof/>
                <w:webHidden/>
              </w:rPr>
              <w:tab/>
            </w:r>
            <w:r>
              <w:rPr>
                <w:noProof/>
                <w:webHidden/>
              </w:rPr>
              <w:fldChar w:fldCharType="begin"/>
            </w:r>
            <w:r>
              <w:rPr>
                <w:noProof/>
                <w:webHidden/>
              </w:rPr>
              <w:instrText xml:space="preserve"> PAGEREF _Toc233240141 \h </w:instrText>
            </w:r>
            <w:r>
              <w:rPr>
                <w:noProof/>
                <w:webHidden/>
              </w:rPr>
            </w:r>
            <w:r>
              <w:rPr>
                <w:noProof/>
                <w:webHidden/>
              </w:rPr>
              <w:fldChar w:fldCharType="separate"/>
            </w:r>
            <w:r>
              <w:rPr>
                <w:noProof/>
                <w:webHidden/>
              </w:rPr>
              <w:t>1</w:t>
            </w:r>
            <w:r>
              <w:rPr>
                <w:noProof/>
                <w:webHidden/>
              </w:rPr>
              <w:fldChar w:fldCharType="end"/>
            </w:r>
          </w:hyperlink>
        </w:p>
        <w:p w:rsidR="00C23F97" w:rsidRDefault="00C23F97" w14:paraId="511B40F4" w14:textId="2954D70D">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2">
            <w:r w:rsidRPr="00E13BA1">
              <w:rPr>
                <w:rStyle w:val="Hyperlink"/>
                <w:noProof/>
              </w:rPr>
              <w:t>1.3 Evaluation of the skills needed for the Mental Health Nurse role in healthcare</w:t>
            </w:r>
            <w:r>
              <w:rPr>
                <w:noProof/>
                <w:webHidden/>
              </w:rPr>
              <w:tab/>
            </w:r>
            <w:r>
              <w:rPr>
                <w:noProof/>
                <w:webHidden/>
              </w:rPr>
              <w:fldChar w:fldCharType="begin"/>
            </w:r>
            <w:r>
              <w:rPr>
                <w:noProof/>
                <w:webHidden/>
              </w:rPr>
              <w:instrText xml:space="preserve"> PAGEREF _Toc233240142 \h </w:instrText>
            </w:r>
            <w:r>
              <w:rPr>
                <w:noProof/>
                <w:webHidden/>
              </w:rPr>
            </w:r>
            <w:r>
              <w:rPr>
                <w:noProof/>
                <w:webHidden/>
              </w:rPr>
              <w:fldChar w:fldCharType="separate"/>
            </w:r>
            <w:r>
              <w:rPr>
                <w:noProof/>
                <w:webHidden/>
              </w:rPr>
              <w:t>1</w:t>
            </w:r>
            <w:r>
              <w:rPr>
                <w:noProof/>
                <w:webHidden/>
              </w:rPr>
              <w:fldChar w:fldCharType="end"/>
            </w:r>
          </w:hyperlink>
        </w:p>
        <w:p w:rsidR="00C23F97" w:rsidRDefault="00C23F97" w14:paraId="1D97A7B6" w14:textId="1FFA3E4F">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3">
            <w:r w:rsidRPr="00E13BA1">
              <w:rPr>
                <w:rStyle w:val="Hyperlink"/>
                <w:noProof/>
              </w:rPr>
              <w:t>1.4 Strategies to improve the skills for the Mental Health Nurse</w:t>
            </w:r>
            <w:r>
              <w:rPr>
                <w:noProof/>
                <w:webHidden/>
              </w:rPr>
              <w:tab/>
            </w:r>
            <w:r>
              <w:rPr>
                <w:noProof/>
                <w:webHidden/>
              </w:rPr>
              <w:fldChar w:fldCharType="begin"/>
            </w:r>
            <w:r>
              <w:rPr>
                <w:noProof/>
                <w:webHidden/>
              </w:rPr>
              <w:instrText xml:space="preserve"> PAGEREF _Toc233240143 \h </w:instrText>
            </w:r>
            <w:r>
              <w:rPr>
                <w:noProof/>
                <w:webHidden/>
              </w:rPr>
            </w:r>
            <w:r>
              <w:rPr>
                <w:noProof/>
                <w:webHidden/>
              </w:rPr>
              <w:fldChar w:fldCharType="separate"/>
            </w:r>
            <w:r>
              <w:rPr>
                <w:noProof/>
                <w:webHidden/>
              </w:rPr>
              <w:t>2</w:t>
            </w:r>
            <w:r>
              <w:rPr>
                <w:noProof/>
                <w:webHidden/>
              </w:rPr>
              <w:fldChar w:fldCharType="end"/>
            </w:r>
          </w:hyperlink>
        </w:p>
        <w:p w:rsidR="00C23F97" w:rsidRDefault="00C23F97" w14:paraId="5E09A724" w14:textId="3507FC87">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4">
            <w:r w:rsidRPr="00E13BA1">
              <w:rPr>
                <w:rStyle w:val="Hyperlink"/>
                <w:noProof/>
              </w:rPr>
              <w:t>1.5 Conclusion</w:t>
            </w:r>
            <w:r>
              <w:rPr>
                <w:noProof/>
                <w:webHidden/>
              </w:rPr>
              <w:tab/>
            </w:r>
            <w:r>
              <w:rPr>
                <w:noProof/>
                <w:webHidden/>
              </w:rPr>
              <w:fldChar w:fldCharType="begin"/>
            </w:r>
            <w:r>
              <w:rPr>
                <w:noProof/>
                <w:webHidden/>
              </w:rPr>
              <w:instrText xml:space="preserve"> PAGEREF _Toc233240144 \h </w:instrText>
            </w:r>
            <w:r>
              <w:rPr>
                <w:noProof/>
                <w:webHidden/>
              </w:rPr>
            </w:r>
            <w:r>
              <w:rPr>
                <w:noProof/>
                <w:webHidden/>
              </w:rPr>
              <w:fldChar w:fldCharType="separate"/>
            </w:r>
            <w:r>
              <w:rPr>
                <w:noProof/>
                <w:webHidden/>
              </w:rPr>
              <w:t>3</w:t>
            </w:r>
            <w:r>
              <w:rPr>
                <w:noProof/>
                <w:webHidden/>
              </w:rPr>
              <w:fldChar w:fldCharType="end"/>
            </w:r>
          </w:hyperlink>
        </w:p>
        <w:p w:rsidR="00C23F97" w:rsidRDefault="00C23F97" w14:paraId="335DE87F" w14:textId="6BFD29F4">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3240145">
            <w:r w:rsidRPr="00E13BA1">
              <w:rPr>
                <w:rStyle w:val="Hyperlink"/>
                <w:noProof/>
              </w:rPr>
              <w:t>1.6 Reference List</w:t>
            </w:r>
            <w:r>
              <w:rPr>
                <w:noProof/>
                <w:webHidden/>
              </w:rPr>
              <w:tab/>
            </w:r>
            <w:r>
              <w:rPr>
                <w:noProof/>
                <w:webHidden/>
              </w:rPr>
              <w:fldChar w:fldCharType="begin"/>
            </w:r>
            <w:r>
              <w:rPr>
                <w:noProof/>
                <w:webHidden/>
              </w:rPr>
              <w:instrText xml:space="preserve"> PAGEREF _Toc233240145 \h </w:instrText>
            </w:r>
            <w:r>
              <w:rPr>
                <w:noProof/>
                <w:webHidden/>
              </w:rPr>
            </w:r>
            <w:r>
              <w:rPr>
                <w:noProof/>
                <w:webHidden/>
              </w:rPr>
              <w:fldChar w:fldCharType="separate"/>
            </w:r>
            <w:r>
              <w:rPr>
                <w:noProof/>
                <w:webHidden/>
              </w:rPr>
              <w:t>4</w:t>
            </w:r>
            <w:r>
              <w:rPr>
                <w:noProof/>
                <w:webHidden/>
              </w:rPr>
              <w:fldChar w:fldCharType="end"/>
            </w:r>
          </w:hyperlink>
        </w:p>
        <w:p w:rsidR="00B816F4" w:rsidRDefault="00B816F4" w14:paraId="021A9A11" w14:textId="34AD1080">
          <w:r>
            <w:rPr>
              <w:b/>
              <w:bCs/>
              <w:noProof/>
            </w:rPr>
            <w:fldChar w:fldCharType="end"/>
          </w:r>
        </w:p>
      </w:sdtContent>
    </w:sdt>
    <w:p w:rsidR="00B816F4" w:rsidP="00B816F4" w:rsidRDefault="00B816F4" w14:paraId="119B4863" w14:textId="77777777">
      <w:pPr>
        <w:tabs>
          <w:tab w:val="left" w:pos="792"/>
        </w:tabs>
      </w:pPr>
    </w:p>
    <w:p w:rsidR="00B816F4" w:rsidP="00B816F4" w:rsidRDefault="00B816F4" w14:paraId="38969896" w14:textId="77777777">
      <w:pPr>
        <w:tabs>
          <w:tab w:val="left" w:pos="792"/>
        </w:tabs>
      </w:pPr>
    </w:p>
    <w:p w:rsidRPr="00B816F4" w:rsidR="00B816F4" w:rsidP="00B816F4" w:rsidRDefault="00B816F4" w14:paraId="78BA9AE9" w14:textId="1BA9AE25">
      <w:pPr>
        <w:tabs>
          <w:tab w:val="left" w:pos="792"/>
        </w:tabs>
        <w:sectPr w:rsidRPr="00B816F4" w:rsidR="00B816F4" w:rsidSect="00EC2FE7">
          <w:footerReference w:type="default" r:id="rId9"/>
          <w:pgSz w:w="11906" w:h="16838" w:orient="portrait"/>
          <w:pgMar w:top="1440" w:right="1440" w:bottom="1440" w:left="1440" w:header="708" w:footer="708" w:gutter="0"/>
          <w:pgNumType w:fmt="lowerRoman"/>
          <w:cols w:space="720"/>
          <w:docGrid w:linePitch="360"/>
        </w:sectPr>
      </w:pPr>
    </w:p>
    <w:p w:rsidRPr="00B816F4" w:rsidR="00B66702" w:rsidRDefault="009F186C" w14:paraId="7D579D39" w14:textId="77777777">
      <w:pPr>
        <w:pStyle w:val="Heading1"/>
        <w:rPr>
          <w:sz w:val="22"/>
          <w:szCs w:val="22"/>
        </w:rPr>
      </w:pPr>
      <w:bookmarkStart w:name="_Toc233240139" w:id="1"/>
      <w:r w:rsidRPr="00B816F4">
        <w:rPr>
          <w:sz w:val="22"/>
          <w:szCs w:val="22"/>
        </w:rPr>
        <w:t>1: Written Report</w:t>
      </w:r>
      <w:bookmarkEnd w:id="1"/>
    </w:p>
    <w:p w:rsidRPr="00B816F4" w:rsidR="00B66702" w:rsidRDefault="009F186C" w14:paraId="253784DA" w14:textId="77777777">
      <w:pPr>
        <w:pStyle w:val="Heading2"/>
      </w:pPr>
      <w:bookmarkStart w:name="_Toc233240140" w:id="2"/>
      <w:r w:rsidRPr="00B816F4">
        <w:t>1.1 Introduction</w:t>
      </w:r>
      <w:bookmarkEnd w:id="2"/>
    </w:p>
    <w:p w:rsidRPr="00B816F4" w:rsidR="00B66702" w:rsidRDefault="009F186C" w14:paraId="5DF05D76" w14:textId="77777777">
      <w:pPr>
        <w:spacing w:after="160" w:line="360" w:lineRule="auto"/>
        <w:jc w:val="both"/>
      </w:pPr>
      <w:r w:rsidRPr="00B816F4">
        <w:t>Mental health nursing is a vital role within the National Health Service (NHS), supporting people with conditions such as depression, psychosis, and anxiety. The British Medical Association (2025) estimates that the mental health waiting list in England has reached 1.7 million people, highlighting the importance of this workforce. This report examines the role of the mental health nurse, focusing on three essential skills: communication, emotional resilience, and risk assessment. For each skill, three strategies for improvement are described. The report draws on credible UK and international sources throughout.</w:t>
      </w:r>
    </w:p>
    <w:p w:rsidRPr="00B816F4" w:rsidR="00B66702" w:rsidRDefault="009F186C" w14:paraId="693E4F88" w14:textId="77777777">
      <w:pPr>
        <w:pStyle w:val="Heading2"/>
      </w:pPr>
      <w:bookmarkStart w:name="_Toc233240141" w:id="3"/>
      <w:r w:rsidRPr="00B816F4">
        <w:t>1.2 Description of, and background to, the Mental Health Nurse role in healthcare</w:t>
      </w:r>
      <w:bookmarkEnd w:id="3"/>
    </w:p>
    <w:p w:rsidRPr="00B816F4" w:rsidR="00B66702" w:rsidRDefault="009F186C" w14:paraId="167E022E" w14:textId="77777777">
      <w:pPr>
        <w:spacing w:after="160" w:line="360" w:lineRule="auto"/>
        <w:jc w:val="both"/>
      </w:pPr>
      <w:r w:rsidRPr="00B816F4">
        <w:t>Mental health nurses are registered nurses who specialise in supporting people with mental illness across a range of NHS settings, including inpatient psychiatric wards, community mental health teams, and crisis services (NHS Health Careers, 2024). Their duties include conducting clinical assessments, administering and monitoring medication, writing and reviewing care plans, and providing therapeutic support to service users. The role also involves working with families and carers and collaborating with a multidisciplinary team (MDT) that may include psychiatrists, social workers, and occupational therapists.</w:t>
      </w:r>
    </w:p>
    <w:p w:rsidRPr="00B816F4" w:rsidR="00B66702" w:rsidRDefault="009F186C" w14:paraId="7B265628" w14:textId="77777777">
      <w:pPr>
        <w:spacing w:after="160" w:line="360" w:lineRule="auto"/>
        <w:jc w:val="both"/>
      </w:pPr>
      <w:r w:rsidRPr="00B816F4">
        <w:t>A central duty of the role is conducting risk assessments to identify whether a service user is at risk of harm to themselves or others. Mental health nurses are often the professional that service users have the most contact with, making therapeutic relationships a key part of the role. As NHS England (2023) notes in the Mental Health Nurse’s Handbook, nurses must build long-term relationships based on trust, empathy, and clear communication. Given the complexity of mental health conditions and the vulnerability of those receiving care, mental health nurses require a demanding set of skills that go beyond general nursing practice.</w:t>
      </w:r>
    </w:p>
    <w:p w:rsidRPr="00B816F4" w:rsidR="00B66702" w:rsidRDefault="009F186C" w14:paraId="08C42642" w14:textId="77777777">
      <w:pPr>
        <w:pStyle w:val="Heading2"/>
      </w:pPr>
      <w:bookmarkStart w:name="_Toc233240142" w:id="4"/>
      <w:r w:rsidRPr="00B816F4">
        <w:t>1.3 Evaluation of the skills needed for the Mental Health Nurse role in healthcare</w:t>
      </w:r>
      <w:bookmarkEnd w:id="4"/>
    </w:p>
    <w:p w:rsidRPr="00B816F4" w:rsidR="00B66702" w:rsidRDefault="009F186C" w14:paraId="67FC70D7" w14:textId="097DD6C6">
      <w:pPr>
        <w:spacing w:after="160" w:line="360" w:lineRule="auto"/>
        <w:jc w:val="both"/>
      </w:pPr>
      <w:r w:rsidRPr="00B816F4">
        <w:t xml:space="preserve">The first essential skill is </w:t>
      </w:r>
      <w:r w:rsidRPr="00B816F4">
        <w:rPr>
          <w:b/>
          <w:bCs/>
        </w:rPr>
        <w:t>communication</w:t>
      </w:r>
      <w:r w:rsidRPr="00B816F4">
        <w:t>. Mental health nurses must communicate clearly, listen actively, and build therapeutic relationships with people who may be distressed or reluctant to engage. Xiang et al. (2025) found that effective communication is essential for accurately assessing psychiatric symptoms and improving patient outcomes in acute psychiatric care. Without this skill, a nurse may misread a service user’s condition or fail to build the trust needed for recovery. For example, when working with a patient experiencing psychosis on an inpatient ward, a nurse must communicate in a calm, non-threatening way to gather the information needed for a mental state examination. Bond (2024) highlights that active listening, open questions, and the use of silence help nurses provide care in a non-judgemental way, which is especially important for service users who may have experienced stigma.</w:t>
      </w:r>
      <w:r w:rsidR="00570134">
        <w:t xml:space="preserve"> </w:t>
      </w:r>
    </w:p>
    <w:p w:rsidRPr="00B816F4" w:rsidR="007214DA" w:rsidRDefault="009F186C" w14:paraId="72AABE46" w14:textId="19B32A3E">
      <w:pPr>
        <w:spacing w:after="160" w:line="360" w:lineRule="auto"/>
        <w:jc w:val="both"/>
      </w:pPr>
      <w:r w:rsidRPr="00B816F4">
        <w:t xml:space="preserve">The second skill is </w:t>
      </w:r>
      <w:r w:rsidRPr="00B816F4">
        <w:rPr>
          <w:b/>
          <w:bCs/>
        </w:rPr>
        <w:t>emotional resilience</w:t>
      </w:r>
      <w:r w:rsidRPr="00B816F4">
        <w:t>. Mental health nursing involves regular exposure to distressing situations, including self-harm, suicidal ideation, and trauma disclosures. Without resilience, nurses risk burnout, which directly affects the quality of care they provide. Sideri et al. (2025) found that up to 40% of mental health professionals in the NHS experience emotional exhaustion. Castillo-González et al. (2024) conducted a meta-analysis of 29 studies and found a clear inverse relationship between resilience and burnout, confirming that resilient nurses are better protected from exhaustion. For a community mental health nurse, resilience is what allows them to return to work after supporting a service user through a crisis, without that experience impairing their next assessment.</w:t>
      </w:r>
    </w:p>
    <w:p w:rsidRPr="00B816F4" w:rsidR="00B66702" w:rsidRDefault="009F186C" w14:paraId="4141B855" w14:textId="77777777">
      <w:pPr>
        <w:spacing w:after="160" w:line="360" w:lineRule="auto"/>
        <w:jc w:val="both"/>
      </w:pPr>
      <w:r w:rsidRPr="00B816F4">
        <w:t xml:space="preserve">The third skill is </w:t>
      </w:r>
      <w:r w:rsidRPr="00B816F4">
        <w:rPr>
          <w:b/>
          <w:bCs/>
        </w:rPr>
        <w:t>risk assessment</w:t>
      </w:r>
      <w:r w:rsidRPr="00B816F4">
        <w:t>. Risk assessment is a mandatory part of mental health nursing practice. It involves identifying whether a service user is at risk of harm to themselves or others and developing appropriate safety plans. Doyle et al. (2025) state that the assessment and management of risk is mandatory in mental health care and is most frequently led by nurses in the UK. Dickens et al. (2023) found that while nurses generally saw risk assessment as important, some treated it as a tick-box exercise rather than a therapeutic process. This suggests nurses need both practical skills and a clear understanding of purpose. For example, when a service user expresses thoughts of self-harm, the nurse must distinguish between passive thoughts and active intent, ask sensitive questions without causing distress, and document findings accurately for the MDT.</w:t>
      </w:r>
    </w:p>
    <w:p w:rsidRPr="00B816F4" w:rsidR="00B66702" w:rsidRDefault="009F186C" w14:paraId="114975B0" w14:textId="77777777">
      <w:pPr>
        <w:pStyle w:val="Heading2"/>
      </w:pPr>
      <w:bookmarkStart w:name="_Toc233240143" w:id="5"/>
      <w:r w:rsidRPr="00B816F4">
        <w:t>1.4 Strategies to improve the skills for the Mental Health Nurse</w:t>
      </w:r>
      <w:bookmarkEnd w:id="5"/>
    </w:p>
    <w:p w:rsidRPr="00B816F4" w:rsidR="00B66702" w:rsidRDefault="009F186C" w14:paraId="4A34AE7D" w14:textId="77777777">
      <w:pPr>
        <w:spacing w:after="160" w:line="360" w:lineRule="auto"/>
        <w:jc w:val="both"/>
      </w:pPr>
      <w:r w:rsidRPr="00B816F4">
        <w:t xml:space="preserve">Three strategies can improve </w:t>
      </w:r>
      <w:r w:rsidRPr="00B816F4">
        <w:rPr>
          <w:b/>
          <w:bCs/>
        </w:rPr>
        <w:t>communication skills</w:t>
      </w:r>
      <w:r w:rsidRPr="00B816F4">
        <w:t>. The first is formal communication skills training. Leonard et al. (2022) showed that structured programmes using simulated scenarios significantly improve nurses’ ability to communicate in challenging situations, such as de-escalation or working with a service user in psychosis. The second strategy is clinical supervision, which gives nurses a structured space to reflect on specific interactions and plan improvements. Bond (2024) notes that reflective practice develops awareness of communication style over time. The third is peer observation, where a nurse observes a colleague conducting a clinical interview and gives structured feedback. Alqousi et al. (2024) note that empathy and emotional intelligence are central to nursing communication, and peer observation helps nurses develop these qualities.</w:t>
      </w:r>
    </w:p>
    <w:p w:rsidRPr="00B816F4" w:rsidR="00BF414A" w:rsidRDefault="009F186C" w14:paraId="1A200E9C" w14:textId="74A800C5">
      <w:pPr>
        <w:spacing w:after="160" w:line="360" w:lineRule="auto"/>
        <w:jc w:val="both"/>
      </w:pPr>
      <w:r w:rsidRPr="00B816F4">
        <w:t xml:space="preserve">Three strategies can improve </w:t>
      </w:r>
      <w:r w:rsidRPr="00B816F4">
        <w:rPr>
          <w:b/>
          <w:bCs/>
        </w:rPr>
        <w:t>emotional resilience</w:t>
      </w:r>
      <w:r w:rsidRPr="00B816F4">
        <w:t>. The first is mindfulness-based training. Salem et al. (2025) found that reflective mindfulness and emotional regulation training significantly improved self-awareness and emotional regulation in nursing students. Mental health nurses could access such sessions through NHS Talking Therapies or their employing trust. The second strategy is clinical supervision. Sideri et al. (2025) found that access to protected reflective spaces is an enabling factor in helping NHS mental health staff manage stress, making regular supervision a practical tool for building resilience. The third is peer support networks. Smith and Pietrogrande (2025) note that NHS staff burnout affects around one third of the workforce; peer support groups within mental health teams help reduce feelings of isolation and normalise the emotional demands of the role.</w:t>
      </w:r>
    </w:p>
    <w:p w:rsidRPr="00B816F4" w:rsidR="00B66702" w:rsidRDefault="009F186C" w14:paraId="1F7D480E" w14:textId="77777777">
      <w:pPr>
        <w:spacing w:after="160" w:line="360" w:lineRule="auto"/>
        <w:jc w:val="both"/>
      </w:pPr>
      <w:r w:rsidRPr="00B816F4">
        <w:t xml:space="preserve">Three strategies can improve </w:t>
      </w:r>
      <w:r w:rsidRPr="00B816F4">
        <w:rPr>
          <w:b/>
          <w:bCs/>
        </w:rPr>
        <w:t>risk assessment skills</w:t>
      </w:r>
      <w:r w:rsidRPr="00B816F4">
        <w:t>. The first is structured risk assessment training. Many NHS trusts offer training in tools such as the HCR-20 (Historical Clinical Risk Management) or the Columbia Suicide Severity Rating Scale. Doyle et al. (2025) recommend that nurses are regularly updated in these tools, as doing so improves the accuracy and consistency of assessments. The second strategy is reflective case review. Dickens et al. (2023) noted that nurses often develop risk assessment skills through reflection on past experience rather than formal training alone. Case reviews in supervision or MDT meetings help embed this learning. The third is involving service users in safety planning. Doyle et al. (2025) argue that collaboration and trust are key to effective risk assessment, and involving service users in their own safety plans increases engagement and reduces the likelihood of future crises.</w:t>
      </w:r>
    </w:p>
    <w:p w:rsidRPr="00B816F4" w:rsidR="00B66702" w:rsidRDefault="009F186C" w14:paraId="2441F83C" w14:textId="77777777">
      <w:pPr>
        <w:pStyle w:val="Heading2"/>
      </w:pPr>
      <w:bookmarkStart w:name="_Toc233240144" w:id="6"/>
      <w:r w:rsidRPr="00B816F4">
        <w:t>1.5 Conclusion</w:t>
      </w:r>
      <w:bookmarkEnd w:id="6"/>
    </w:p>
    <w:p w:rsidRPr="00B816F4" w:rsidR="002E5E3B" w:rsidRDefault="002E5E3B" w14:paraId="12FAECC5" w14:textId="6A9EBA12">
      <w:pPr>
        <w:spacing w:after="160" w:line="360" w:lineRule="auto"/>
        <w:jc w:val="both"/>
      </w:pPr>
      <w:r w:rsidR="009F186C">
        <w:rPr/>
        <w:t xml:space="preserve">Mental health nursing is a demanding and vital NHS role that requires highly developed skills to deliver safe and compassionate care. This report has </w:t>
      </w:r>
      <w:r w:rsidR="009F186C">
        <w:rPr/>
        <w:t>identified</w:t>
      </w:r>
      <w:r w:rsidR="009F186C">
        <w:rPr/>
        <w:t xml:space="preserve"> communication, emotional resilience, and risk assessment as three essential skills, </w:t>
      </w:r>
      <w:r w:rsidR="009F186C">
        <w:rPr/>
        <w:t>demonstrating</w:t>
      </w:r>
      <w:r w:rsidR="009F186C">
        <w:rPr/>
        <w:t xml:space="preserve"> why each is critical to safe practice. It has also outlined nine evidence-based strategies across the three skills, including formal training, clinical supervision, and peer support. As demand for mental health services continues to grow in the UK, investing in nurse skill development is essential not only for individual professional growth, but for the safety and quality of care provided to service users</w:t>
      </w:r>
    </w:p>
    <w:p w:rsidRPr="00B816F4" w:rsidR="00B66702" w:rsidP="3655509E" w:rsidRDefault="009F186C" w14:paraId="62162694" w14:textId="77777777">
      <w:pPr>
        <w:pStyle w:val="Heading2"/>
        <w:spacing w:line="240" w:lineRule="auto"/>
        <w:rPr>
          <w:sz w:val="18"/>
          <w:szCs w:val="18"/>
        </w:rPr>
      </w:pPr>
      <w:bookmarkStart w:name="_Toc233240145" w:id="7"/>
      <w:r w:rsidR="009F186C">
        <w:rPr/>
        <w:t>1.</w:t>
      </w:r>
      <w:r w:rsidRPr="3655509E" w:rsidR="009F186C">
        <w:rPr>
          <w:sz w:val="20"/>
          <w:szCs w:val="20"/>
        </w:rPr>
        <w:t>6 Reference List</w:t>
      </w:r>
      <w:bookmarkEnd w:id="7"/>
    </w:p>
    <w:p w:rsidRPr="00B816F4" w:rsidR="00B66702" w:rsidP="3655509E" w:rsidRDefault="009F186C" w14:paraId="06D2DC5A" w14:textId="77777777">
      <w:pPr>
        <w:spacing w:after="160" w:line="240" w:lineRule="auto"/>
        <w:ind w:left="720" w:hanging="720"/>
        <w:jc w:val="both"/>
        <w:rPr>
          <w:sz w:val="18"/>
          <w:szCs w:val="18"/>
        </w:rPr>
      </w:pPr>
      <w:r w:rsidRPr="3655509E" w:rsidR="009F186C">
        <w:rPr>
          <w:sz w:val="20"/>
          <w:szCs w:val="20"/>
        </w:rPr>
        <w:t>Alqousi, H.M., Alanezi, A.F., Alyousef, A.H., Alohali, N.I., Alnami, A.M.H., Alonazi, M.F. and Alshomrani, S.A. (2024) ‘Bridging empathy and excellence: the impact of nurse–patient communication on quality of care and clinical outcomes’, Saudi Journal of Medicine and Public Health, 1(2), pp. 757–767. https://doi.org/10.64483/2025123</w:t>
      </w:r>
    </w:p>
    <w:p w:rsidRPr="00B816F4" w:rsidR="00B66702" w:rsidP="3655509E" w:rsidRDefault="004C7103" w14:paraId="625C2157" w14:textId="6E453509">
      <w:pPr>
        <w:spacing w:after="160" w:line="240" w:lineRule="auto"/>
        <w:ind w:left="720" w:hanging="720"/>
        <w:jc w:val="both"/>
        <w:rPr>
          <w:sz w:val="18"/>
          <w:szCs w:val="18"/>
        </w:rPr>
      </w:pPr>
      <w:r w:rsidRPr="3655509E" w:rsidR="004C7103">
        <w:rPr>
          <w:color w:val="222222"/>
          <w:sz w:val="18"/>
          <w:szCs w:val="18"/>
          <w:shd w:val="clear" w:color="auto" w:fill="FFFFFF"/>
        </w:rPr>
        <w:t>Bond, C. (2024). Skills for communicating effectively with people who have mental health issues. </w:t>
      </w:r>
      <w:r w:rsidRPr="3655509E" w:rsidR="004C7103">
        <w:rPr>
          <w:i w:val="1"/>
          <w:iCs w:val="1"/>
          <w:color w:val="222222"/>
          <w:sz w:val="18"/>
          <w:szCs w:val="18"/>
          <w:shd w:val="clear" w:color="auto" w:fill="FFFFFF"/>
        </w:rPr>
        <w:t>Nursing standard (Royal College of Nursing (Great Britain): 1987)</w:t>
      </w:r>
      <w:r w:rsidRPr="3655509E" w:rsidR="004C7103">
        <w:rPr>
          <w:color w:val="222222"/>
          <w:sz w:val="18"/>
          <w:szCs w:val="18"/>
          <w:shd w:val="clear" w:color="auto" w:fill="FFFFFF"/>
        </w:rPr>
        <w:t>, </w:t>
      </w:r>
      <w:r w:rsidRPr="3655509E" w:rsidR="004C7103">
        <w:rPr>
          <w:i w:val="1"/>
          <w:iCs w:val="1"/>
          <w:color w:val="222222"/>
          <w:sz w:val="18"/>
          <w:szCs w:val="18"/>
          <w:shd w:val="clear" w:color="auto" w:fill="FFFFFF"/>
        </w:rPr>
        <w:t>39</w:t>
      </w:r>
      <w:r w:rsidRPr="3655509E" w:rsidR="004C7103">
        <w:rPr>
          <w:color w:val="222222"/>
          <w:sz w:val="18"/>
          <w:szCs w:val="18"/>
          <w:shd w:val="clear" w:color="auto" w:fill="FFFFFF"/>
        </w:rPr>
        <w:t>(12).</w:t>
      </w:r>
      <w:r w:rsidRPr="3655509E" w:rsidR="004C7103">
        <w:rPr>
          <w:sz w:val="20"/>
          <w:szCs w:val="20"/>
        </w:rPr>
        <w:t xml:space="preserve"> [online]. Available at: https://shura.shu.ac.uk/34555/1/Bond-SkillsForCommunication(AM).pdf (Accessed: July 2026).</w:t>
      </w:r>
    </w:p>
    <w:p w:rsidRPr="00B816F4" w:rsidR="00B66702" w:rsidP="3655509E" w:rsidRDefault="009F186C" w14:paraId="0377ECBD" w14:textId="77777777">
      <w:pPr>
        <w:spacing w:after="160" w:line="240" w:lineRule="auto"/>
        <w:ind w:left="720" w:hanging="720"/>
        <w:jc w:val="both"/>
        <w:rPr>
          <w:sz w:val="18"/>
          <w:szCs w:val="18"/>
        </w:rPr>
      </w:pPr>
      <w:r w:rsidRPr="3655509E" w:rsidR="009F186C">
        <w:rPr>
          <w:sz w:val="20"/>
          <w:szCs w:val="20"/>
        </w:rPr>
        <w:t>British Medical Association (BMA) (2025) Mental health pressures data analysis. Available at: https://www.bma.org.uk/advice-and-support/nhs-delivery-and-workforce/pressures/mental-health-pressures-data-analysis (Accessed: July 2026).</w:t>
      </w:r>
    </w:p>
    <w:p w:rsidRPr="00B816F4" w:rsidR="00B66702" w:rsidP="3655509E" w:rsidRDefault="0018214A" w14:paraId="2AC1B1E1" w14:textId="0BA38907">
      <w:pPr>
        <w:spacing w:after="160" w:line="240" w:lineRule="auto"/>
        <w:ind w:left="720" w:hanging="720"/>
        <w:jc w:val="both"/>
        <w:rPr>
          <w:sz w:val="18"/>
          <w:szCs w:val="18"/>
        </w:rPr>
      </w:pPr>
      <w:r w:rsidRPr="3655509E" w:rsidR="0018214A">
        <w:rPr>
          <w:color w:val="222222"/>
          <w:sz w:val="18"/>
          <w:szCs w:val="18"/>
          <w:shd w:val="clear" w:color="auto" w:fill="FFFFFF"/>
        </w:rPr>
        <w:t>Castillo</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González, A., Velando</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Soriano, A., De La Fuente</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Solana, E. I., Martos</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Cabrera, B. M., Membrive</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Jiménez, M. J., Lucía, R. B., &amp; Cañadas</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De La Fuente, G. A. (2024). Relation and effect of resilience on burnout in nurses: A literature review and meta</w:t>
      </w:r>
      <w:r w:rsidRPr="3655509E" w:rsidR="0018214A">
        <w:rPr>
          <w:rFonts w:ascii="Cambria Math" w:hAnsi="Cambria Math" w:cs="Cambria Math"/>
          <w:color w:val="222222"/>
          <w:sz w:val="18"/>
          <w:szCs w:val="18"/>
          <w:shd w:val="clear" w:color="auto" w:fill="FFFFFF"/>
        </w:rPr>
        <w:t>‐</w:t>
      </w:r>
      <w:r w:rsidRPr="3655509E" w:rsidR="0018214A">
        <w:rPr>
          <w:color w:val="222222"/>
          <w:sz w:val="18"/>
          <w:szCs w:val="18"/>
          <w:shd w:val="clear" w:color="auto" w:fill="FFFFFF"/>
        </w:rPr>
        <w:t>analysis. </w:t>
      </w:r>
      <w:r w:rsidRPr="3655509E" w:rsidR="0018214A">
        <w:rPr>
          <w:i w:val="1"/>
          <w:iCs w:val="1"/>
          <w:color w:val="222222"/>
          <w:sz w:val="18"/>
          <w:szCs w:val="18"/>
          <w:shd w:val="clear" w:color="auto" w:fill="FFFFFF"/>
        </w:rPr>
        <w:t>International nursing review</w:t>
      </w:r>
      <w:r w:rsidRPr="3655509E" w:rsidR="0018214A">
        <w:rPr>
          <w:color w:val="222222"/>
          <w:sz w:val="18"/>
          <w:szCs w:val="18"/>
          <w:shd w:val="clear" w:color="auto" w:fill="FFFFFF"/>
        </w:rPr>
        <w:t>, </w:t>
      </w:r>
      <w:r w:rsidRPr="3655509E" w:rsidR="0018214A">
        <w:rPr>
          <w:i w:val="1"/>
          <w:iCs w:val="1"/>
          <w:color w:val="222222"/>
          <w:sz w:val="18"/>
          <w:szCs w:val="18"/>
          <w:shd w:val="clear" w:color="auto" w:fill="FFFFFF"/>
        </w:rPr>
        <w:t>71</w:t>
      </w:r>
      <w:r w:rsidRPr="3655509E" w:rsidR="0018214A">
        <w:rPr>
          <w:color w:val="222222"/>
          <w:sz w:val="18"/>
          <w:szCs w:val="18"/>
          <w:shd w:val="clear" w:color="auto" w:fill="FFFFFF"/>
        </w:rPr>
        <w:t>(1), 160-</w:t>
      </w:r>
      <w:r w:rsidRPr="3655509E" w:rsidR="004C7103">
        <w:rPr>
          <w:color w:val="222222"/>
          <w:sz w:val="18"/>
          <w:szCs w:val="18"/>
          <w:shd w:val="clear" w:color="auto" w:fill="FFFFFF"/>
        </w:rPr>
        <w:t>167.</w:t>
      </w:r>
      <w:r w:rsidRPr="3655509E" w:rsidR="0018214A">
        <w:rPr>
          <w:sz w:val="20"/>
          <w:szCs w:val="20"/>
        </w:rPr>
        <w:t xml:space="preserve"> https://doi.org/10.1111/inr.12838</w:t>
      </w:r>
    </w:p>
    <w:p w:rsidRPr="00B816F4" w:rsidR="00B66702" w:rsidP="3655509E" w:rsidRDefault="009F186C" w14:paraId="63D1C673" w14:textId="6D332B7D">
      <w:pPr>
        <w:spacing w:after="160" w:line="240" w:lineRule="auto"/>
        <w:ind w:left="720" w:hanging="720"/>
        <w:jc w:val="both"/>
        <w:rPr>
          <w:sz w:val="18"/>
          <w:szCs w:val="18"/>
        </w:rPr>
      </w:pPr>
      <w:r w:rsidRPr="3655509E" w:rsidR="009F186C">
        <w:rPr>
          <w:sz w:val="20"/>
          <w:szCs w:val="20"/>
        </w:rPr>
        <w:t>Dickens, G.L., Al Maqbali, M., Hallett, N., Ion, R., Kemp, C., Schoultz, M. and Watson, F. (2023) ‘Mental health nurses’ attitudes towards risk assessment: an integrative systematic review’, Journal of Psychiatric and Mental Health Nursing, 30(6), pp. 1137–1151. https://doi.org/10.1111/jpm.12946</w:t>
      </w:r>
      <w:r w:rsidRPr="3655509E" w:rsidR="009A1922">
        <w:rPr>
          <w:sz w:val="20"/>
          <w:szCs w:val="20"/>
        </w:rPr>
        <w:t>.</w:t>
      </w:r>
    </w:p>
    <w:p w:rsidRPr="00B816F4" w:rsidR="00B66702" w:rsidP="3655509E" w:rsidRDefault="0032360A" w14:paraId="01B70F16" w14:textId="37860694">
      <w:pPr>
        <w:spacing w:after="160" w:line="240" w:lineRule="auto"/>
        <w:ind w:left="720" w:hanging="720"/>
        <w:jc w:val="both"/>
        <w:rPr>
          <w:sz w:val="18"/>
          <w:szCs w:val="18"/>
        </w:rPr>
      </w:pPr>
      <w:r w:rsidRPr="3655509E" w:rsidR="0032360A">
        <w:rPr>
          <w:color w:val="222222"/>
          <w:sz w:val="18"/>
          <w:szCs w:val="18"/>
          <w:shd w:val="clear" w:color="auto" w:fill="FFFFFF"/>
        </w:rPr>
        <w:t>Doyle, M., Grundy, A., McGleenan, K., Nash, M., &amp; Deering, K. (2025). Clinical risk management in mental health services: 10 principles for best practice. </w:t>
      </w:r>
      <w:r w:rsidRPr="3655509E" w:rsidR="0032360A">
        <w:rPr>
          <w:i w:val="1"/>
          <w:iCs w:val="1"/>
          <w:color w:val="222222"/>
          <w:sz w:val="18"/>
          <w:szCs w:val="18"/>
          <w:shd w:val="clear" w:color="auto" w:fill="FFFFFF"/>
        </w:rPr>
        <w:t>International journal of mental health nursing</w:t>
      </w:r>
      <w:r w:rsidRPr="3655509E" w:rsidR="0032360A">
        <w:rPr>
          <w:color w:val="222222"/>
          <w:sz w:val="18"/>
          <w:szCs w:val="18"/>
          <w:shd w:val="clear" w:color="auto" w:fill="FFFFFF"/>
        </w:rPr>
        <w:t>, </w:t>
      </w:r>
      <w:r w:rsidRPr="3655509E" w:rsidR="0032360A">
        <w:rPr>
          <w:i w:val="1"/>
          <w:iCs w:val="1"/>
          <w:color w:val="222222"/>
          <w:sz w:val="18"/>
          <w:szCs w:val="18"/>
          <w:shd w:val="clear" w:color="auto" w:fill="FFFFFF"/>
        </w:rPr>
        <w:t>34</w:t>
      </w:r>
      <w:r w:rsidRPr="3655509E" w:rsidR="0032360A">
        <w:rPr>
          <w:color w:val="222222"/>
          <w:sz w:val="18"/>
          <w:szCs w:val="18"/>
          <w:shd w:val="clear" w:color="auto" w:fill="FFFFFF"/>
        </w:rPr>
        <w:t>(1), e13458.</w:t>
      </w:r>
      <w:r w:rsidRPr="3655509E" w:rsidR="0032360A">
        <w:rPr>
          <w:sz w:val="20"/>
          <w:szCs w:val="20"/>
        </w:rPr>
        <w:t xml:space="preserve"> https://doi.org/10.1111/inm.13458</w:t>
      </w:r>
    </w:p>
    <w:p w:rsidRPr="00B816F4" w:rsidR="00B66702" w:rsidP="3655509E" w:rsidRDefault="009F186C" w14:paraId="66CA6248" w14:textId="77777777">
      <w:pPr>
        <w:spacing w:after="160" w:line="240" w:lineRule="auto"/>
        <w:ind w:left="720" w:hanging="720"/>
        <w:jc w:val="both"/>
        <w:rPr>
          <w:sz w:val="18"/>
          <w:szCs w:val="18"/>
        </w:rPr>
      </w:pPr>
      <w:r w:rsidRPr="3655509E" w:rsidR="009F186C">
        <w:rPr>
          <w:sz w:val="20"/>
          <w:szCs w:val="20"/>
        </w:rPr>
        <w:t>Leonard, J.C., Whiteman, K., Stephens, K., Henry, C. and Swanson-Biearman, B. (2022) ‘Improving communication and collaboration skills in graduate nurses: an evidence-based approach’, OJIN: The Online Journal of Issues in Nursing, 27(2). https://doi.org/10.3912/OJIN.Vol27No02Man03</w:t>
      </w:r>
    </w:p>
    <w:p w:rsidRPr="00B816F4" w:rsidR="00B66702" w:rsidP="3655509E" w:rsidRDefault="009F186C" w14:paraId="7D295333" w14:textId="77777777">
      <w:pPr>
        <w:spacing w:after="160" w:line="240" w:lineRule="auto"/>
        <w:ind w:left="720" w:hanging="720"/>
        <w:jc w:val="both"/>
        <w:rPr>
          <w:sz w:val="18"/>
          <w:szCs w:val="18"/>
        </w:rPr>
      </w:pPr>
      <w:r w:rsidRPr="3655509E" w:rsidR="009F186C">
        <w:rPr>
          <w:sz w:val="20"/>
          <w:szCs w:val="20"/>
        </w:rPr>
        <w:t>NHS England (2023) The mental health nurse’s handbook, version 1.1. Available at: https://www.england.nhs.uk/long-read/the-mental-health-nurses-handbook/ (Accessed: July 2026).</w:t>
      </w:r>
    </w:p>
    <w:p w:rsidRPr="00B816F4" w:rsidR="00B66702" w:rsidP="3655509E" w:rsidRDefault="009F186C" w14:paraId="3569C3B7" w14:textId="77777777">
      <w:pPr>
        <w:spacing w:after="160" w:line="240" w:lineRule="auto"/>
        <w:ind w:left="720" w:hanging="720"/>
        <w:jc w:val="both"/>
        <w:rPr>
          <w:sz w:val="18"/>
          <w:szCs w:val="18"/>
        </w:rPr>
      </w:pPr>
      <w:r w:rsidRPr="3655509E" w:rsidR="009F186C">
        <w:rPr>
          <w:sz w:val="20"/>
          <w:szCs w:val="20"/>
        </w:rPr>
        <w:t>NHS Health Careers (2024) Mental health nurse. Available at: https://www.healthcareers.nhs.uk/explore-roles/nursing/roles-nursing/mental-health-nurse (Accessed: July 2026).</w:t>
      </w:r>
    </w:p>
    <w:p w:rsidRPr="00B816F4" w:rsidR="00B66702" w:rsidP="3655509E" w:rsidRDefault="00CB67EB" w14:paraId="35860472" w14:textId="1D389319">
      <w:pPr>
        <w:spacing w:after="160" w:line="240" w:lineRule="auto"/>
        <w:ind w:left="720" w:hanging="720"/>
        <w:jc w:val="both"/>
        <w:rPr>
          <w:sz w:val="18"/>
          <w:szCs w:val="18"/>
        </w:rPr>
      </w:pPr>
      <w:r w:rsidRPr="3655509E" w:rsidR="00CB67EB">
        <w:rPr>
          <w:color w:val="222222"/>
          <w:sz w:val="18"/>
          <w:szCs w:val="18"/>
          <w:shd w:val="clear" w:color="auto" w:fill="FFFFFF"/>
        </w:rPr>
        <w:t>Salem, G. M. M., Hashimi, W., &amp; El-Ashry, A. M. (2025). Reflective mindfulness and emotional regulation training to enhance nursing students’ self-awareness, understanding, and regulation: a mixed method randomized controlled trial. </w:t>
      </w:r>
      <w:r w:rsidRPr="3655509E" w:rsidR="00CB67EB">
        <w:rPr>
          <w:i w:val="1"/>
          <w:iCs w:val="1"/>
          <w:color w:val="222222"/>
          <w:sz w:val="18"/>
          <w:szCs w:val="18"/>
          <w:shd w:val="clear" w:color="auto" w:fill="FFFFFF"/>
        </w:rPr>
        <w:t>BMC nursing</w:t>
      </w:r>
      <w:r w:rsidRPr="3655509E" w:rsidR="00CB67EB">
        <w:rPr>
          <w:color w:val="222222"/>
          <w:sz w:val="18"/>
          <w:szCs w:val="18"/>
          <w:shd w:val="clear" w:color="auto" w:fill="FFFFFF"/>
        </w:rPr>
        <w:t>, </w:t>
      </w:r>
      <w:r w:rsidRPr="3655509E" w:rsidR="00CB67EB">
        <w:rPr>
          <w:i w:val="1"/>
          <w:iCs w:val="1"/>
          <w:color w:val="222222"/>
          <w:sz w:val="18"/>
          <w:szCs w:val="18"/>
          <w:shd w:val="clear" w:color="auto" w:fill="FFFFFF"/>
        </w:rPr>
        <w:t>24</w:t>
      </w:r>
      <w:r w:rsidRPr="3655509E" w:rsidR="00CB67EB">
        <w:rPr>
          <w:color w:val="222222"/>
          <w:sz w:val="18"/>
          <w:szCs w:val="18"/>
          <w:shd w:val="clear" w:color="auto" w:fill="FFFFFF"/>
        </w:rPr>
        <w:t xml:space="preserve">(1), 478. </w:t>
      </w:r>
      <w:r w:rsidRPr="3655509E" w:rsidR="00CB67EB">
        <w:rPr>
          <w:sz w:val="20"/>
          <w:szCs w:val="20"/>
        </w:rPr>
        <w:t>https://doi.org/10.1186/s12912-025-03086-w</w:t>
      </w:r>
    </w:p>
    <w:p w:rsidRPr="00B816F4" w:rsidR="00B66702" w:rsidP="3655509E" w:rsidRDefault="00E153ED" w14:paraId="71654F65" w14:textId="44157906">
      <w:pPr>
        <w:spacing w:after="160" w:line="240" w:lineRule="auto"/>
        <w:ind w:left="720" w:hanging="720"/>
        <w:jc w:val="both"/>
        <w:rPr>
          <w:sz w:val="18"/>
          <w:szCs w:val="18"/>
        </w:rPr>
      </w:pPr>
      <w:r w:rsidRPr="3655509E" w:rsidR="00E153ED">
        <w:rPr>
          <w:color w:val="222222"/>
          <w:sz w:val="18"/>
          <w:szCs w:val="18"/>
          <w:shd w:val="clear" w:color="auto" w:fill="FFFFFF"/>
        </w:rPr>
        <w:t>Sideri, A. D., Kipoulas, E., Leddy, A., &amp; Hackmann, C. (2025). Prevalence and Risk Factors of Burnout Among Mental Health Professionals in the NHS: A Systematic Review. </w:t>
      </w:r>
      <w:r w:rsidRPr="3655509E" w:rsidR="00E153ED">
        <w:rPr>
          <w:i w:val="1"/>
          <w:iCs w:val="1"/>
          <w:color w:val="222222"/>
          <w:sz w:val="18"/>
          <w:szCs w:val="18"/>
          <w:shd w:val="clear" w:color="auto" w:fill="FFFFFF"/>
        </w:rPr>
        <w:t>Counselling and Psychotherapy Research</w:t>
      </w:r>
      <w:r w:rsidRPr="3655509E" w:rsidR="00E153ED">
        <w:rPr>
          <w:color w:val="222222"/>
          <w:sz w:val="18"/>
          <w:szCs w:val="18"/>
          <w:shd w:val="clear" w:color="auto" w:fill="FFFFFF"/>
        </w:rPr>
        <w:t>, </w:t>
      </w:r>
      <w:r w:rsidRPr="3655509E" w:rsidR="00E153ED">
        <w:rPr>
          <w:i w:val="1"/>
          <w:iCs w:val="1"/>
          <w:color w:val="222222"/>
          <w:sz w:val="18"/>
          <w:szCs w:val="18"/>
          <w:shd w:val="clear" w:color="auto" w:fill="FFFFFF"/>
        </w:rPr>
        <w:t>25</w:t>
      </w:r>
      <w:r w:rsidRPr="3655509E" w:rsidR="00E153ED">
        <w:rPr>
          <w:color w:val="222222"/>
          <w:sz w:val="18"/>
          <w:szCs w:val="18"/>
          <w:shd w:val="clear" w:color="auto" w:fill="FFFFFF"/>
        </w:rPr>
        <w:t>(4), e</w:t>
      </w:r>
      <w:r w:rsidRPr="3655509E" w:rsidR="0068658E">
        <w:rPr>
          <w:color w:val="222222"/>
          <w:sz w:val="18"/>
          <w:szCs w:val="18"/>
          <w:shd w:val="clear" w:color="auto" w:fill="FFFFFF"/>
        </w:rPr>
        <w:t>70055.</w:t>
      </w:r>
      <w:r w:rsidRPr="3655509E" w:rsidR="00E153ED">
        <w:rPr>
          <w:sz w:val="20"/>
          <w:szCs w:val="20"/>
        </w:rPr>
        <w:t xml:space="preserve"> https://doi.org/10.1002/capr.70055</w:t>
      </w:r>
    </w:p>
    <w:p w:rsidRPr="00B816F4" w:rsidR="00B66702" w:rsidP="3655509E" w:rsidRDefault="00695670" w14:paraId="56A3C88E" w14:textId="5D390C2E">
      <w:pPr>
        <w:spacing w:after="160" w:line="240" w:lineRule="auto"/>
        <w:ind w:left="720" w:hanging="720"/>
        <w:jc w:val="both"/>
        <w:rPr>
          <w:sz w:val="18"/>
          <w:szCs w:val="18"/>
        </w:rPr>
      </w:pPr>
      <w:r w:rsidRPr="3655509E" w:rsidR="00695670">
        <w:rPr>
          <w:color w:val="222222"/>
          <w:sz w:val="18"/>
          <w:szCs w:val="18"/>
          <w:shd w:val="clear" w:color="auto" w:fill="FFFFFF"/>
        </w:rPr>
        <w:t>Smith, A., &amp; Pietrogrande, E. (2025). Creative Solutions: An Art-Based Intervention to Address Burnout in CAMHS. </w:t>
      </w:r>
      <w:r w:rsidRPr="3655509E" w:rsidR="00695670">
        <w:rPr>
          <w:i w:val="1"/>
          <w:iCs w:val="1"/>
          <w:color w:val="222222"/>
          <w:sz w:val="18"/>
          <w:szCs w:val="18"/>
          <w:shd w:val="clear" w:color="auto" w:fill="FFFFFF"/>
        </w:rPr>
        <w:t>BJPsych Open</w:t>
      </w:r>
      <w:r w:rsidRPr="3655509E" w:rsidR="00695670">
        <w:rPr>
          <w:color w:val="222222"/>
          <w:sz w:val="18"/>
          <w:szCs w:val="18"/>
          <w:shd w:val="clear" w:color="auto" w:fill="FFFFFF"/>
        </w:rPr>
        <w:t>, </w:t>
      </w:r>
      <w:r w:rsidRPr="3655509E" w:rsidR="00695670">
        <w:rPr>
          <w:i w:val="1"/>
          <w:iCs w:val="1"/>
          <w:color w:val="222222"/>
          <w:sz w:val="18"/>
          <w:szCs w:val="18"/>
          <w:shd w:val="clear" w:color="auto" w:fill="FFFFFF"/>
        </w:rPr>
        <w:t>11</w:t>
      </w:r>
      <w:r w:rsidRPr="3655509E" w:rsidR="00695670">
        <w:rPr>
          <w:color w:val="222222"/>
          <w:sz w:val="18"/>
          <w:szCs w:val="18"/>
          <w:shd w:val="clear" w:color="auto" w:fill="FFFFFF"/>
        </w:rPr>
        <w:t xml:space="preserve">(S1), S168-S169. </w:t>
      </w:r>
      <w:r w:rsidRPr="3655509E" w:rsidR="00695670">
        <w:rPr>
          <w:sz w:val="20"/>
          <w:szCs w:val="20"/>
        </w:rPr>
        <w:t>https://doi.org/10.1192/bjo.2025.10444</w:t>
      </w:r>
    </w:p>
    <w:p w:rsidRPr="00B816F4" w:rsidR="00B66702" w:rsidP="3655509E" w:rsidRDefault="009F186C" w14:paraId="6451DAF5" w14:textId="77777777">
      <w:pPr>
        <w:spacing w:after="160" w:line="240" w:lineRule="auto"/>
        <w:ind w:left="720" w:hanging="720"/>
        <w:jc w:val="both"/>
        <w:rPr>
          <w:sz w:val="18"/>
          <w:szCs w:val="18"/>
        </w:rPr>
      </w:pPr>
      <w:r w:rsidRPr="3655509E" w:rsidR="009F186C">
        <w:rPr>
          <w:sz w:val="20"/>
          <w:szCs w:val="20"/>
        </w:rPr>
        <w:t>Xiang, L., Li, C., Gao, Q., Li, L. and Shi, Z. (2025) ‘Nurses’ perspectives on communication in acute psychiatric care: a qualitative descriptive study’, Journal of Psychiatric and Mental Health Nursing, 32(6), pp. 1301–1313. https://doi.org/10.1111/jpm.70026</w:t>
      </w:r>
    </w:p>
    <w:sectPr w:rsidRPr="00B816F4" w:rsidR="00B66702">
      <w:pgSz w:w="11906" w:h="16838" w:orient="portrait"/>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3C28" w:rsidP="00B816F4" w:rsidRDefault="00C33C28" w14:paraId="4E7FA367" w14:textId="77777777">
      <w:r>
        <w:separator/>
      </w:r>
    </w:p>
  </w:endnote>
  <w:endnote w:type="continuationSeparator" w:id="0">
    <w:p w:rsidR="00C33C28" w:rsidP="00B816F4" w:rsidRDefault="00C33C28" w14:paraId="250E4FA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7988127"/>
      <w:docPartObj>
        <w:docPartGallery w:val="Page Numbers (Bottom of Page)"/>
        <w:docPartUnique/>
      </w:docPartObj>
    </w:sdtPr>
    <w:sdtEndPr>
      <w:rPr>
        <w:noProof/>
      </w:rPr>
    </w:sdtEndPr>
    <w:sdtContent>
      <w:p w:rsidR="00EC2FE7" w:rsidRDefault="00EC2FE7" w14:paraId="7EF6E647" w14:textId="197D31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16F4" w:rsidRDefault="00B816F4" w14:paraId="3B48674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3C28" w:rsidP="00B816F4" w:rsidRDefault="00C33C28" w14:paraId="03442020" w14:textId="77777777">
      <w:r>
        <w:separator/>
      </w:r>
    </w:p>
  </w:footnote>
  <w:footnote w:type="continuationSeparator" w:id="0">
    <w:p w:rsidR="00C33C28" w:rsidP="00B816F4" w:rsidRDefault="00C33C28" w14:paraId="42F3362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50E20"/>
    <w:multiLevelType w:val="hybridMultilevel"/>
    <w:tmpl w:val="07EEB384"/>
    <w:lvl w:ilvl="0" w:tplc="549A0A00">
      <w:start w:val="1"/>
      <w:numFmt w:val="bullet"/>
      <w:lvlText w:val="●"/>
      <w:lvlJc w:val="left"/>
      <w:pPr>
        <w:ind w:left="720" w:hanging="360"/>
      </w:pPr>
    </w:lvl>
    <w:lvl w:ilvl="1" w:tplc="0C428B4A">
      <w:start w:val="1"/>
      <w:numFmt w:val="bullet"/>
      <w:lvlText w:val="○"/>
      <w:lvlJc w:val="left"/>
      <w:pPr>
        <w:ind w:left="1440" w:hanging="360"/>
      </w:pPr>
    </w:lvl>
    <w:lvl w:ilvl="2" w:tplc="FD2634FC">
      <w:start w:val="1"/>
      <w:numFmt w:val="bullet"/>
      <w:lvlText w:val="■"/>
      <w:lvlJc w:val="left"/>
      <w:pPr>
        <w:ind w:left="2160" w:hanging="360"/>
      </w:pPr>
    </w:lvl>
    <w:lvl w:ilvl="3" w:tplc="11483328">
      <w:start w:val="1"/>
      <w:numFmt w:val="bullet"/>
      <w:lvlText w:val="●"/>
      <w:lvlJc w:val="left"/>
      <w:pPr>
        <w:ind w:left="2880" w:hanging="360"/>
      </w:pPr>
    </w:lvl>
    <w:lvl w:ilvl="4" w:tplc="FEEAE152">
      <w:start w:val="1"/>
      <w:numFmt w:val="bullet"/>
      <w:lvlText w:val="○"/>
      <w:lvlJc w:val="left"/>
      <w:pPr>
        <w:ind w:left="3600" w:hanging="360"/>
      </w:pPr>
    </w:lvl>
    <w:lvl w:ilvl="5" w:tplc="BF0E0336">
      <w:start w:val="1"/>
      <w:numFmt w:val="bullet"/>
      <w:lvlText w:val="■"/>
      <w:lvlJc w:val="left"/>
      <w:pPr>
        <w:ind w:left="4320" w:hanging="360"/>
      </w:pPr>
    </w:lvl>
    <w:lvl w:ilvl="6" w:tplc="B016C802">
      <w:start w:val="1"/>
      <w:numFmt w:val="bullet"/>
      <w:lvlText w:val="●"/>
      <w:lvlJc w:val="left"/>
      <w:pPr>
        <w:ind w:left="5040" w:hanging="360"/>
      </w:pPr>
    </w:lvl>
    <w:lvl w:ilvl="7" w:tplc="81621DFE">
      <w:start w:val="1"/>
      <w:numFmt w:val="bullet"/>
      <w:lvlText w:val="●"/>
      <w:lvlJc w:val="left"/>
      <w:pPr>
        <w:ind w:left="5760" w:hanging="360"/>
      </w:pPr>
    </w:lvl>
    <w:lvl w:ilvl="8" w:tplc="1CA2F540">
      <w:start w:val="1"/>
      <w:numFmt w:val="bullet"/>
      <w:lvlText w:val="●"/>
      <w:lvlJc w:val="left"/>
      <w:pPr>
        <w:ind w:left="6480" w:hanging="360"/>
      </w:pPr>
    </w:lvl>
  </w:abstractNum>
  <w:num w:numId="1" w16cid:durableId="58198504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displayBackgroundShape/>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6702"/>
    <w:rsid w:val="00012A48"/>
    <w:rsid w:val="00150236"/>
    <w:rsid w:val="0015263B"/>
    <w:rsid w:val="0018214A"/>
    <w:rsid w:val="0023705B"/>
    <w:rsid w:val="00286F75"/>
    <w:rsid w:val="002E5E3B"/>
    <w:rsid w:val="0032360A"/>
    <w:rsid w:val="00331190"/>
    <w:rsid w:val="003B7C49"/>
    <w:rsid w:val="004825F1"/>
    <w:rsid w:val="0049757E"/>
    <w:rsid w:val="004C7103"/>
    <w:rsid w:val="00557BD5"/>
    <w:rsid w:val="00570134"/>
    <w:rsid w:val="0068658E"/>
    <w:rsid w:val="006908EC"/>
    <w:rsid w:val="00695670"/>
    <w:rsid w:val="006B3F7D"/>
    <w:rsid w:val="006E6960"/>
    <w:rsid w:val="007214DA"/>
    <w:rsid w:val="009151CA"/>
    <w:rsid w:val="00963214"/>
    <w:rsid w:val="009A1922"/>
    <w:rsid w:val="009D3542"/>
    <w:rsid w:val="009F186C"/>
    <w:rsid w:val="00A167EA"/>
    <w:rsid w:val="00AB1630"/>
    <w:rsid w:val="00B66702"/>
    <w:rsid w:val="00B816F4"/>
    <w:rsid w:val="00BF414A"/>
    <w:rsid w:val="00C23F97"/>
    <w:rsid w:val="00C33C28"/>
    <w:rsid w:val="00C401F3"/>
    <w:rsid w:val="00CB67EB"/>
    <w:rsid w:val="00DC2E3C"/>
    <w:rsid w:val="00DE36FD"/>
    <w:rsid w:val="00E02C2F"/>
    <w:rsid w:val="00E153ED"/>
    <w:rsid w:val="00E4612A"/>
    <w:rsid w:val="00E726BA"/>
    <w:rsid w:val="00EC2FE7"/>
    <w:rsid w:val="00EF62BC"/>
    <w:rsid w:val="00FF282B"/>
    <w:rsid w:val="026C155C"/>
    <w:rsid w:val="0D811A3C"/>
    <w:rsid w:val="16443B89"/>
    <w:rsid w:val="16E24122"/>
    <w:rsid w:val="1D17D96B"/>
    <w:rsid w:val="1E694CC8"/>
    <w:rsid w:val="20018C36"/>
    <w:rsid w:val="21A0CEC1"/>
    <w:rsid w:val="233FD49B"/>
    <w:rsid w:val="243B839C"/>
    <w:rsid w:val="28547369"/>
    <w:rsid w:val="3562EE7A"/>
    <w:rsid w:val="3655509E"/>
    <w:rsid w:val="3B2E344A"/>
    <w:rsid w:val="3B725D3F"/>
    <w:rsid w:val="3C01F9F9"/>
    <w:rsid w:val="3C5B6C2B"/>
    <w:rsid w:val="40F7C70C"/>
    <w:rsid w:val="52A72616"/>
    <w:rsid w:val="54B10581"/>
    <w:rsid w:val="5D9966AA"/>
    <w:rsid w:val="6C573171"/>
    <w:rsid w:val="6E56E3EC"/>
    <w:rsid w:val="6E931EB0"/>
    <w:rsid w:val="7100E07F"/>
    <w:rsid w:val="7C10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97809"/>
  <w15:docId w15:val="{950EEF93-DB7B-4092-A6CD-08AC054E1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spacing w:before="300" w:after="120"/>
      <w:outlineLvl w:val="0"/>
    </w:pPr>
    <w:rPr>
      <w:b/>
      <w:bCs/>
      <w:color w:val="000000"/>
      <w:sz w:val="24"/>
      <w:szCs w:val="24"/>
    </w:rPr>
  </w:style>
  <w:style w:type="paragraph" w:styleId="Heading2">
    <w:name w:val="heading 2"/>
    <w:uiPriority w:val="9"/>
    <w:unhideWhenUsed/>
    <w:qFormat/>
    <w:pPr>
      <w:spacing w:before="240" w:after="100"/>
      <w:outlineLvl w:val="1"/>
    </w:pPr>
    <w:rPr>
      <w:b/>
      <w:bCs/>
      <w:color w:val="000000"/>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816F4"/>
    <w:pPr>
      <w:keepNext/>
      <w:keepLines/>
      <w:spacing w:before="240" w:after="0" w:line="259" w:lineRule="auto"/>
      <w:outlineLvl w:val="9"/>
    </w:pPr>
    <w:rPr>
      <w:rFonts w:asciiTheme="majorHAnsi" w:hAnsiTheme="majorHAnsi" w:eastAsiaTheme="majorEastAsia"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B816F4"/>
    <w:pPr>
      <w:spacing w:after="100"/>
    </w:pPr>
  </w:style>
  <w:style w:type="paragraph" w:styleId="TOC2">
    <w:name w:val="toc 2"/>
    <w:basedOn w:val="Normal"/>
    <w:next w:val="Normal"/>
    <w:autoRedefine/>
    <w:uiPriority w:val="39"/>
    <w:unhideWhenUsed/>
    <w:rsid w:val="00B816F4"/>
    <w:pPr>
      <w:spacing w:after="100"/>
      <w:ind w:left="220"/>
    </w:pPr>
  </w:style>
  <w:style w:type="paragraph" w:styleId="Header">
    <w:name w:val="header"/>
    <w:basedOn w:val="Normal"/>
    <w:link w:val="HeaderChar"/>
    <w:uiPriority w:val="99"/>
    <w:unhideWhenUsed/>
    <w:rsid w:val="00B816F4"/>
    <w:pPr>
      <w:tabs>
        <w:tab w:val="center" w:pos="4513"/>
        <w:tab w:val="right" w:pos="9026"/>
      </w:tabs>
    </w:pPr>
  </w:style>
  <w:style w:type="character" w:styleId="HeaderChar" w:customStyle="1">
    <w:name w:val="Header Char"/>
    <w:basedOn w:val="DefaultParagraphFont"/>
    <w:link w:val="Header"/>
    <w:uiPriority w:val="99"/>
    <w:rsid w:val="00B816F4"/>
  </w:style>
  <w:style w:type="paragraph" w:styleId="Footer">
    <w:name w:val="footer"/>
    <w:basedOn w:val="Normal"/>
    <w:link w:val="FooterChar"/>
    <w:uiPriority w:val="99"/>
    <w:unhideWhenUsed/>
    <w:rsid w:val="00B816F4"/>
    <w:pPr>
      <w:tabs>
        <w:tab w:val="center" w:pos="4513"/>
        <w:tab w:val="right" w:pos="9026"/>
      </w:tabs>
    </w:pPr>
  </w:style>
  <w:style w:type="character" w:styleId="FooterChar" w:customStyle="1">
    <w:name w:val="Footer Char"/>
    <w:basedOn w:val="DefaultParagraphFont"/>
    <w:link w:val="Footer"/>
    <w:uiPriority w:val="99"/>
    <w:rsid w:val="00B8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F439D-9653-45BE-9DFE-C3F69060938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Lizeta Demetriou</dc:creator>
  <lastModifiedBy>Evelyn Monu (2537502)</lastModifiedBy>
  <revision>3</revision>
  <dcterms:created xsi:type="dcterms:W3CDTF">2026-06-26T08:42:00.0000000Z</dcterms:created>
  <dcterms:modified xsi:type="dcterms:W3CDTF">2026-07-01T08:23:05.1972192Z</dcterms:modified>
</coreProperties>
</file>