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652426" w:rsidRPr="00C501A4" w:rsidRDefault="00CC2780" w:rsidP="00B914CB">
      <w:pPr>
        <w:jc w:val="center"/>
        <w:rPr>
          <w:color w:val="000000"/>
          <w:u w:val="single"/>
        </w:rPr>
      </w:pPr>
      <w:r w:rsidRPr="00C501A4">
        <w:rPr>
          <w:color w:val="000000"/>
          <w:u w:val="single"/>
        </w:rPr>
        <w:t xml:space="preserve">An analysis of Constantine’s vision from Eusebius' </w:t>
      </w:r>
      <w:r w:rsidRPr="00C501A4">
        <w:rPr>
          <w:i/>
          <w:iCs/>
          <w:color w:val="000000"/>
          <w:u w:val="single"/>
        </w:rPr>
        <w:t>Life of Constantine</w:t>
      </w:r>
      <w:r w:rsidRPr="00C501A4">
        <w:rPr>
          <w:color w:val="000000"/>
          <w:u w:val="single"/>
        </w:rPr>
        <w:t xml:space="preserve"> that will address </w:t>
      </w:r>
      <w:r w:rsidR="00B914CB" w:rsidRPr="00C501A4">
        <w:rPr>
          <w:color w:val="000000"/>
          <w:u w:val="single"/>
        </w:rPr>
        <w:t>freedom of religion in the Roman Empire</w:t>
      </w:r>
    </w:p>
    <w:p w:rsidR="00B914CB" w:rsidRPr="00C501A4" w:rsidRDefault="00B914CB" w:rsidP="00B914CB">
      <w:pPr>
        <w:jc w:val="center"/>
        <w:rPr>
          <w:u w:val="single"/>
        </w:rPr>
      </w:pPr>
      <w:bookmarkStart w:id="0" w:name="_GoBack"/>
    </w:p>
    <w:p w:rsidR="00AA0650" w:rsidRPr="002953F1" w:rsidRDefault="00B914CB" w:rsidP="00191700">
      <w:pPr>
        <w:rPr>
          <w:color w:val="000000"/>
        </w:rPr>
      </w:pPr>
      <w:r w:rsidRPr="00C501A4">
        <w:t>Religion in the Roman empire was a part of everyday life to the populace</w:t>
      </w:r>
      <w:r w:rsidR="00C4630C" w:rsidRPr="00C501A4">
        <w:t>, it was not seen as a separate activity as it is today in the contemporary world. During the pre-antiquity era of Roman history, the many regions of what would be</w:t>
      </w:r>
      <w:r w:rsidR="00191700" w:rsidRPr="00C501A4">
        <w:t>come</w:t>
      </w:r>
      <w:r w:rsidR="00C4630C" w:rsidRPr="00C501A4">
        <w:t xml:space="preserve"> the Roman empire all worshiped their own forms of </w:t>
      </w:r>
      <w:r w:rsidR="00B30417" w:rsidRPr="00C501A4">
        <w:t xml:space="preserve">the </w:t>
      </w:r>
      <w:r w:rsidR="00C4630C" w:rsidRPr="00C501A4">
        <w:t xml:space="preserve">divine, such as the Romans worshiping Jupiter Capitolinus, the Greeks worshiping Zeus and the Judeans worshiping </w:t>
      </w:r>
      <w:r w:rsidR="00C4630C" w:rsidRPr="00C501A4">
        <w:rPr>
          <w:rFonts w:cs="Arial"/>
          <w:color w:val="222222"/>
          <w:shd w:val="clear" w:color="auto" w:fill="FFFFFF"/>
        </w:rPr>
        <w:t xml:space="preserve">Yahweh. As the Roman lands expanded, they </w:t>
      </w:r>
      <w:r w:rsidR="002F0139" w:rsidRPr="00C501A4">
        <w:rPr>
          <w:rFonts w:cs="Arial"/>
          <w:color w:val="222222"/>
          <w:shd w:val="clear" w:color="auto" w:fill="FFFFFF"/>
        </w:rPr>
        <w:t>absorbed</w:t>
      </w:r>
      <w:r w:rsidR="007A770F" w:rsidRPr="00C501A4">
        <w:rPr>
          <w:rFonts w:cs="Arial"/>
          <w:color w:val="222222"/>
          <w:shd w:val="clear" w:color="auto" w:fill="FFFFFF"/>
        </w:rPr>
        <w:t xml:space="preserve"> </w:t>
      </w:r>
      <w:r w:rsidR="00191700" w:rsidRPr="00C501A4">
        <w:rPr>
          <w:rFonts w:cs="Arial"/>
          <w:color w:val="222222"/>
          <w:shd w:val="clear" w:color="auto" w:fill="FFFFFF"/>
        </w:rPr>
        <w:t xml:space="preserve">the </w:t>
      </w:r>
      <w:r w:rsidR="00DB7095">
        <w:rPr>
          <w:rFonts w:cs="Arial"/>
          <w:color w:val="222222"/>
          <w:shd w:val="clear" w:color="auto" w:fill="FFFFFF"/>
        </w:rPr>
        <w:t>g</w:t>
      </w:r>
      <w:r w:rsidR="007A770F" w:rsidRPr="00C501A4">
        <w:rPr>
          <w:rFonts w:cs="Arial"/>
          <w:color w:val="222222"/>
          <w:shd w:val="clear" w:color="auto" w:fill="FFFFFF"/>
        </w:rPr>
        <w:t>ods</w:t>
      </w:r>
      <w:r w:rsidR="00DB7095">
        <w:rPr>
          <w:rFonts w:cs="Arial"/>
          <w:color w:val="222222"/>
          <w:shd w:val="clear" w:color="auto" w:fill="FFFFFF"/>
        </w:rPr>
        <w:t xml:space="preserve"> and deities</w:t>
      </w:r>
      <w:r w:rsidR="00191700" w:rsidRPr="00C501A4">
        <w:rPr>
          <w:rFonts w:cs="Arial"/>
          <w:color w:val="222222"/>
          <w:shd w:val="clear" w:color="auto" w:fill="FFFFFF"/>
        </w:rPr>
        <w:t xml:space="preserve"> of the conquered land</w:t>
      </w:r>
      <w:r w:rsidR="007A770F" w:rsidRPr="00C501A4">
        <w:rPr>
          <w:rFonts w:cs="Arial"/>
          <w:color w:val="222222"/>
          <w:shd w:val="clear" w:color="auto" w:fill="FFFFFF"/>
        </w:rPr>
        <w:t xml:space="preserve"> into their</w:t>
      </w:r>
      <w:r w:rsidR="00191700" w:rsidRPr="00C501A4">
        <w:rPr>
          <w:rFonts w:cs="Arial"/>
          <w:color w:val="222222"/>
          <w:shd w:val="clear" w:color="auto" w:fill="FFFFFF"/>
        </w:rPr>
        <w:t xml:space="preserve"> own</w:t>
      </w:r>
      <w:r w:rsidR="007A770F" w:rsidRPr="00C501A4">
        <w:rPr>
          <w:rFonts w:cs="Arial"/>
          <w:color w:val="222222"/>
          <w:shd w:val="clear" w:color="auto" w:fill="FFFFFF"/>
        </w:rPr>
        <w:t xml:space="preserve"> pantheon through syncretism</w:t>
      </w:r>
      <w:r w:rsidR="00191700" w:rsidRPr="00C501A4">
        <w:rPr>
          <w:rFonts w:cs="Arial"/>
          <w:color w:val="222222"/>
          <w:shd w:val="clear" w:color="auto" w:fill="FFFFFF"/>
        </w:rPr>
        <w:t>,</w:t>
      </w:r>
      <w:r w:rsidR="007A770F" w:rsidRPr="00C501A4">
        <w:rPr>
          <w:rFonts w:cs="Arial"/>
          <w:color w:val="222222"/>
          <w:shd w:val="clear" w:color="auto" w:fill="FFFFFF"/>
        </w:rPr>
        <w:t xml:space="preserve"> or as Pliny the elder put it ‘</w:t>
      </w:r>
      <w:r w:rsidR="007A770F" w:rsidRPr="00C501A4">
        <w:rPr>
          <w:rFonts w:cs="Arial"/>
          <w:i/>
          <w:color w:val="222222"/>
          <w:shd w:val="clear" w:color="auto" w:fill="FFFFFF"/>
        </w:rPr>
        <w:t>nomia alia aliis</w:t>
      </w:r>
      <w:r w:rsidR="007A770F" w:rsidRPr="00C501A4">
        <w:rPr>
          <w:rStyle w:val="FootnoteReference"/>
          <w:rFonts w:cs="Arial"/>
          <w:i/>
          <w:color w:val="222222"/>
          <w:shd w:val="clear" w:color="auto" w:fill="FFFFFF"/>
        </w:rPr>
        <w:footnoteReference w:id="1"/>
      </w:r>
      <w:r w:rsidR="007A770F" w:rsidRPr="00C501A4">
        <w:rPr>
          <w:rFonts w:cs="Arial"/>
          <w:i/>
          <w:color w:val="222222"/>
          <w:shd w:val="clear" w:color="auto" w:fill="FFFFFF"/>
        </w:rPr>
        <w:t>’</w:t>
      </w:r>
      <w:r w:rsidR="007A770F" w:rsidRPr="00C501A4">
        <w:rPr>
          <w:rFonts w:cs="Arial"/>
          <w:color w:val="222222"/>
          <w:shd w:val="clear" w:color="auto" w:fill="FFFFFF"/>
        </w:rPr>
        <w:t>.</w:t>
      </w:r>
      <w:r w:rsidR="00191700" w:rsidRPr="00C501A4">
        <w:rPr>
          <w:rFonts w:cs="Arial"/>
          <w:color w:val="222222"/>
          <w:shd w:val="clear" w:color="auto" w:fill="FFFFFF"/>
        </w:rPr>
        <w:t xml:space="preserve"> This translates as "different names to different peoples", which is the way the </w:t>
      </w:r>
      <w:r w:rsidR="00DB7095">
        <w:rPr>
          <w:rFonts w:cs="Arial"/>
          <w:color w:val="222222"/>
          <w:shd w:val="clear" w:color="auto" w:fill="FFFFFF"/>
        </w:rPr>
        <w:t>R</w:t>
      </w:r>
      <w:r w:rsidR="00191700" w:rsidRPr="00C501A4">
        <w:rPr>
          <w:rFonts w:cs="Arial"/>
          <w:color w:val="222222"/>
          <w:shd w:val="clear" w:color="auto" w:fill="FFFFFF"/>
        </w:rPr>
        <w:t>omans saw it, people were worshiping the same gods,</w:t>
      </w:r>
      <w:r w:rsidR="00DB7095">
        <w:rPr>
          <w:rFonts w:cs="Arial"/>
          <w:color w:val="222222"/>
          <w:shd w:val="clear" w:color="auto" w:fill="FFFFFF"/>
        </w:rPr>
        <w:t xml:space="preserve"> only</w:t>
      </w:r>
      <w:r w:rsidR="00191700" w:rsidRPr="00C501A4">
        <w:rPr>
          <w:rFonts w:cs="Arial"/>
          <w:color w:val="222222"/>
          <w:shd w:val="clear" w:color="auto" w:fill="FFFFFF"/>
        </w:rPr>
        <w:t xml:space="preserve"> through different names.</w:t>
      </w:r>
      <w:r w:rsidR="007A770F" w:rsidRPr="00C501A4">
        <w:rPr>
          <w:rFonts w:cs="Arial"/>
          <w:color w:val="222222"/>
          <w:shd w:val="clear" w:color="auto" w:fill="FFFFFF"/>
        </w:rPr>
        <w:t xml:space="preserve"> H</w:t>
      </w:r>
      <w:r w:rsidR="002F0139" w:rsidRPr="00C501A4">
        <w:rPr>
          <w:rFonts w:cs="Arial"/>
          <w:color w:val="222222"/>
          <w:shd w:val="clear" w:color="auto" w:fill="FFFFFF"/>
        </w:rPr>
        <w:t xml:space="preserve">owever not </w:t>
      </w:r>
      <w:proofErr w:type="gramStart"/>
      <w:r w:rsidR="007A770F" w:rsidRPr="00C501A4">
        <w:rPr>
          <w:rFonts w:cs="Arial"/>
          <w:color w:val="222222"/>
          <w:shd w:val="clear" w:color="auto" w:fill="FFFFFF"/>
        </w:rPr>
        <w:t>all of these</w:t>
      </w:r>
      <w:proofErr w:type="gramEnd"/>
      <w:r w:rsidR="002F0139" w:rsidRPr="00C501A4">
        <w:rPr>
          <w:rFonts w:cs="Arial"/>
          <w:color w:val="222222"/>
          <w:shd w:val="clear" w:color="auto" w:fill="FFFFFF"/>
        </w:rPr>
        <w:t xml:space="preserve"> cults and practices were accepted by the Romans.</w:t>
      </w:r>
      <w:r w:rsidR="007A770F" w:rsidRPr="00C501A4">
        <w:rPr>
          <w:rFonts w:cs="Arial"/>
          <w:color w:val="222222"/>
          <w:shd w:val="clear" w:color="auto" w:fill="FFFFFF"/>
        </w:rPr>
        <w:t xml:space="preserve"> The most notable of these cults that was not accepted was a Jewish sect originating in Coele-Syria</w:t>
      </w:r>
      <w:r w:rsidR="00DB7095">
        <w:rPr>
          <w:rFonts w:cs="Arial"/>
          <w:color w:val="222222"/>
          <w:shd w:val="clear" w:color="auto" w:fill="FFFFFF"/>
        </w:rPr>
        <w:t xml:space="preserve"> in the first century AD</w:t>
      </w:r>
      <w:r w:rsidR="007A770F" w:rsidRPr="00C501A4">
        <w:rPr>
          <w:rFonts w:cs="Arial"/>
          <w:color w:val="222222"/>
          <w:shd w:val="clear" w:color="auto" w:fill="FFFFFF"/>
        </w:rPr>
        <w:t>, Christianity.</w:t>
      </w:r>
      <w:r w:rsidR="00B05CAD" w:rsidRPr="00C501A4">
        <w:rPr>
          <w:rFonts w:cs="Arial"/>
          <w:color w:val="222222"/>
          <w:shd w:val="clear" w:color="auto" w:fill="FFFFFF"/>
        </w:rPr>
        <w:t xml:space="preserve"> From the origin of their </w:t>
      </w:r>
      <w:r w:rsidR="00B05CAD" w:rsidRPr="0065275B">
        <w:rPr>
          <w:rFonts w:cs="Arial"/>
          <w:color w:val="222222"/>
          <w:shd w:val="clear" w:color="auto" w:fill="FFFFFF"/>
        </w:rPr>
        <w:t xml:space="preserve">faith in the early first century AD </w:t>
      </w:r>
      <w:r w:rsidR="00517D1E" w:rsidRPr="0065275B">
        <w:rPr>
          <w:rFonts w:cs="Arial"/>
          <w:color w:val="222222"/>
          <w:shd w:val="clear" w:color="auto" w:fill="FFFFFF"/>
        </w:rPr>
        <w:t>up</w:t>
      </w:r>
      <w:r w:rsidR="00B05CAD" w:rsidRPr="0065275B">
        <w:rPr>
          <w:rFonts w:cs="Arial"/>
          <w:color w:val="222222"/>
          <w:shd w:val="clear" w:color="auto" w:fill="FFFFFF"/>
        </w:rPr>
        <w:t xml:space="preserve"> until the </w:t>
      </w:r>
      <w:r w:rsidR="00517D1E" w:rsidRPr="0065275B">
        <w:rPr>
          <w:rFonts w:cs="Arial"/>
          <w:color w:val="222222"/>
          <w:shd w:val="clear" w:color="auto" w:fill="FFFFFF"/>
        </w:rPr>
        <w:t xml:space="preserve">Edict of Milan in 313 </w:t>
      </w:r>
      <w:proofErr w:type="gramStart"/>
      <w:r w:rsidR="00517D1E" w:rsidRPr="0065275B">
        <w:rPr>
          <w:rFonts w:cs="Arial"/>
          <w:color w:val="222222"/>
          <w:shd w:val="clear" w:color="auto" w:fill="FFFFFF"/>
        </w:rPr>
        <w:t>AD</w:t>
      </w:r>
      <w:proofErr w:type="gramEnd"/>
      <w:r w:rsidR="00517D1E" w:rsidRPr="0065275B">
        <w:rPr>
          <w:rStyle w:val="FootnoteReference"/>
          <w:rFonts w:cs="Arial"/>
          <w:color w:val="222222"/>
          <w:shd w:val="clear" w:color="auto" w:fill="FFFFFF"/>
        </w:rPr>
        <w:footnoteReference w:id="2"/>
      </w:r>
      <w:r w:rsidR="00517D1E" w:rsidRPr="0065275B">
        <w:rPr>
          <w:rFonts w:cs="Arial"/>
          <w:color w:val="222222"/>
          <w:shd w:val="clear" w:color="auto" w:fill="FFFFFF"/>
        </w:rPr>
        <w:t>.</w:t>
      </w:r>
      <w:r w:rsidR="00B30417" w:rsidRPr="0065275B">
        <w:rPr>
          <w:rFonts w:cs="Arial"/>
          <w:color w:val="222222"/>
          <w:shd w:val="clear" w:color="auto" w:fill="FFFFFF"/>
        </w:rPr>
        <w:t xml:space="preserve"> Due to the fourth century emperor Constantine’s’ actions, Christianity had been decriminalised in the Roman empire. This revelation of Constantine’s did not happen overnight, to get a full understanding of why he did this, an analysis of Eusebius</w:t>
      </w:r>
      <w:r w:rsidR="00B30417" w:rsidRPr="0065275B">
        <w:rPr>
          <w:color w:val="000000"/>
        </w:rPr>
        <w:t xml:space="preserve">' </w:t>
      </w:r>
      <w:r w:rsidR="00B30417" w:rsidRPr="0065275B">
        <w:rPr>
          <w:iCs/>
          <w:color w:val="000000"/>
        </w:rPr>
        <w:t>Life of Constantine</w:t>
      </w:r>
      <w:r w:rsidR="00B30417" w:rsidRPr="0065275B">
        <w:rPr>
          <w:color w:val="000000"/>
        </w:rPr>
        <w:t xml:space="preserve"> is needed. Constantine’s reformations go on to </w:t>
      </w:r>
      <w:r w:rsidR="00191700" w:rsidRPr="0065275B">
        <w:rPr>
          <w:color w:val="000000"/>
        </w:rPr>
        <w:t>replace Roman polytheism with</w:t>
      </w:r>
      <w:r w:rsidR="00B30417" w:rsidRPr="0065275B">
        <w:rPr>
          <w:color w:val="000000"/>
        </w:rPr>
        <w:t xml:space="preserve"> Christianity</w:t>
      </w:r>
      <w:r w:rsidR="00191700" w:rsidRPr="0065275B">
        <w:rPr>
          <w:color w:val="000000"/>
        </w:rPr>
        <w:t xml:space="preserve"> as</w:t>
      </w:r>
      <w:r w:rsidR="00B30417" w:rsidRPr="0065275B">
        <w:rPr>
          <w:color w:val="000000"/>
        </w:rPr>
        <w:t xml:space="preserve"> the official religion of the Roman empire</w:t>
      </w:r>
      <w:r w:rsidR="00191700" w:rsidRPr="0065275B">
        <w:rPr>
          <w:color w:val="000000"/>
        </w:rPr>
        <w:t>,</w:t>
      </w:r>
      <w:r w:rsidR="00511975" w:rsidRPr="0065275B">
        <w:rPr>
          <w:color w:val="000000"/>
        </w:rPr>
        <w:t xml:space="preserve"> changing Rome’s future indefinitely.  Eusebius’ account of Constantine’s </w:t>
      </w:r>
      <w:r w:rsidR="00AA0650" w:rsidRPr="0065275B">
        <w:rPr>
          <w:color w:val="000000"/>
        </w:rPr>
        <w:t>vision</w:t>
      </w:r>
      <w:r w:rsidR="00511975" w:rsidRPr="0065275B">
        <w:rPr>
          <w:color w:val="000000"/>
        </w:rPr>
        <w:t xml:space="preserve"> features the manifestation of Jesus Christ,</w:t>
      </w:r>
      <w:r w:rsidR="00AA0650" w:rsidRPr="0065275B">
        <w:rPr>
          <w:color w:val="000000"/>
        </w:rPr>
        <w:t xml:space="preserve"> however, </w:t>
      </w:r>
      <w:proofErr w:type="gramStart"/>
      <w:r w:rsidR="00AA0650" w:rsidRPr="0065275B">
        <w:rPr>
          <w:color w:val="000000"/>
        </w:rPr>
        <w:t>Christs‘ appearance</w:t>
      </w:r>
      <w:proofErr w:type="gramEnd"/>
      <w:r w:rsidR="00AA0650" w:rsidRPr="0065275B">
        <w:rPr>
          <w:color w:val="000000"/>
        </w:rPr>
        <w:t xml:space="preserve"> was not the only account of the divine, manifesting itself,</w:t>
      </w:r>
      <w:r w:rsidR="00511975" w:rsidRPr="0065275B">
        <w:rPr>
          <w:color w:val="000000"/>
        </w:rPr>
        <w:t xml:space="preserve"> did the manifestation of the divine effect </w:t>
      </w:r>
      <w:r w:rsidR="00191700" w:rsidRPr="0065275B">
        <w:rPr>
          <w:color w:val="000000"/>
        </w:rPr>
        <w:t xml:space="preserve">the different </w:t>
      </w:r>
      <w:r w:rsidR="00511975" w:rsidRPr="0065275B">
        <w:rPr>
          <w:color w:val="000000"/>
        </w:rPr>
        <w:t>religion</w:t>
      </w:r>
      <w:r w:rsidR="00191700" w:rsidRPr="0065275B">
        <w:rPr>
          <w:color w:val="000000"/>
        </w:rPr>
        <w:t xml:space="preserve">s </w:t>
      </w:r>
      <w:r w:rsidR="00DB7095">
        <w:rPr>
          <w:color w:val="000000"/>
        </w:rPr>
        <w:t xml:space="preserve">and their freedoms </w:t>
      </w:r>
      <w:r w:rsidR="00191700" w:rsidRPr="0065275B">
        <w:rPr>
          <w:color w:val="000000"/>
        </w:rPr>
        <w:t>found</w:t>
      </w:r>
      <w:r w:rsidR="00511975" w:rsidRPr="0065275B">
        <w:rPr>
          <w:color w:val="000000"/>
        </w:rPr>
        <w:t xml:space="preserve"> </w:t>
      </w:r>
      <w:r w:rsidR="00DB7095">
        <w:rPr>
          <w:color w:val="000000"/>
        </w:rPr>
        <w:t>with</w:t>
      </w:r>
      <w:r w:rsidR="00511975" w:rsidRPr="0065275B">
        <w:rPr>
          <w:color w:val="000000"/>
        </w:rPr>
        <w:t>in the Roman empire.</w:t>
      </w:r>
    </w:p>
    <w:p w:rsidR="00642AA2" w:rsidRPr="0065275B" w:rsidRDefault="00642AA2" w:rsidP="00642AA2">
      <w:pPr>
        <w:jc w:val="center"/>
      </w:pPr>
      <w:r w:rsidRPr="0065275B">
        <w:t>“In the normative Graeco-Roman tradition it is difficult to identify any coherent and unifie</w:t>
      </w:r>
      <w:r w:rsidR="00FD165A" w:rsidRPr="0065275B">
        <w:t>d</w:t>
      </w:r>
      <w:r w:rsidRPr="0065275B">
        <w:t xml:space="preserve"> system of beliefs, practices, and institutions that we could label a “religion” </w:t>
      </w:r>
      <w:r w:rsidR="00FD165A" w:rsidRPr="0065275B">
        <w:t>in</w:t>
      </w:r>
      <w:r w:rsidRPr="0065275B">
        <w:t xml:space="preserve"> the usual sense of the term</w:t>
      </w:r>
      <w:r w:rsidRPr="0065275B">
        <w:rPr>
          <w:rStyle w:val="FootnoteReference"/>
        </w:rPr>
        <w:footnoteReference w:id="3"/>
      </w:r>
      <w:r w:rsidRPr="0065275B">
        <w:t>”</w:t>
      </w:r>
    </w:p>
    <w:p w:rsidR="00FC20E8" w:rsidRPr="0065275B" w:rsidRDefault="00FD165A" w:rsidP="00FC20E8">
      <w:r w:rsidRPr="0065275B">
        <w:t>Rives, a scholar of ancient Roman religion</w:t>
      </w:r>
      <w:r w:rsidR="00D242DA" w:rsidRPr="0065275B">
        <w:t xml:space="preserve"> uses this “definition” </w:t>
      </w:r>
      <w:r w:rsidR="003921C8">
        <w:t>as an</w:t>
      </w:r>
      <w:r w:rsidR="00D242DA" w:rsidRPr="0065275B">
        <w:t xml:space="preserve"> attempt to convey to us how the ancient</w:t>
      </w:r>
      <w:r w:rsidR="00875B32" w:rsidRPr="0065275B">
        <w:t xml:space="preserve"> Roman</w:t>
      </w:r>
      <w:r w:rsidR="003921C8">
        <w:t xml:space="preserve"> world</w:t>
      </w:r>
      <w:r w:rsidR="00D242DA" w:rsidRPr="0065275B">
        <w:t xml:space="preserve"> would have seen </w:t>
      </w:r>
      <w:r w:rsidR="003921C8">
        <w:t xml:space="preserve">and interpreted </w:t>
      </w:r>
      <w:r w:rsidR="00D242DA" w:rsidRPr="0065275B">
        <w:t xml:space="preserve">religion. </w:t>
      </w:r>
      <w:r w:rsidR="00875B32" w:rsidRPr="0065275B">
        <w:t>Unlike modern Christianity</w:t>
      </w:r>
      <w:r w:rsidR="003921C8">
        <w:t>, Judaism</w:t>
      </w:r>
      <w:r w:rsidR="00875B32" w:rsidRPr="0065275B">
        <w:t xml:space="preserve"> or Islam, Roman polytheism did not have a single core text like the Bible or the Quran. </w:t>
      </w:r>
      <w:r w:rsidR="00D242DA" w:rsidRPr="0065275B">
        <w:t>To</w:t>
      </w:r>
      <w:r w:rsidRPr="0065275B">
        <w:t xml:space="preserve"> fully understand </w:t>
      </w:r>
      <w:r w:rsidR="00FC033A" w:rsidRPr="0065275B">
        <w:t xml:space="preserve">how the Romans viewed </w:t>
      </w:r>
      <w:r w:rsidRPr="0065275B">
        <w:t xml:space="preserve">religion and religious freedom in the Roman world one would have to look at the surrounding religions and their orthopraxical syncretism. </w:t>
      </w:r>
      <w:r w:rsidR="00FC1340" w:rsidRPr="0065275B">
        <w:t xml:space="preserve">Gordon gives us three </w:t>
      </w:r>
      <w:r w:rsidR="00FC20E8" w:rsidRPr="0065275B">
        <w:t>similar,</w:t>
      </w:r>
      <w:r w:rsidR="00FC1340" w:rsidRPr="0065275B">
        <w:t xml:space="preserve"> but </w:t>
      </w:r>
      <w:r w:rsidR="00BE78EF" w:rsidRPr="0065275B">
        <w:t>different</w:t>
      </w:r>
      <w:r w:rsidR="00FC1340" w:rsidRPr="0065275B">
        <w:t xml:space="preserve"> definitions of what syncretism is, </w:t>
      </w:r>
      <w:r w:rsidR="00BE78EF" w:rsidRPr="0065275B">
        <w:t>in it</w:t>
      </w:r>
      <w:r w:rsidR="00FC20E8" w:rsidRPr="0065275B">
        <w:t>s simplest form, it</w:t>
      </w:r>
      <w:r w:rsidR="00BE78EF" w:rsidRPr="0065275B">
        <w:t xml:space="preserve"> is:</w:t>
      </w:r>
      <w:r w:rsidR="00FC20E8" w:rsidRPr="0065275B">
        <w:t xml:space="preserve"> </w:t>
      </w:r>
    </w:p>
    <w:p w:rsidR="00D242DA" w:rsidRPr="0065275B" w:rsidRDefault="00D242DA" w:rsidP="00FC20E8">
      <w:pPr>
        <w:jc w:val="center"/>
      </w:pPr>
      <w:r w:rsidRPr="0065275B">
        <w:rPr>
          <w:rFonts w:ascii="Arial" w:hAnsi="Arial" w:cs="Arial"/>
          <w:color w:val="000000"/>
          <w:shd w:val="clear" w:color="auto" w:fill="FFFFFF"/>
        </w:rPr>
        <w:t>“</w:t>
      </w:r>
      <w:r w:rsidRPr="0065275B">
        <w:rPr>
          <w:rFonts w:cs="Arial"/>
          <w:color w:val="000000"/>
          <w:shd w:val="clear" w:color="auto" w:fill="FFFFFF"/>
        </w:rPr>
        <w:t>The identification or interpretation of others' gods in Greek or Roman terms, i.e. the assertion of significant similarity in one or more respects</w:t>
      </w:r>
      <w:r w:rsidRPr="0065275B">
        <w:rPr>
          <w:rStyle w:val="FootnoteReference"/>
          <w:rFonts w:cs="Arial"/>
          <w:color w:val="000000"/>
          <w:shd w:val="clear" w:color="auto" w:fill="FFFFFF"/>
        </w:rPr>
        <w:footnoteReference w:id="4"/>
      </w:r>
      <w:r w:rsidRPr="0065275B">
        <w:rPr>
          <w:rFonts w:cs="Arial"/>
          <w:color w:val="000000"/>
          <w:shd w:val="clear" w:color="auto" w:fill="FFFFFF"/>
        </w:rPr>
        <w:t>”</w:t>
      </w:r>
    </w:p>
    <w:p w:rsidR="00FC033A" w:rsidRPr="0065275B" w:rsidRDefault="00BE78EF" w:rsidP="00BE78EF">
      <w:pPr>
        <w:rPr>
          <w:rFonts w:cs="Arial"/>
          <w:color w:val="222222"/>
          <w:shd w:val="clear" w:color="auto" w:fill="FFFFFF"/>
        </w:rPr>
      </w:pPr>
      <w:r w:rsidRPr="0065275B">
        <w:t>The Romans had identified syncretism, but named it alternatively, Pliny</w:t>
      </w:r>
      <w:r w:rsidR="007261B3" w:rsidRPr="0065275B">
        <w:t>, the</w:t>
      </w:r>
      <w:r w:rsidR="00FC033A" w:rsidRPr="0065275B">
        <w:t xml:space="preserve"> first century</w:t>
      </w:r>
      <w:r w:rsidR="007261B3" w:rsidRPr="0065275B">
        <w:t xml:space="preserve"> Roman author and philosopher</w:t>
      </w:r>
      <w:r w:rsidRPr="0065275B">
        <w:t xml:space="preserve"> called it </w:t>
      </w:r>
      <w:r w:rsidRPr="0065275B">
        <w:rPr>
          <w:rFonts w:cs="Arial"/>
          <w:color w:val="222222"/>
          <w:shd w:val="clear" w:color="auto" w:fill="FFFFFF"/>
        </w:rPr>
        <w:t>nomia alia aliis</w:t>
      </w:r>
      <w:r w:rsidRPr="0065275B">
        <w:rPr>
          <w:rStyle w:val="FootnoteReference"/>
          <w:rFonts w:cs="Arial"/>
          <w:color w:val="222222"/>
          <w:shd w:val="clear" w:color="auto" w:fill="FFFFFF"/>
        </w:rPr>
        <w:footnoteReference w:id="5"/>
      </w:r>
      <w:r w:rsidR="007261B3" w:rsidRPr="0065275B">
        <w:rPr>
          <w:rFonts w:cs="Arial"/>
          <w:color w:val="222222"/>
          <w:shd w:val="clear" w:color="auto" w:fill="FFFFFF"/>
        </w:rPr>
        <w:t xml:space="preserve">. As Gordon puts it, syncretism is the interpretation of other cultures deities as your own deity. </w:t>
      </w:r>
    </w:p>
    <w:p w:rsidR="00C501A4" w:rsidRPr="002953F1" w:rsidRDefault="007261B3" w:rsidP="00B914CB">
      <w:pPr>
        <w:rPr>
          <w:rFonts w:cs="Arial"/>
          <w:color w:val="222222"/>
          <w:shd w:val="clear" w:color="auto" w:fill="FFFFFF"/>
        </w:rPr>
      </w:pPr>
      <w:r w:rsidRPr="0065275B">
        <w:rPr>
          <w:rFonts w:cs="Arial"/>
          <w:color w:val="222222"/>
          <w:shd w:val="clear" w:color="auto" w:fill="FFFFFF"/>
        </w:rPr>
        <w:t xml:space="preserve">This idea of syncretism was used when another culture was annexed by </w:t>
      </w:r>
      <w:r w:rsidR="00AA0650" w:rsidRPr="0065275B">
        <w:rPr>
          <w:rFonts w:cs="Arial"/>
          <w:color w:val="222222"/>
          <w:shd w:val="clear" w:color="auto" w:fill="FFFFFF"/>
        </w:rPr>
        <w:t xml:space="preserve">the </w:t>
      </w:r>
      <w:r w:rsidRPr="0065275B">
        <w:rPr>
          <w:rFonts w:cs="Arial"/>
          <w:color w:val="222222"/>
          <w:shd w:val="clear" w:color="auto" w:fill="FFFFFF"/>
        </w:rPr>
        <w:t>Rom</w:t>
      </w:r>
      <w:r w:rsidR="00AA0650" w:rsidRPr="0065275B">
        <w:rPr>
          <w:rFonts w:cs="Arial"/>
          <w:color w:val="222222"/>
          <w:shd w:val="clear" w:color="auto" w:fill="FFFFFF"/>
        </w:rPr>
        <w:t>ans</w:t>
      </w:r>
      <w:r w:rsidRPr="0065275B">
        <w:rPr>
          <w:rFonts w:cs="Arial"/>
          <w:color w:val="222222"/>
          <w:shd w:val="clear" w:color="auto" w:fill="FFFFFF"/>
        </w:rPr>
        <w:t xml:space="preserve"> </w:t>
      </w:r>
      <w:proofErr w:type="gramStart"/>
      <w:r w:rsidRPr="0065275B">
        <w:rPr>
          <w:rFonts w:cs="Arial"/>
          <w:color w:val="222222"/>
          <w:shd w:val="clear" w:color="auto" w:fill="FFFFFF"/>
        </w:rPr>
        <w:t>in an attempt to</w:t>
      </w:r>
      <w:proofErr w:type="gramEnd"/>
      <w:r w:rsidRPr="0065275B">
        <w:rPr>
          <w:rFonts w:cs="Arial"/>
          <w:color w:val="222222"/>
          <w:shd w:val="clear" w:color="auto" w:fill="FFFFFF"/>
        </w:rPr>
        <w:t xml:space="preserve"> </w:t>
      </w:r>
      <w:r w:rsidR="00AA0650" w:rsidRPr="0065275B">
        <w:rPr>
          <w:rFonts w:cs="Arial"/>
          <w:color w:val="222222"/>
          <w:shd w:val="clear" w:color="auto" w:fill="FFFFFF"/>
        </w:rPr>
        <w:t>envelop the annexed people</w:t>
      </w:r>
      <w:r w:rsidR="00FC033A" w:rsidRPr="0065275B">
        <w:rPr>
          <w:rFonts w:cs="Arial"/>
          <w:color w:val="222222"/>
          <w:shd w:val="clear" w:color="auto" w:fill="FFFFFF"/>
        </w:rPr>
        <w:t>’s</w:t>
      </w:r>
      <w:r w:rsidR="00AA0650" w:rsidRPr="0065275B">
        <w:rPr>
          <w:rFonts w:cs="Arial"/>
          <w:color w:val="222222"/>
          <w:shd w:val="clear" w:color="auto" w:fill="FFFFFF"/>
        </w:rPr>
        <w:t xml:space="preserve"> religion into their own</w:t>
      </w:r>
      <w:r w:rsidRPr="0065275B">
        <w:rPr>
          <w:rFonts w:cs="Arial"/>
          <w:color w:val="222222"/>
          <w:shd w:val="clear" w:color="auto" w:fill="FFFFFF"/>
        </w:rPr>
        <w:t xml:space="preserve">, as they did not fully believe in forcing their religion on the new territory.  </w:t>
      </w:r>
      <w:r w:rsidR="00AA0650" w:rsidRPr="0065275B">
        <w:rPr>
          <w:rFonts w:cs="Arial"/>
          <w:color w:val="222222"/>
          <w:shd w:val="clear" w:color="auto" w:fill="FFFFFF"/>
        </w:rPr>
        <w:t>This can be seen throughout the empire.</w:t>
      </w:r>
      <w:r w:rsidR="00080B0A" w:rsidRPr="0065275B">
        <w:rPr>
          <w:rFonts w:cs="Arial"/>
          <w:color w:val="222222"/>
          <w:shd w:val="clear" w:color="auto" w:fill="FFFFFF"/>
        </w:rPr>
        <w:t xml:space="preserve"> One of the most notable </w:t>
      </w:r>
      <w:r w:rsidR="00080B0A" w:rsidRPr="0065275B">
        <w:rPr>
          <w:rFonts w:cs="Arial"/>
          <w:color w:val="222222"/>
          <w:shd w:val="clear" w:color="auto" w:fill="FFFFFF"/>
        </w:rPr>
        <w:lastRenderedPageBreak/>
        <w:t xml:space="preserve">examples of this is found in the Roman town of </w:t>
      </w:r>
      <w:r w:rsidR="00080B0A" w:rsidRPr="0065275B">
        <w:rPr>
          <w:rFonts w:cs="Arial"/>
          <w:iCs/>
          <w:color w:val="222222"/>
          <w:shd w:val="clear" w:color="auto" w:fill="FFFFFF"/>
          <w:lang w:val="la-Latn"/>
        </w:rPr>
        <w:t>Aquæ Sulis</w:t>
      </w:r>
      <w:r w:rsidR="00080B0A" w:rsidRPr="0065275B">
        <w:rPr>
          <w:rFonts w:ascii="Arial" w:hAnsi="Arial" w:cs="Arial"/>
          <w:iCs/>
          <w:color w:val="222222"/>
          <w:shd w:val="clear" w:color="auto" w:fill="FFFFFF"/>
        </w:rPr>
        <w:t xml:space="preserve">, </w:t>
      </w:r>
      <w:r w:rsidR="00080B0A" w:rsidRPr="0065275B">
        <w:rPr>
          <w:rFonts w:cs="Arial"/>
          <w:iCs/>
          <w:color w:val="222222"/>
          <w:shd w:val="clear" w:color="auto" w:fill="FFFFFF"/>
        </w:rPr>
        <w:t xml:space="preserve">or modern-day Bath. </w:t>
      </w:r>
      <w:r w:rsidR="00F55894" w:rsidRPr="0065275B">
        <w:rPr>
          <w:rFonts w:cs="Arial"/>
          <w:iCs/>
          <w:color w:val="222222"/>
          <w:shd w:val="clear" w:color="auto" w:fill="FFFFFF"/>
        </w:rPr>
        <w:t>The name means the Water of Sulis, in dedication to the local healing god Sulis</w:t>
      </w:r>
      <w:r w:rsidR="00F55894" w:rsidRPr="0065275B">
        <w:rPr>
          <w:rStyle w:val="FootnoteReference"/>
          <w:rFonts w:cs="Arial"/>
          <w:iCs/>
          <w:color w:val="222222"/>
          <w:shd w:val="clear" w:color="auto" w:fill="FFFFFF"/>
        </w:rPr>
        <w:footnoteReference w:id="6"/>
      </w:r>
      <w:r w:rsidR="00F55894" w:rsidRPr="0065275B">
        <w:rPr>
          <w:rFonts w:cs="Arial"/>
          <w:iCs/>
          <w:color w:val="222222"/>
          <w:shd w:val="clear" w:color="auto" w:fill="FFFFFF"/>
        </w:rPr>
        <w:t xml:space="preserve"> . After the Romans arrived, they </w:t>
      </w:r>
      <w:r w:rsidR="00FC033A" w:rsidRPr="0065275B">
        <w:rPr>
          <w:rFonts w:cs="Arial"/>
          <w:iCs/>
          <w:color w:val="222222"/>
          <w:shd w:val="clear" w:color="auto" w:fill="FFFFFF"/>
        </w:rPr>
        <w:t>determined</w:t>
      </w:r>
      <w:r w:rsidR="00F55894" w:rsidRPr="0065275B">
        <w:rPr>
          <w:rFonts w:cs="Arial"/>
          <w:iCs/>
          <w:color w:val="222222"/>
          <w:shd w:val="clear" w:color="auto" w:fill="FFFFFF"/>
        </w:rPr>
        <w:t xml:space="preserve"> the</w:t>
      </w:r>
      <w:r w:rsidR="00FC033A" w:rsidRPr="0065275B">
        <w:rPr>
          <w:rFonts w:cs="Arial"/>
          <w:iCs/>
          <w:color w:val="222222"/>
          <w:shd w:val="clear" w:color="auto" w:fill="FFFFFF"/>
        </w:rPr>
        <w:t xml:space="preserve"> native</w:t>
      </w:r>
      <w:r w:rsidR="00F55894" w:rsidRPr="0065275B">
        <w:rPr>
          <w:rFonts w:cs="Arial"/>
          <w:iCs/>
          <w:color w:val="222222"/>
          <w:shd w:val="clear" w:color="auto" w:fill="FFFFFF"/>
        </w:rPr>
        <w:t xml:space="preserve"> god Sulis was </w:t>
      </w:r>
      <w:proofErr w:type="gramStart"/>
      <w:r w:rsidR="00F55894" w:rsidRPr="0065275B">
        <w:rPr>
          <w:rFonts w:cs="Arial"/>
          <w:iCs/>
          <w:color w:val="222222"/>
          <w:shd w:val="clear" w:color="auto" w:fill="FFFFFF"/>
        </w:rPr>
        <w:t>similar to</w:t>
      </w:r>
      <w:proofErr w:type="gramEnd"/>
      <w:r w:rsidR="00F55894" w:rsidRPr="0065275B">
        <w:rPr>
          <w:rFonts w:cs="Arial"/>
          <w:iCs/>
          <w:color w:val="222222"/>
          <w:shd w:val="clear" w:color="auto" w:fill="FFFFFF"/>
        </w:rPr>
        <w:t xml:space="preserve"> their goddess Minerva</w:t>
      </w:r>
      <w:r w:rsidR="00080B0A" w:rsidRPr="0065275B">
        <w:rPr>
          <w:rStyle w:val="FootnoteReference"/>
          <w:rFonts w:cs="Arial"/>
          <w:iCs/>
          <w:color w:val="222222"/>
          <w:shd w:val="clear" w:color="auto" w:fill="FFFFFF"/>
        </w:rPr>
        <w:footnoteReference w:id="7"/>
      </w:r>
      <w:r w:rsidR="00F55894" w:rsidRPr="0065275B">
        <w:rPr>
          <w:rFonts w:cs="Arial"/>
          <w:iCs/>
          <w:color w:val="222222"/>
          <w:shd w:val="clear" w:color="auto" w:fill="FFFFFF"/>
        </w:rPr>
        <w:t>. Due to the Romans syncretic practices, they aligned the two gods together to create Sulis-Minerva, an amalgamation of the two gods, allowing both Romans and Britons to worship the same deity</w:t>
      </w:r>
      <w:r w:rsidR="00F55894" w:rsidRPr="0065275B">
        <w:rPr>
          <w:rStyle w:val="FootnoteReference"/>
          <w:rFonts w:cs="Arial"/>
          <w:iCs/>
          <w:color w:val="222222"/>
          <w:shd w:val="clear" w:color="auto" w:fill="FFFFFF"/>
        </w:rPr>
        <w:footnoteReference w:id="8"/>
      </w:r>
      <w:r w:rsidR="00F55894" w:rsidRPr="0065275B">
        <w:rPr>
          <w:rFonts w:cs="Arial"/>
          <w:iCs/>
          <w:color w:val="222222"/>
          <w:shd w:val="clear" w:color="auto" w:fill="FFFFFF"/>
        </w:rPr>
        <w:t>.</w:t>
      </w:r>
      <w:r w:rsidR="00C501A4" w:rsidRPr="0065275B">
        <w:rPr>
          <w:rFonts w:cs="Arial"/>
          <w:color w:val="222222"/>
          <w:shd w:val="clear" w:color="auto" w:fill="FFFFFF"/>
        </w:rPr>
        <w:t xml:space="preserve"> </w:t>
      </w:r>
      <w:r w:rsidRPr="0065275B">
        <w:t>To the Romans, the religious ritual itself was more important than the worship of the deity. The Romans believed in the practice of orthopraxy over the practice of orthodoxy, it did not matter if it were to the Roman Mars Ulator</w:t>
      </w:r>
      <w:r w:rsidR="002213C9" w:rsidRPr="0065275B">
        <w:t>,</w:t>
      </w:r>
      <w:r w:rsidRPr="0065275B">
        <w:t xml:space="preserve"> the Greek Ares</w:t>
      </w:r>
      <w:r w:rsidR="002213C9" w:rsidRPr="0065275B">
        <w:t xml:space="preserve">, or the </w:t>
      </w:r>
      <w:r w:rsidR="00875B32" w:rsidRPr="0065275B">
        <w:t>British</w:t>
      </w:r>
      <w:r w:rsidR="00A62ED0" w:rsidRPr="0065275B">
        <w:t xml:space="preserve"> Sulis</w:t>
      </w:r>
      <w:r w:rsidR="00875B32" w:rsidRPr="0065275B">
        <w:t xml:space="preserve">, </w:t>
      </w:r>
      <w:r w:rsidR="00DB2193">
        <w:t>so</w:t>
      </w:r>
      <w:r w:rsidR="00875B32" w:rsidRPr="0065275B">
        <w:t xml:space="preserve"> long as the correct ritual was observed.</w:t>
      </w:r>
    </w:p>
    <w:p w:rsidR="00C501A4" w:rsidRPr="0065275B" w:rsidRDefault="007352D2" w:rsidP="00872304">
      <w:r w:rsidRPr="0065275B">
        <w:t>In the Roman world, it was not only their Gods who worshiped as such, Roman religion also featured a strong Imperial cult. The Imperial Cult was the worship of the divinity of the emperors</w:t>
      </w:r>
      <w:r w:rsidR="003B4FD7" w:rsidRPr="0065275B">
        <w:t xml:space="preserve"> following their deaths</w:t>
      </w:r>
      <w:r w:rsidRPr="0065275B">
        <w:t xml:space="preserve"> and those who are bestowed divinity </w:t>
      </w:r>
      <w:r w:rsidR="0080607A" w:rsidRPr="0065275B">
        <w:rPr>
          <w:rStyle w:val="FootnoteReference"/>
        </w:rPr>
        <w:footnoteReference w:id="9"/>
      </w:r>
      <w:r w:rsidR="0080607A" w:rsidRPr="0065275B">
        <w:t xml:space="preserve">. The practice of the Imperial cult originated with the manifestation of the divine within the </w:t>
      </w:r>
      <w:r w:rsidR="003B4FD7" w:rsidRPr="0065275B">
        <w:t>in</w:t>
      </w:r>
      <w:r w:rsidR="0080607A" w:rsidRPr="0065275B">
        <w:t>famous Republican politician and general, Gaius Julius Caesar</w:t>
      </w:r>
      <w:r w:rsidR="0080607A" w:rsidRPr="0065275B">
        <w:rPr>
          <w:rStyle w:val="FootnoteReference"/>
        </w:rPr>
        <w:footnoteReference w:id="10"/>
      </w:r>
      <w:r w:rsidR="0080607A" w:rsidRPr="0065275B">
        <w:t xml:space="preserve">. </w:t>
      </w:r>
      <w:r w:rsidR="003B4FD7" w:rsidRPr="0065275B">
        <w:t xml:space="preserve">Julius </w:t>
      </w:r>
      <w:r w:rsidR="0080607A" w:rsidRPr="0065275B">
        <w:t>Caesar was the very first and the very last Roman to have been living whilst being worshiped in the Imperial Cult as divine.</w:t>
      </w:r>
      <w:r w:rsidR="003B4FD7" w:rsidRPr="0065275B">
        <w:t xml:space="preserve"> This honour was later only reserved for the </w:t>
      </w:r>
      <w:r w:rsidR="00164162" w:rsidRPr="0065275B">
        <w:t>emperors. The</w:t>
      </w:r>
      <w:r w:rsidR="0080607A" w:rsidRPr="0065275B">
        <w:t xml:space="preserve"> deification of the emperors was not always approved by the emperors </w:t>
      </w:r>
      <w:r w:rsidR="003E26ED" w:rsidRPr="0065275B">
        <w:t>Warrior, a scholar of Roman religion writing about Suetonius’ Life of Vespasian comments on Vespasian’s deification</w:t>
      </w:r>
      <w:r w:rsidRPr="0065275B">
        <w:rPr>
          <w:rStyle w:val="FootnoteReference"/>
        </w:rPr>
        <w:footnoteReference w:id="11"/>
      </w:r>
      <w:r w:rsidR="00872304" w:rsidRPr="0065275B">
        <w:t>.</w:t>
      </w:r>
    </w:p>
    <w:p w:rsidR="00C501A4" w:rsidRPr="0065275B" w:rsidRDefault="00872304" w:rsidP="00C501A4">
      <w:pPr>
        <w:jc w:val="center"/>
      </w:pPr>
      <w:r w:rsidRPr="0065275B">
        <w:t>“O dear! I think I’m becoming a God</w:t>
      </w:r>
      <w:r w:rsidRPr="0065275B">
        <w:rPr>
          <w:rStyle w:val="FootnoteReference"/>
        </w:rPr>
        <w:footnoteReference w:id="12"/>
      </w:r>
      <w:r w:rsidRPr="0065275B">
        <w:t>”</w:t>
      </w:r>
    </w:p>
    <w:p w:rsidR="00C501A4" w:rsidRPr="0065275B" w:rsidRDefault="00872304" w:rsidP="00872304">
      <w:r w:rsidRPr="0065275B">
        <w:t xml:space="preserve">According to Suetonius, these are the last words of the emperor Vespasian, Warrior notes how Vespasian seemed to have a sense of humour and cynicism about his deification, this could show that the emperors may not have taken the deification aspect of the imperial cult seriously compared to the normal cult. Vespasian was not the only emperor not to embrace the deification. Suetonius write about Tiberius, Augusts’ successor. </w:t>
      </w:r>
      <w:r w:rsidR="00306D6E" w:rsidRPr="0065275B">
        <w:t xml:space="preserve">Suetonius claims </w:t>
      </w:r>
    </w:p>
    <w:p w:rsidR="00C501A4" w:rsidRPr="0065275B" w:rsidRDefault="00306D6E" w:rsidP="00C501A4">
      <w:pPr>
        <w:jc w:val="center"/>
      </w:pPr>
      <w:r w:rsidRPr="0065275B">
        <w:t>“Tiberius forbade temples or priesthoods to be stablished in his name</w:t>
      </w:r>
      <w:r w:rsidRPr="0065275B">
        <w:rPr>
          <w:rStyle w:val="FootnoteReference"/>
        </w:rPr>
        <w:footnoteReference w:id="13"/>
      </w:r>
      <w:r w:rsidRPr="0065275B">
        <w:t>”</w:t>
      </w:r>
    </w:p>
    <w:p w:rsidR="00C33A8F" w:rsidRDefault="00306D6E" w:rsidP="00872304">
      <w:r w:rsidRPr="0065275B">
        <w:t>Warrior writes that “Tiberius declared himself opposed to such practices</w:t>
      </w:r>
      <w:r w:rsidRPr="0065275B">
        <w:rPr>
          <w:rStyle w:val="FootnoteReference"/>
        </w:rPr>
        <w:footnoteReference w:id="14"/>
      </w:r>
      <w:r w:rsidRPr="0065275B">
        <w:t>”</w:t>
      </w:r>
      <w:r w:rsidR="0080512C" w:rsidRPr="0065275B">
        <w:t xml:space="preserve"> This shows us that the Julio-Claudian dynasty did not all </w:t>
      </w:r>
      <w:r w:rsidR="009F39C3" w:rsidRPr="0065275B">
        <w:t xml:space="preserve">approve of this aspect of the Imperial Cult. </w:t>
      </w:r>
      <w:r w:rsidR="00732CD2" w:rsidRPr="0065275B">
        <w:t xml:space="preserve">The practise of the Imperial Cult and worship of the deified </w:t>
      </w:r>
      <w:r w:rsidR="00C501A4" w:rsidRPr="0065275B">
        <w:t>emperors</w:t>
      </w:r>
      <w:r w:rsidR="00732CD2" w:rsidRPr="0065275B">
        <w:t xml:space="preserve"> was brought to an end in the fourth century AD by the </w:t>
      </w:r>
      <w:r w:rsidR="00C501A4" w:rsidRPr="0065275B">
        <w:t>Emperor</w:t>
      </w:r>
      <w:r w:rsidR="00732CD2" w:rsidRPr="0065275B">
        <w:t xml:space="preserve"> Theodosius the first, thi</w:t>
      </w:r>
      <w:r w:rsidR="00C501A4" w:rsidRPr="0065275B">
        <w:t>s</w:t>
      </w:r>
      <w:r w:rsidR="00732CD2" w:rsidRPr="0065275B">
        <w:t xml:space="preserve"> was brought on following Constantine the Greats</w:t>
      </w:r>
      <w:r w:rsidR="00C501A4" w:rsidRPr="0065275B">
        <w:t xml:space="preserve"> reforms after his</w:t>
      </w:r>
      <w:r w:rsidR="00732CD2" w:rsidRPr="0065275B">
        <w:t xml:space="preserve"> vision of Christ at the Milvian </w:t>
      </w:r>
      <w:r w:rsidR="00C501A4" w:rsidRPr="0065275B">
        <w:t>Bridge</w:t>
      </w:r>
      <w:r w:rsidR="00605792">
        <w:rPr>
          <w:rStyle w:val="FootnoteReference"/>
        </w:rPr>
        <w:footnoteReference w:id="15"/>
      </w:r>
      <w:r w:rsidR="00C501A4" w:rsidRPr="0065275B">
        <w:t>. Ev</w:t>
      </w:r>
      <w:r w:rsidR="002953F1">
        <w:t>e</w:t>
      </w:r>
      <w:r w:rsidR="00C501A4" w:rsidRPr="0065275B">
        <w:t>n though the imperial cult was founde</w:t>
      </w:r>
      <w:r w:rsidR="003B4FD7" w:rsidRPr="0065275B">
        <w:t>d</w:t>
      </w:r>
      <w:r w:rsidR="00C501A4" w:rsidRPr="0065275B">
        <w:t xml:space="preserve"> upon the manifestation of the divine</w:t>
      </w:r>
      <w:r w:rsidR="003B4FD7" w:rsidRPr="0065275B">
        <w:t xml:space="preserve"> in man, it was ended following the divine manifestation of the Christian God.</w:t>
      </w:r>
    </w:p>
    <w:p w:rsidR="00C33A8F" w:rsidRPr="008259E5" w:rsidRDefault="00C33A8F" w:rsidP="00872304">
      <w:r>
        <w:t>In the first century AD, a Jewish preacher was executed in Judea by the Roman governor Pontius Pilate</w:t>
      </w:r>
      <w:r w:rsidR="000E2338">
        <w:rPr>
          <w:rStyle w:val="FootnoteReference"/>
        </w:rPr>
        <w:footnoteReference w:id="16"/>
      </w:r>
      <w:r w:rsidR="000E2338">
        <w:t>. Little did Pilate know that that preacher was in fact</w:t>
      </w:r>
      <w:r>
        <w:t xml:space="preserve"> the manifestation of the divine </w:t>
      </w:r>
      <w:r w:rsidR="000E2338">
        <w:t>made manifest</w:t>
      </w:r>
      <w:r>
        <w:t xml:space="preserve"> in the form of the Christian God in Jesus Christ.</w:t>
      </w:r>
      <w:r w:rsidR="000E2338">
        <w:t xml:space="preserve"> </w:t>
      </w:r>
      <w:r w:rsidR="0065275B">
        <w:t xml:space="preserve">When Christianity was first introduced in </w:t>
      </w:r>
      <w:r w:rsidR="0065275B">
        <w:lastRenderedPageBreak/>
        <w:t xml:space="preserve">the Roman </w:t>
      </w:r>
      <w:r w:rsidR="0065275B" w:rsidRPr="008259E5">
        <w:t xml:space="preserve">world, the Romans did not fully take to it for a multitude of reasons. Chiefly, Christianity is not a syncretic religion, due its monotheistic God, </w:t>
      </w:r>
      <w:r w:rsidR="00CC5CF5" w:rsidRPr="008259E5">
        <w:t>the Romans cannot align their own many gods with their many attributes to a single god. The Roman people were also against h</w:t>
      </w:r>
      <w:r w:rsidR="000E2338" w:rsidRPr="008259E5">
        <w:t>uman sacrifice</w:t>
      </w:r>
      <w:r w:rsidR="00CC5CF5" w:rsidRPr="008259E5">
        <w:t xml:space="preserve"> in their religious practices</w:t>
      </w:r>
      <w:r w:rsidR="000E2338" w:rsidRPr="008259E5">
        <w:rPr>
          <w:rStyle w:val="FootnoteReference"/>
        </w:rPr>
        <w:footnoteReference w:id="17"/>
      </w:r>
      <w:r w:rsidR="00CC5CF5" w:rsidRPr="008259E5">
        <w:t>. We know that Christians do not practice human sacrifice, but as the Romans saw it, they were eating the flesh and blood of Christ</w:t>
      </w:r>
      <w:r w:rsidR="00CC5CF5" w:rsidRPr="008259E5">
        <w:rPr>
          <w:rStyle w:val="FootnoteReference"/>
        </w:rPr>
        <w:footnoteReference w:id="18"/>
      </w:r>
      <w:r w:rsidR="00CC5CF5" w:rsidRPr="008259E5">
        <w:t>. At the time of the last supper, the Romans were not aware of the concept of transubstantiation or what it meant, this brought up confusion that lasted a long time.</w:t>
      </w:r>
      <w:r w:rsidR="00CC5CF5" w:rsidRPr="008259E5">
        <w:rPr>
          <w:rStyle w:val="FootnoteReference"/>
        </w:rPr>
        <w:footnoteReference w:id="19"/>
      </w:r>
      <w:r w:rsidR="008259E5" w:rsidRPr="008259E5">
        <w:t xml:space="preserve"> The worship of the Roman Gods went well into the fourth century AD, the decline in their worship came around during the reign of the first Christian emperor, Constantine the Great</w:t>
      </w:r>
      <w:r w:rsidR="008259E5" w:rsidRPr="008259E5">
        <w:rPr>
          <w:rStyle w:val="FootnoteReference"/>
        </w:rPr>
        <w:footnoteReference w:id="20"/>
      </w:r>
      <w:r w:rsidR="008259E5" w:rsidRPr="008259E5">
        <w:t>.</w:t>
      </w:r>
    </w:p>
    <w:p w:rsidR="0087458F" w:rsidRPr="0087458F" w:rsidRDefault="00DE3CF2" w:rsidP="00B914CB">
      <w:pPr>
        <w:rPr>
          <w:rFonts w:cs="Arial"/>
          <w:color w:val="000000"/>
          <w:shd w:val="clear" w:color="auto" w:fill="FFFFFF"/>
        </w:rPr>
      </w:pPr>
      <w:r w:rsidRPr="008259E5">
        <w:t xml:space="preserve">Up until the fourth century AD, the Christian people were persecuted by the Roman state in varying degrees. According to Tacitus, the </w:t>
      </w:r>
      <w:r w:rsidR="005E0327" w:rsidRPr="008259E5">
        <w:t>emperor</w:t>
      </w:r>
      <w:r w:rsidRPr="008259E5">
        <w:t xml:space="preserve"> Nero was responsible for </w:t>
      </w:r>
      <w:r w:rsidR="005E0327" w:rsidRPr="008259E5">
        <w:t>torturing</w:t>
      </w:r>
      <w:r w:rsidRPr="008259E5">
        <w:t xml:space="preserve"> and executing Christians following the great fire of 64 AD</w:t>
      </w:r>
      <w:r w:rsidRPr="008259E5">
        <w:rPr>
          <w:rStyle w:val="FootnoteReference"/>
        </w:rPr>
        <w:footnoteReference w:id="21"/>
      </w:r>
      <w:r w:rsidR="005E0327" w:rsidRPr="008259E5">
        <w:t xml:space="preserve">. </w:t>
      </w:r>
      <w:r w:rsidRPr="008259E5">
        <w:t xml:space="preserve"> </w:t>
      </w:r>
      <w:r w:rsidR="00FD4213" w:rsidRPr="008259E5">
        <w:t xml:space="preserve">Potter </w:t>
      </w:r>
      <w:r w:rsidR="00A01AD9" w:rsidRPr="008259E5">
        <w:t xml:space="preserve">suggests that </w:t>
      </w:r>
      <w:r w:rsidR="00061C5F" w:rsidRPr="008259E5">
        <w:t>Nero</w:t>
      </w:r>
      <w:r w:rsidR="00A01AD9" w:rsidRPr="008259E5">
        <w:t xml:space="preserve"> blamed the Christians </w:t>
      </w:r>
      <w:r w:rsidR="00061C5F" w:rsidRPr="008259E5">
        <w:t>as few people had heard of them or cared for them, Potter is more than likely correct that Nero used the Christians as a scapegoat for the fire</w:t>
      </w:r>
      <w:r w:rsidR="00061C5F" w:rsidRPr="008259E5">
        <w:rPr>
          <w:rStyle w:val="FootnoteReference"/>
        </w:rPr>
        <w:footnoteReference w:id="22"/>
      </w:r>
      <w:r w:rsidR="00061C5F" w:rsidRPr="008259E5">
        <w:t xml:space="preserve">. </w:t>
      </w:r>
      <w:r w:rsidR="0087458F" w:rsidRPr="008259E5">
        <w:rPr>
          <w:rFonts w:cs="Arial"/>
          <w:color w:val="000000"/>
          <w:shd w:val="clear" w:color="auto" w:fill="FFFFFF"/>
        </w:rPr>
        <w:t>The first legal standing the Christians gained was in the late 80’s AD</w:t>
      </w:r>
      <w:r w:rsidR="0087458F" w:rsidRPr="008259E5">
        <w:rPr>
          <w:rStyle w:val="FootnoteReference"/>
          <w:rFonts w:cs="Arial"/>
          <w:color w:val="000000"/>
          <w:shd w:val="clear" w:color="auto" w:fill="FFFFFF"/>
        </w:rPr>
        <w:footnoteReference w:id="23"/>
      </w:r>
      <w:r w:rsidR="0087458F" w:rsidRPr="008259E5">
        <w:rPr>
          <w:rFonts w:cs="Arial"/>
          <w:color w:val="000000"/>
          <w:shd w:val="clear" w:color="auto" w:fill="FFFFFF"/>
        </w:rPr>
        <w:t xml:space="preserve">, when the emperor Domitian granted Christianity the legal standing of </w:t>
      </w:r>
      <w:r w:rsidR="0087458F" w:rsidRPr="008259E5">
        <w:rPr>
          <w:rFonts w:cs="Arial"/>
          <w:i/>
          <w:color w:val="000000"/>
          <w:shd w:val="clear" w:color="auto" w:fill="FFFFFF"/>
        </w:rPr>
        <w:t>Religio Licita</w:t>
      </w:r>
      <w:r w:rsidR="0087458F" w:rsidRPr="008259E5">
        <w:rPr>
          <w:rStyle w:val="FootnoteReference"/>
          <w:rFonts w:cs="Arial"/>
          <w:i/>
          <w:color w:val="000000"/>
          <w:shd w:val="clear" w:color="auto" w:fill="FFFFFF"/>
        </w:rPr>
        <w:footnoteReference w:id="24"/>
      </w:r>
      <w:r w:rsidR="0087458F" w:rsidRPr="008259E5">
        <w:rPr>
          <w:rFonts w:cs="Arial"/>
          <w:i/>
          <w:color w:val="000000"/>
          <w:shd w:val="clear" w:color="auto" w:fill="FFFFFF"/>
        </w:rPr>
        <w:t xml:space="preserve">. Religio Licita </w:t>
      </w:r>
      <w:r w:rsidR="0087458F" w:rsidRPr="008259E5">
        <w:rPr>
          <w:rFonts w:cs="Arial"/>
          <w:color w:val="000000"/>
          <w:shd w:val="clear" w:color="auto" w:fill="FFFFFF"/>
        </w:rPr>
        <w:t xml:space="preserve">was a phrase used by the Christian author Tertullian in his </w:t>
      </w:r>
      <w:r w:rsidR="0087458F" w:rsidRPr="008259E5">
        <w:rPr>
          <w:rFonts w:cs="Arial"/>
          <w:i/>
          <w:color w:val="000000"/>
          <w:shd w:val="clear" w:color="auto" w:fill="FFFFFF"/>
        </w:rPr>
        <w:t>Apologeticum</w:t>
      </w:r>
      <w:r w:rsidR="0087458F" w:rsidRPr="008259E5">
        <w:rPr>
          <w:rFonts w:cs="Arial"/>
          <w:color w:val="000000"/>
          <w:shd w:val="clear" w:color="auto" w:fill="FFFFFF"/>
        </w:rPr>
        <w:t xml:space="preserve"> used to describe a permitted religion within the empire</w:t>
      </w:r>
      <w:r w:rsidR="0087458F" w:rsidRPr="008259E5">
        <w:rPr>
          <w:rStyle w:val="FootnoteReference"/>
          <w:rFonts w:cs="Arial"/>
          <w:color w:val="000000"/>
          <w:shd w:val="clear" w:color="auto" w:fill="FFFFFF"/>
        </w:rPr>
        <w:footnoteReference w:id="25"/>
      </w:r>
      <w:r w:rsidR="0087458F" w:rsidRPr="008259E5">
        <w:rPr>
          <w:rFonts w:cs="Arial"/>
          <w:color w:val="000000"/>
          <w:shd w:val="clear" w:color="auto" w:fill="FFFFFF"/>
        </w:rPr>
        <w:t xml:space="preserve">. However, Tertullian wrote his </w:t>
      </w:r>
      <w:r w:rsidR="0087458F" w:rsidRPr="008259E5">
        <w:rPr>
          <w:rFonts w:cs="Arial"/>
          <w:i/>
          <w:color w:val="000000"/>
          <w:shd w:val="clear" w:color="auto" w:fill="FFFFFF"/>
        </w:rPr>
        <w:t xml:space="preserve">Apologeticum </w:t>
      </w:r>
      <w:r w:rsidR="0087458F" w:rsidRPr="008259E5">
        <w:rPr>
          <w:rFonts w:cs="Arial"/>
          <w:color w:val="000000"/>
          <w:shd w:val="clear" w:color="auto" w:fill="FFFFFF"/>
        </w:rPr>
        <w:t xml:space="preserve">in 197 </w:t>
      </w:r>
      <w:proofErr w:type="gramStart"/>
      <w:r w:rsidR="0087458F" w:rsidRPr="008259E5">
        <w:rPr>
          <w:rFonts w:cs="Arial"/>
          <w:color w:val="000000"/>
          <w:shd w:val="clear" w:color="auto" w:fill="FFFFFF"/>
        </w:rPr>
        <w:t>AD</w:t>
      </w:r>
      <w:proofErr w:type="gramEnd"/>
      <w:r w:rsidR="0087458F" w:rsidRPr="008259E5">
        <w:rPr>
          <w:rFonts w:cs="Arial"/>
          <w:color w:val="000000"/>
          <w:shd w:val="clear" w:color="auto" w:fill="FFFFFF"/>
        </w:rPr>
        <w:t xml:space="preserve">, over a century since he claimed Domitian made Christianity a </w:t>
      </w:r>
      <w:r w:rsidR="0087458F" w:rsidRPr="008259E5">
        <w:rPr>
          <w:rFonts w:cs="Arial"/>
          <w:i/>
          <w:color w:val="000000"/>
          <w:shd w:val="clear" w:color="auto" w:fill="FFFFFF"/>
        </w:rPr>
        <w:t>Religio Licita</w:t>
      </w:r>
      <w:r w:rsidR="0087458F" w:rsidRPr="008259E5">
        <w:rPr>
          <w:rStyle w:val="FootnoteReference"/>
          <w:rFonts w:cs="Arial"/>
          <w:color w:val="000000"/>
          <w:shd w:val="clear" w:color="auto" w:fill="FFFFFF"/>
        </w:rPr>
        <w:footnoteReference w:id="26"/>
      </w:r>
      <w:r w:rsidR="0087458F" w:rsidRPr="008259E5">
        <w:rPr>
          <w:rFonts w:cs="Arial"/>
          <w:color w:val="000000"/>
          <w:shd w:val="clear" w:color="auto" w:fill="FFFFFF"/>
        </w:rPr>
        <w:t>. This lapse in time could cause some mistakes, as the language changes, so would the meaning, Domitian could have meant something else by his actions.</w:t>
      </w:r>
    </w:p>
    <w:p w:rsidR="00DE3CF2" w:rsidRPr="008259E5" w:rsidRDefault="00061C5F" w:rsidP="00B914CB">
      <w:r w:rsidRPr="008259E5">
        <w:t>T</w:t>
      </w:r>
      <w:r w:rsidR="00DE3CF2" w:rsidRPr="008259E5">
        <w:t>his</w:t>
      </w:r>
      <w:r w:rsidRPr="008259E5">
        <w:t xml:space="preserve"> persecution</w:t>
      </w:r>
      <w:r w:rsidR="00DE3CF2" w:rsidRPr="008259E5">
        <w:t xml:space="preserve"> however was brought to an end by Constantine the Great. Following his edict of Milan in 313 </w:t>
      </w:r>
      <w:proofErr w:type="gramStart"/>
      <w:r w:rsidR="00DE3CF2" w:rsidRPr="008259E5">
        <w:t>AD</w:t>
      </w:r>
      <w:proofErr w:type="gramEnd"/>
      <w:r w:rsidR="00DE3CF2" w:rsidRPr="008259E5">
        <w:rPr>
          <w:rStyle w:val="FootnoteReference"/>
        </w:rPr>
        <w:footnoteReference w:id="27"/>
      </w:r>
      <w:r w:rsidR="00DE3CF2" w:rsidRPr="008259E5">
        <w:t>, Constantine outlawed the persecution of the Christian people</w:t>
      </w:r>
      <w:r w:rsidR="00DE3CF2" w:rsidRPr="008259E5">
        <w:rPr>
          <w:rStyle w:val="FootnoteReference"/>
        </w:rPr>
        <w:footnoteReference w:id="28"/>
      </w:r>
      <w:r w:rsidR="00DE3CF2" w:rsidRPr="008259E5">
        <w:t>.</w:t>
      </w:r>
      <w:r w:rsidRPr="008259E5">
        <w:t xml:space="preserve"> </w:t>
      </w:r>
      <w:r w:rsidR="003C542B" w:rsidRPr="008259E5">
        <w:t>Gregory</w:t>
      </w:r>
      <w:r w:rsidRPr="008259E5">
        <w:t xml:space="preserve"> sums up the </w:t>
      </w:r>
      <w:r w:rsidR="003C542B" w:rsidRPr="008259E5">
        <w:t xml:space="preserve">effect of the </w:t>
      </w:r>
      <w:r w:rsidRPr="008259E5">
        <w:t>edi</w:t>
      </w:r>
      <w:r w:rsidR="003C542B" w:rsidRPr="008259E5">
        <w:t>ct of Milan as the following:</w:t>
      </w:r>
    </w:p>
    <w:p w:rsidR="00191700" w:rsidRDefault="00061C5F" w:rsidP="00061C5F">
      <w:pPr>
        <w:jc w:val="center"/>
        <w:rPr>
          <w:rFonts w:cs="Arial"/>
          <w:color w:val="000000"/>
          <w:shd w:val="clear" w:color="auto" w:fill="FFFFFF"/>
        </w:rPr>
      </w:pPr>
      <w:r w:rsidRPr="008259E5">
        <w:rPr>
          <w:rFonts w:cs="Arial"/>
          <w:color w:val="000000"/>
          <w:shd w:val="clear" w:color="auto" w:fill="FFFFFF"/>
        </w:rPr>
        <w:t>“</w:t>
      </w:r>
      <w:r w:rsidR="00DE3CF2" w:rsidRPr="008259E5">
        <w:rPr>
          <w:rFonts w:cs="Arial"/>
          <w:color w:val="000000"/>
          <w:shd w:val="clear" w:color="auto" w:fill="FFFFFF"/>
        </w:rPr>
        <w:t>grants religious freedom to both Christians and non-Christians and orders the return of confiscated church property</w:t>
      </w:r>
      <w:r w:rsidRPr="008259E5">
        <w:rPr>
          <w:rStyle w:val="FootnoteReference"/>
          <w:rFonts w:cs="Arial"/>
          <w:color w:val="000000"/>
          <w:shd w:val="clear" w:color="auto" w:fill="FFFFFF"/>
        </w:rPr>
        <w:footnoteReference w:id="29"/>
      </w:r>
      <w:r w:rsidRPr="008259E5">
        <w:rPr>
          <w:rFonts w:cs="Arial"/>
          <w:color w:val="000000"/>
          <w:shd w:val="clear" w:color="auto" w:fill="FFFFFF"/>
        </w:rPr>
        <w:t>”</w:t>
      </w:r>
    </w:p>
    <w:p w:rsidR="0087458F" w:rsidRDefault="0087458F" w:rsidP="0087458F">
      <w:pPr>
        <w:rPr>
          <w:rFonts w:cs="Arial"/>
          <w:color w:val="000000"/>
          <w:shd w:val="clear" w:color="auto" w:fill="FFFFFF"/>
        </w:rPr>
      </w:pPr>
      <w:r>
        <w:rPr>
          <w:rFonts w:cs="Arial"/>
          <w:color w:val="000000"/>
          <w:shd w:val="clear" w:color="auto" w:fill="FFFFFF"/>
        </w:rPr>
        <w:t>The edict of Milan and the rule of Constantine went on the bring an end to the hatred and persecution of Christian in the Roman empire, following Constantine, Christianity became the main religion of Rome under emperor Theodosius the first.</w:t>
      </w:r>
      <w:r>
        <w:rPr>
          <w:rStyle w:val="FootnoteReference"/>
          <w:rFonts w:cs="Arial"/>
          <w:color w:val="000000"/>
          <w:shd w:val="clear" w:color="auto" w:fill="FFFFFF"/>
        </w:rPr>
        <w:footnoteReference w:id="30"/>
      </w:r>
      <w:r>
        <w:rPr>
          <w:rFonts w:cs="Arial"/>
          <w:color w:val="000000"/>
          <w:shd w:val="clear" w:color="auto" w:fill="FFFFFF"/>
        </w:rPr>
        <w:t xml:space="preserve"> </w:t>
      </w:r>
    </w:p>
    <w:p w:rsidR="0013457F" w:rsidRDefault="0013457F" w:rsidP="0087458F">
      <w:pPr>
        <w:rPr>
          <w:rFonts w:cs="Arial"/>
          <w:color w:val="000000"/>
          <w:shd w:val="clear" w:color="auto" w:fill="FFFFFF"/>
        </w:rPr>
      </w:pPr>
    </w:p>
    <w:p w:rsidR="00191700" w:rsidRPr="00C501A4" w:rsidRDefault="0087458F" w:rsidP="00B914CB">
      <w:r w:rsidRPr="000D2896">
        <w:rPr>
          <w:rFonts w:cs="Arial"/>
          <w:color w:val="000000"/>
          <w:shd w:val="clear" w:color="auto" w:fill="FFFFFF"/>
        </w:rPr>
        <w:lastRenderedPageBreak/>
        <w:t xml:space="preserve">The best piece of literary evidence we have </w:t>
      </w:r>
      <w:r w:rsidR="00BB5949" w:rsidRPr="000D2896">
        <w:rPr>
          <w:rFonts w:cs="Arial"/>
          <w:color w:val="000000"/>
          <w:shd w:val="clear" w:color="auto" w:fill="FFFFFF"/>
        </w:rPr>
        <w:t>ascertaining</w:t>
      </w:r>
      <w:r w:rsidRPr="000D2896">
        <w:rPr>
          <w:rFonts w:cs="Arial"/>
          <w:color w:val="000000"/>
          <w:shd w:val="clear" w:color="auto" w:fill="FFFFFF"/>
        </w:rPr>
        <w:t xml:space="preserve"> to Constantine and his </w:t>
      </w:r>
      <w:r w:rsidR="00BB5949" w:rsidRPr="000D2896">
        <w:rPr>
          <w:rFonts w:cs="Arial"/>
          <w:color w:val="000000"/>
          <w:shd w:val="clear" w:color="auto" w:fill="FFFFFF"/>
        </w:rPr>
        <w:t>road</w:t>
      </w:r>
      <w:r w:rsidRPr="000D2896">
        <w:rPr>
          <w:rFonts w:cs="Arial"/>
          <w:color w:val="000000"/>
          <w:shd w:val="clear" w:color="auto" w:fill="FFFFFF"/>
        </w:rPr>
        <w:t xml:space="preserve"> away from</w:t>
      </w:r>
      <w:r w:rsidR="00BB5949" w:rsidRPr="000D2896">
        <w:rPr>
          <w:rFonts w:cs="Arial"/>
          <w:color w:val="000000"/>
          <w:shd w:val="clear" w:color="auto" w:fill="FFFFFF"/>
        </w:rPr>
        <w:t xml:space="preserve"> the Roman gods towards the Christian God is found within the </w:t>
      </w:r>
      <w:r w:rsidR="00BB5949" w:rsidRPr="000D2896">
        <w:rPr>
          <w:rFonts w:cs="Arial"/>
          <w:i/>
          <w:color w:val="000000"/>
          <w:shd w:val="clear" w:color="auto" w:fill="FFFFFF"/>
        </w:rPr>
        <w:t>Life of Constantine</w:t>
      </w:r>
      <w:r w:rsidR="00BB5949" w:rsidRPr="000D2896">
        <w:rPr>
          <w:rStyle w:val="FootnoteReference"/>
          <w:rFonts w:cs="Arial"/>
          <w:i/>
          <w:color w:val="000000"/>
          <w:shd w:val="clear" w:color="auto" w:fill="FFFFFF"/>
        </w:rPr>
        <w:footnoteReference w:id="31"/>
      </w:r>
      <w:r w:rsidR="00BB5949" w:rsidRPr="000D2896">
        <w:rPr>
          <w:rFonts w:cs="Arial"/>
          <w:color w:val="000000"/>
          <w:shd w:val="clear" w:color="auto" w:fill="FFFFFF"/>
        </w:rPr>
        <w:t xml:space="preserve">.  The </w:t>
      </w:r>
      <w:r w:rsidR="00BB5949" w:rsidRPr="000D2896">
        <w:rPr>
          <w:rFonts w:cs="Arial"/>
          <w:i/>
          <w:color w:val="000000"/>
          <w:shd w:val="clear" w:color="auto" w:fill="FFFFFF"/>
        </w:rPr>
        <w:t>Life of Constantine</w:t>
      </w:r>
      <w:r w:rsidR="00BB5949" w:rsidRPr="000D2896">
        <w:rPr>
          <w:rFonts w:cs="Arial"/>
          <w:color w:val="000000"/>
          <w:shd w:val="clear" w:color="auto" w:fill="FFFFFF"/>
        </w:rPr>
        <w:t xml:space="preserve"> is a panegyric</w:t>
      </w:r>
      <w:r w:rsidR="00133D4C" w:rsidRPr="000D2896">
        <w:rPr>
          <w:rFonts w:cs="Arial"/>
          <w:color w:val="000000"/>
          <w:shd w:val="clear" w:color="auto" w:fill="FFFFFF"/>
        </w:rPr>
        <w:t xml:space="preserve"> written to honour the emperor Constantine. The text itself was writing by the bishop of Caesarea, Eusebius Pamphili</w:t>
      </w:r>
      <w:r w:rsidR="000B78E4" w:rsidRPr="000D2896">
        <w:rPr>
          <w:rFonts w:cs="Arial"/>
          <w:color w:val="000000"/>
          <w:shd w:val="clear" w:color="auto" w:fill="FFFFFF"/>
        </w:rPr>
        <w:t>, Eusebius was contemporary to the life of the emperor Constantine,</w:t>
      </w:r>
      <w:r w:rsidR="008F5569">
        <w:rPr>
          <w:rFonts w:cs="Arial"/>
          <w:color w:val="000000"/>
          <w:shd w:val="clear" w:color="auto" w:fill="FFFFFF"/>
        </w:rPr>
        <w:t xml:space="preserve"> writing shortly after the </w:t>
      </w:r>
      <w:r w:rsidR="00DB2193">
        <w:rPr>
          <w:rFonts w:cs="Arial"/>
          <w:color w:val="000000"/>
          <w:shd w:val="clear" w:color="auto" w:fill="FFFFFF"/>
        </w:rPr>
        <w:t>emperor’s</w:t>
      </w:r>
      <w:r w:rsidR="008F5569">
        <w:rPr>
          <w:rFonts w:cs="Arial"/>
          <w:color w:val="000000"/>
          <w:shd w:val="clear" w:color="auto" w:fill="FFFFFF"/>
        </w:rPr>
        <w:t xml:space="preserve"> death,</w:t>
      </w:r>
      <w:r w:rsidR="000B78E4" w:rsidRPr="000D2896">
        <w:rPr>
          <w:rFonts w:cs="Arial"/>
          <w:color w:val="000000"/>
          <w:shd w:val="clear" w:color="auto" w:fill="FFFFFF"/>
        </w:rPr>
        <w:t xml:space="preserve"> meaning there was</w:t>
      </w:r>
      <w:r w:rsidR="00950010" w:rsidRPr="000D2896">
        <w:rPr>
          <w:rFonts w:cs="Arial"/>
          <w:color w:val="000000"/>
          <w:shd w:val="clear" w:color="auto" w:fill="FFFFFF"/>
        </w:rPr>
        <w:t xml:space="preserve"> little to</w:t>
      </w:r>
      <w:r w:rsidR="000B78E4" w:rsidRPr="000D2896">
        <w:rPr>
          <w:rFonts w:cs="Arial"/>
          <w:color w:val="000000"/>
          <w:shd w:val="clear" w:color="auto" w:fill="FFFFFF"/>
        </w:rPr>
        <w:t xml:space="preserve"> no lapse in time between his life and Eusebius’s work</w:t>
      </w:r>
      <w:r w:rsidR="007D03F1" w:rsidRPr="000D2896">
        <w:rPr>
          <w:rStyle w:val="FootnoteReference"/>
          <w:rFonts w:cs="Arial"/>
          <w:color w:val="000000"/>
          <w:shd w:val="clear" w:color="auto" w:fill="FFFFFF"/>
        </w:rPr>
        <w:footnoteReference w:id="32"/>
      </w:r>
      <w:r w:rsidR="000B78E4" w:rsidRPr="000D2896">
        <w:rPr>
          <w:rFonts w:cs="Arial"/>
          <w:color w:val="000000"/>
          <w:shd w:val="clear" w:color="auto" w:fill="FFFFFF"/>
        </w:rPr>
        <w:t>.</w:t>
      </w:r>
      <w:r w:rsidR="00DB7095" w:rsidRPr="000D2896">
        <w:rPr>
          <w:rFonts w:cs="Arial"/>
          <w:color w:val="000000"/>
          <w:shd w:val="clear" w:color="auto" w:fill="FFFFFF"/>
        </w:rPr>
        <w:t xml:space="preserve"> Barnes</w:t>
      </w:r>
      <w:r w:rsidR="002953F1">
        <w:rPr>
          <w:rFonts w:cs="Arial"/>
          <w:color w:val="000000"/>
          <w:shd w:val="clear" w:color="auto" w:fill="FFFFFF"/>
        </w:rPr>
        <w:t xml:space="preserve"> has on the other hand noted that Eusebius has omitted </w:t>
      </w:r>
      <w:proofErr w:type="gramStart"/>
      <w:r w:rsidR="002953F1">
        <w:rPr>
          <w:rFonts w:cs="Arial"/>
          <w:color w:val="000000"/>
          <w:shd w:val="clear" w:color="auto" w:fill="FFFFFF"/>
        </w:rPr>
        <w:t>all of</w:t>
      </w:r>
      <w:proofErr w:type="gramEnd"/>
      <w:r w:rsidR="002953F1">
        <w:rPr>
          <w:rFonts w:cs="Arial"/>
          <w:color w:val="000000"/>
          <w:shd w:val="clear" w:color="auto" w:fill="FFFFFF"/>
        </w:rPr>
        <w:t xml:space="preserve"> the negative actions Constantine had undertaken in an attempt to portray in in a better light and as a more Christian emperor</w:t>
      </w:r>
      <w:r w:rsidR="00DB7095" w:rsidRPr="000D2896">
        <w:rPr>
          <w:rStyle w:val="FootnoteReference"/>
          <w:rFonts w:cs="Arial"/>
          <w:color w:val="000000"/>
          <w:shd w:val="clear" w:color="auto" w:fill="FFFFFF"/>
        </w:rPr>
        <w:footnoteReference w:id="33"/>
      </w:r>
      <w:r w:rsidR="00DB2193">
        <w:t xml:space="preserve"> </w:t>
      </w:r>
      <w:r w:rsidR="007D03F1">
        <w:t xml:space="preserve">To fully understand </w:t>
      </w:r>
      <w:r w:rsidR="0036050E">
        <w:t>the manifestation of the divine that Constantine supposedly encountered, an analysis of the</w:t>
      </w:r>
      <w:r w:rsidR="007D03F1">
        <w:t xml:space="preserve"> chapters 2</w:t>
      </w:r>
      <w:r w:rsidR="008F5569">
        <w:t>1</w:t>
      </w:r>
      <w:r w:rsidR="007D03F1">
        <w:t>-</w:t>
      </w:r>
      <w:r w:rsidR="008F5569">
        <w:t>28</w:t>
      </w:r>
      <w:r w:rsidR="0036050E">
        <w:t xml:space="preserve"> would be needed.</w:t>
      </w:r>
      <w:r w:rsidR="008F5569">
        <w:t xml:space="preserve"> These </w:t>
      </w:r>
    </w:p>
    <w:p w:rsidR="001E7294" w:rsidRDefault="00EC0762" w:rsidP="00B914CB">
      <w:r>
        <w:t xml:space="preserve">Eusebius wastes no time in the connection of Constantine </w:t>
      </w:r>
      <w:r w:rsidR="0008037B">
        <w:t xml:space="preserve">the Great </w:t>
      </w:r>
      <w:r>
        <w:t>and the Christian God, during the first chapter of the book. In the twelfth chapter of the text, Eusebius begins to draw parallels and then goes on to liken Constantine to the Old Testament prophet Moses</w:t>
      </w:r>
      <w:r>
        <w:rPr>
          <w:rStyle w:val="FootnoteReference"/>
        </w:rPr>
        <w:footnoteReference w:id="34"/>
      </w:r>
      <w:r w:rsidR="001E7294">
        <w:t xml:space="preserve">. Cameron believes that Eusebius has drawn the link between both the prophet Moses and Constantine </w:t>
      </w:r>
      <w:proofErr w:type="gramStart"/>
      <w:r w:rsidR="00DB7095">
        <w:t>in an attempt to</w:t>
      </w:r>
      <w:proofErr w:type="gramEnd"/>
      <w:r w:rsidR="00DB7095">
        <w:t xml:space="preserve"> even further </w:t>
      </w:r>
      <w:r w:rsidR="0042407B">
        <w:t>Constantine’s</w:t>
      </w:r>
      <w:r w:rsidR="00DB7095">
        <w:t xml:space="preserve"> divinity and </w:t>
      </w:r>
      <w:r w:rsidR="00101219">
        <w:t xml:space="preserve">his </w:t>
      </w:r>
      <w:r w:rsidR="00DB7095">
        <w:t>claim</w:t>
      </w:r>
      <w:r w:rsidR="00101219">
        <w:t>, as Potter puts it, “As emperor of the Christian people.</w:t>
      </w:r>
      <w:r w:rsidR="00101219">
        <w:rPr>
          <w:rStyle w:val="FootnoteReference"/>
        </w:rPr>
        <w:footnoteReference w:id="35"/>
      </w:r>
      <w:r w:rsidR="00101219">
        <w:t>”</w:t>
      </w:r>
      <w:r w:rsidR="00DB7095">
        <w:t xml:space="preserve"> </w:t>
      </w:r>
      <w:r w:rsidR="004F6F91">
        <w:t>It is highly likely this was Eusebius’ intention, being a bishop himself, he would have wanted the Christian faith to spread under a strong Christian leader</w:t>
      </w:r>
      <w:r w:rsidR="00441EA4">
        <w:t>, this may have led to Eusebius altering the truth to fit his own Christian views or agenda.</w:t>
      </w:r>
    </w:p>
    <w:p w:rsidR="0057724F" w:rsidRDefault="0057724F" w:rsidP="0057724F">
      <w:pPr>
        <w:jc w:val="center"/>
      </w:pPr>
      <w:r>
        <w:t>“he saw with his own eyes the trophy of a cross of light in the heavens, above the sun, and bearing the inscription, CONQUER BY THIS. At this sight he himself was struck with amazement, and his whole army also, which followed him on this expedition, and witnessed the miracle</w:t>
      </w:r>
      <w:r>
        <w:rPr>
          <w:rStyle w:val="FootnoteReference"/>
        </w:rPr>
        <w:footnoteReference w:id="36"/>
      </w:r>
      <w:r>
        <w:t>”</w:t>
      </w:r>
    </w:p>
    <w:p w:rsidR="00E57DFA" w:rsidRDefault="00E57DFA" w:rsidP="00A46940">
      <w:pPr>
        <w:pStyle w:val="NoSpacing"/>
        <w:rPr>
          <w:rFonts w:ascii="Tahoma" w:hAnsi="Tahoma" w:cs="Tahoma"/>
          <w:color w:val="000000"/>
          <w:sz w:val="18"/>
          <w:szCs w:val="18"/>
        </w:rPr>
      </w:pPr>
      <w:r>
        <w:t>This is the description that we are given of the Constantine’s vision by Eusebius</w:t>
      </w:r>
      <w:r w:rsidR="00FB1803">
        <w:t xml:space="preserve">. Constantine had used the Roman god Sol Invictus as his patron god, now he was </w:t>
      </w:r>
      <w:r w:rsidR="000D2896">
        <w:t>supplicant</w:t>
      </w:r>
      <w:r w:rsidR="00FB1803">
        <w:t xml:space="preserve"> to the Christian God</w:t>
      </w:r>
      <w:r w:rsidR="000D2896">
        <w:t xml:space="preserve"> he could not</w:t>
      </w:r>
      <w:r w:rsidR="00FB1803">
        <w:rPr>
          <w:rStyle w:val="FootnoteReference"/>
        </w:rPr>
        <w:footnoteReference w:id="37"/>
      </w:r>
      <w:r w:rsidR="000D2896">
        <w:t xml:space="preserve">. </w:t>
      </w:r>
      <w:r w:rsidR="000D2896" w:rsidRPr="00A46940">
        <w:t>Eusebius talks of “the heavens, above the sun</w:t>
      </w:r>
      <w:r w:rsidR="000D2896" w:rsidRPr="00DB2193">
        <w:rPr>
          <w:vertAlign w:val="superscript"/>
        </w:rPr>
        <w:footnoteReference w:id="38"/>
      </w:r>
      <w:r w:rsidR="000D2896" w:rsidRPr="00A46940">
        <w:t>”, this is likely a metaphor used by Eusebius to represent Christ being above Sol Invictus</w:t>
      </w:r>
      <w:r w:rsidR="00DB2193">
        <w:t>, the unconquered sun</w:t>
      </w:r>
      <w:r w:rsidR="000D2896" w:rsidRPr="00A46940">
        <w:t>. According to Eusebius, Constantine did not fully know what to make of the cross “He said, moreover, that he doubted within himself what the import of this apparition could be</w:t>
      </w:r>
      <w:r w:rsidR="000D2896" w:rsidRPr="00DB2193">
        <w:rPr>
          <w:vertAlign w:val="superscript"/>
        </w:rPr>
        <w:footnoteReference w:id="39"/>
      </w:r>
      <w:r w:rsidR="000D2896" w:rsidRPr="00DB2193">
        <w:rPr>
          <w:vertAlign w:val="superscript"/>
        </w:rPr>
        <w:t>.</w:t>
      </w:r>
      <w:r w:rsidR="000D2896" w:rsidRPr="00A46940">
        <w:t xml:space="preserve">” This is very possible, that night, </w:t>
      </w:r>
      <w:r w:rsidR="00A46940" w:rsidRPr="00A46940">
        <w:t>Jesus Christ is said to have manifested himself before Constantine in his dream</w:t>
      </w:r>
      <w:r w:rsidR="000D2896">
        <w:rPr>
          <w:rFonts w:ascii="Tahoma" w:hAnsi="Tahoma" w:cs="Tahoma"/>
          <w:color w:val="000000"/>
          <w:sz w:val="18"/>
          <w:szCs w:val="18"/>
        </w:rPr>
        <w:t xml:space="preserve"> </w:t>
      </w:r>
    </w:p>
    <w:p w:rsidR="00A46940" w:rsidRDefault="00A46940" w:rsidP="00A46940">
      <w:pPr>
        <w:pStyle w:val="NoSpacing"/>
      </w:pPr>
    </w:p>
    <w:p w:rsidR="000D2896" w:rsidRDefault="000D2896" w:rsidP="00DB2193">
      <w:pPr>
        <w:pStyle w:val="NoSpacing"/>
        <w:jc w:val="center"/>
      </w:pPr>
      <w:r>
        <w:t xml:space="preserve">“in </w:t>
      </w:r>
      <w:r w:rsidRPr="00DB2193">
        <w:t>his sleep the Christ of God appeared to him with the same sign which he had seen in the heavens, and commanded him to make a likeness of that sign which he had seen in the heavens</w:t>
      </w:r>
      <w:r w:rsidR="00C14E88" w:rsidRPr="00DB2193">
        <w:t xml:space="preserve"> and to use it as a safeguard in all engagements with his enemies</w:t>
      </w:r>
      <w:r>
        <w:rPr>
          <w:rStyle w:val="FootnoteReference"/>
        </w:rPr>
        <w:footnoteReference w:id="40"/>
      </w:r>
      <w:r>
        <w:t>”</w:t>
      </w:r>
    </w:p>
    <w:p w:rsidR="00DB2193" w:rsidRDefault="00DB2193" w:rsidP="00DB2193">
      <w:pPr>
        <w:pStyle w:val="NoSpacing"/>
        <w:jc w:val="center"/>
      </w:pPr>
    </w:p>
    <w:p w:rsidR="003921C8" w:rsidRDefault="00A46940" w:rsidP="00A46940">
      <w:r>
        <w:t xml:space="preserve">Whether this manifestation of the divine truly appeared before Constantine is something that we will never know, we can only work from what Eusebius tells us. </w:t>
      </w:r>
      <w:r w:rsidR="009E1EA4">
        <w:t xml:space="preserve">However, this could be another </w:t>
      </w:r>
      <w:r w:rsidR="00E61076">
        <w:t>attempt</w:t>
      </w:r>
      <w:r w:rsidR="009E1EA4">
        <w:t xml:space="preserve"> by Eusebius to solidify </w:t>
      </w:r>
      <w:r w:rsidR="00E61076">
        <w:t>Constantine’s</w:t>
      </w:r>
      <w:r w:rsidR="009E1EA4">
        <w:t xml:space="preserve"> divinity and role as the </w:t>
      </w:r>
      <w:r w:rsidR="00E61076">
        <w:t>emperor</w:t>
      </w:r>
      <w:r w:rsidR="009E1EA4">
        <w:t xml:space="preserve"> of the Christian </w:t>
      </w:r>
      <w:r w:rsidR="009E1EA4">
        <w:lastRenderedPageBreak/>
        <w:t>people</w:t>
      </w:r>
      <w:r w:rsidR="009E1EA4">
        <w:rPr>
          <w:rStyle w:val="FootnoteReference"/>
        </w:rPr>
        <w:footnoteReference w:id="41"/>
      </w:r>
      <w:r w:rsidR="009E1EA4">
        <w:t>.</w:t>
      </w:r>
      <w:r w:rsidR="00C14E88">
        <w:t xml:space="preserve"> Whether it </w:t>
      </w:r>
      <w:proofErr w:type="gramStart"/>
      <w:r w:rsidR="00C14E88">
        <w:t>actually happened</w:t>
      </w:r>
      <w:proofErr w:type="gramEnd"/>
      <w:r w:rsidR="00C14E88">
        <w:t xml:space="preserve"> or not to Constantine, this manifestation of Jesus Christ solidified the expansion and justification to Constantine for the expansion and codification of Nicene Christianity.</w:t>
      </w:r>
    </w:p>
    <w:p w:rsidR="00E57DFA" w:rsidRPr="003D1123" w:rsidRDefault="009A72AB" w:rsidP="000D2896">
      <w:pPr>
        <w:jc w:val="center"/>
      </w:pPr>
      <w:r w:rsidRPr="003D1123">
        <w:t>“</w:t>
      </w:r>
      <w:r w:rsidR="00C14E88" w:rsidRPr="003D1123">
        <w:rPr>
          <w:rFonts w:cs="Tahoma"/>
          <w:color w:val="000000"/>
        </w:rPr>
        <w:t>AND not only so, but he also caused the sign of the salutary trophy to be impressed on the very shields of his soldiers; and commanded that his embattled forces should be preceded in their march, not by golden images, as heretofore, but only by the standard of the cross.</w:t>
      </w:r>
      <w:r w:rsidRPr="003D1123">
        <w:rPr>
          <w:rStyle w:val="FootnoteReference"/>
        </w:rPr>
        <w:footnoteReference w:id="42"/>
      </w:r>
      <w:r w:rsidRPr="003D1123">
        <w:t>”</w:t>
      </w:r>
    </w:p>
    <w:p w:rsidR="002953F1" w:rsidRDefault="002953F1" w:rsidP="00DB2193">
      <w:r>
        <w:t>Following Constantine’s visions of both the cross in the sky and the manifestation of Jesus Christ, he followed the instructions “CONQUER BY THIS</w:t>
      </w:r>
      <w:r>
        <w:rPr>
          <w:rStyle w:val="FootnoteReference"/>
        </w:rPr>
        <w:footnoteReference w:id="43"/>
      </w:r>
      <w:r>
        <w:t xml:space="preserve">” in which the Greek letters of Chi and Rho were </w:t>
      </w:r>
      <w:r w:rsidR="00DB2193">
        <w:t xml:space="preserve">embellished upon the soldiers shield so signify the name of Jesus Christ. This action helped to spared Christianity through the legions Constantine commanded, and through them, the people of Rome. Constantine’s vision is the most notable of </w:t>
      </w:r>
      <w:proofErr w:type="gramStart"/>
      <w:r w:rsidR="00DB2193">
        <w:t>all of</w:t>
      </w:r>
      <w:proofErr w:type="gramEnd"/>
      <w:r w:rsidR="00DB2193">
        <w:t xml:space="preserve"> the manifestations of the divine in the Roman world. The vision went on to be one of the most pivotal and influential turning points in history, through the manifestation of Christ, Christianity went on to be the dominate religion of Europe for the next 1,700 years.</w:t>
      </w:r>
      <w:r w:rsidR="003921C8">
        <w:t xml:space="preserve"> In a similar fashion, in the Arabian Peninsula, the Islamic prophet Muhammed is said to have witnessed the divine in the form of the angel Gabriel, who then went on to reveal the Quran unto him</w:t>
      </w:r>
      <w:r w:rsidR="003921C8">
        <w:rPr>
          <w:rStyle w:val="FootnoteReference"/>
        </w:rPr>
        <w:footnoteReference w:id="44"/>
      </w:r>
      <w:r w:rsidR="003921C8">
        <w:t>.</w:t>
      </w:r>
      <w:r w:rsidR="00DB2193">
        <w:t xml:space="preserve"> </w:t>
      </w:r>
      <w:proofErr w:type="gramStart"/>
      <w:r w:rsidR="003921C8">
        <w:t>Similar to</w:t>
      </w:r>
      <w:proofErr w:type="gramEnd"/>
      <w:r w:rsidR="003921C8">
        <w:t xml:space="preserve"> Constantine, the divine manifestation led to the founding of a religion that has been around for over 1,400 years. </w:t>
      </w:r>
      <w:r w:rsidR="00DB2193">
        <w:t xml:space="preserve">The move from polytheism in Rome towards monotheism saw a huge decline in </w:t>
      </w:r>
      <w:r w:rsidR="003921C8">
        <w:t xml:space="preserve">the </w:t>
      </w:r>
      <w:r w:rsidR="00DB2193">
        <w:t>religious freedom in the empire in late antiquity.</w:t>
      </w:r>
    </w:p>
    <w:p w:rsidR="00FD2A74" w:rsidRPr="00233BD1" w:rsidRDefault="00FD2A74" w:rsidP="00B914CB">
      <w:r>
        <w:t>As it has been outlined from the introduction</w:t>
      </w:r>
      <w:r w:rsidR="00441EA4">
        <w:t>,</w:t>
      </w:r>
      <w:r>
        <w:t xml:space="preserve"> the </w:t>
      </w:r>
      <w:r w:rsidR="00441EA4">
        <w:t xml:space="preserve">peoples of the </w:t>
      </w:r>
      <w:r>
        <w:t>Roman</w:t>
      </w:r>
      <w:r w:rsidR="00441EA4">
        <w:t xml:space="preserve"> world</w:t>
      </w:r>
      <w:r>
        <w:t xml:space="preserve"> practiced a syncretic</w:t>
      </w:r>
      <w:r w:rsidR="00AB7BA9">
        <w:t xml:space="preserve"> polytheistic</w:t>
      </w:r>
      <w:r>
        <w:t xml:space="preserve"> religion, allowing for the mixing of</w:t>
      </w:r>
      <w:r w:rsidR="00AB7BA9">
        <w:t xml:space="preserve"> deities,</w:t>
      </w:r>
      <w:r>
        <w:t xml:space="preserve"> religious values</w:t>
      </w:r>
      <w:r w:rsidR="00AB7BA9">
        <w:t>,</w:t>
      </w:r>
      <w:r>
        <w:t xml:space="preserve"> and beliefs with great ease. </w:t>
      </w:r>
      <w:r w:rsidR="00562C85">
        <w:t xml:space="preserve">These syncretic practices went on </w:t>
      </w:r>
      <w:r w:rsidR="00AB7BA9">
        <w:t xml:space="preserve">up </w:t>
      </w:r>
      <w:r w:rsidR="00562C85">
        <w:t>until the fourth century AD</w:t>
      </w:r>
      <w:r w:rsidR="00AB7BA9">
        <w:t xml:space="preserve"> in the Roman world</w:t>
      </w:r>
      <w:r w:rsidR="00562C85">
        <w:t>.</w:t>
      </w:r>
      <w:r w:rsidR="00605792">
        <w:t xml:space="preserve"> Prior to the Imperial era of Roman history, divine manifestations did not have any effect on the worship of gods and the religious freedom of Rome, this </w:t>
      </w:r>
      <w:r w:rsidR="00AB7BA9">
        <w:t xml:space="preserve">however </w:t>
      </w:r>
      <w:r w:rsidR="00605792">
        <w:t>changed</w:t>
      </w:r>
      <w:r w:rsidR="00AB7BA9">
        <w:t xml:space="preserve"> following the dissolution of the republic</w:t>
      </w:r>
      <w:r w:rsidR="00605792">
        <w:t>.</w:t>
      </w:r>
      <w:r w:rsidR="00562C85">
        <w:t xml:space="preserve"> </w:t>
      </w:r>
      <w:r w:rsidR="00AB62FC">
        <w:t>The most noted account of the effect of the manifestation of the divine in the pre-Constantin</w:t>
      </w:r>
      <w:r w:rsidR="00605792">
        <w:t>ian</w:t>
      </w:r>
      <w:r w:rsidR="00AB62FC">
        <w:t xml:space="preserve"> Roman world was that of the Imperial Cult. The emperors themselves </w:t>
      </w:r>
      <w:r w:rsidR="00605792">
        <w:t>were said to have held</w:t>
      </w:r>
      <w:r w:rsidR="00AB62FC">
        <w:t xml:space="preserve"> a form of divinity that was part of the cult practices for Romans for over three hundred years</w:t>
      </w:r>
      <w:r w:rsidR="00605792">
        <w:rPr>
          <w:rStyle w:val="FootnoteReference"/>
        </w:rPr>
        <w:footnoteReference w:id="45"/>
      </w:r>
      <w:r w:rsidR="00AB62FC">
        <w:t xml:space="preserve">. </w:t>
      </w:r>
      <w:r w:rsidR="00C8375C">
        <w:t>Following Constantine’s reception of the manifestation of the divine</w:t>
      </w:r>
      <w:r w:rsidR="00605792">
        <w:t>,</w:t>
      </w:r>
      <w:r w:rsidR="00C8375C">
        <w:t xml:space="preserve"> feature</w:t>
      </w:r>
      <w:r w:rsidR="00605792">
        <w:t>d</w:t>
      </w:r>
      <w:r w:rsidR="00C8375C">
        <w:t xml:space="preserve"> in Eusebius’ </w:t>
      </w:r>
      <w:r w:rsidR="00C8375C">
        <w:rPr>
          <w:i/>
        </w:rPr>
        <w:t>Life of Constantine</w:t>
      </w:r>
      <w:r w:rsidR="00C8375C">
        <w:t>, religious freedom changed forever in</w:t>
      </w:r>
      <w:r w:rsidR="00605792">
        <w:t xml:space="preserve"> the</w:t>
      </w:r>
      <w:r w:rsidR="00C8375C">
        <w:t xml:space="preserve"> Rom</w:t>
      </w:r>
      <w:r w:rsidR="00605792">
        <w:t>an world</w:t>
      </w:r>
      <w:r w:rsidR="00C8375C">
        <w:t>.</w:t>
      </w:r>
      <w:r w:rsidR="00CC3EFF">
        <w:t xml:space="preserve"> The </w:t>
      </w:r>
      <w:r w:rsidR="00AB7BA9">
        <w:t xml:space="preserve">Nicene </w:t>
      </w:r>
      <w:r w:rsidR="00CC3EFF">
        <w:t xml:space="preserve">Christian hegemony </w:t>
      </w:r>
      <w:r w:rsidR="00AB7BA9">
        <w:t xml:space="preserve">went on to </w:t>
      </w:r>
      <w:r w:rsidR="00CC3EFF">
        <w:t>eventually replace the Roman polytheism</w:t>
      </w:r>
      <w:r w:rsidR="00605792">
        <w:t xml:space="preserve"> and the Imperial Cult</w:t>
      </w:r>
      <w:r w:rsidR="00605792">
        <w:rPr>
          <w:rStyle w:val="FootnoteReference"/>
        </w:rPr>
        <w:footnoteReference w:id="46"/>
      </w:r>
      <w:r w:rsidR="00CC3EFF">
        <w:t xml:space="preserve">, </w:t>
      </w:r>
      <w:r w:rsidR="00AB7BA9">
        <w:t>it also ended the</w:t>
      </w:r>
      <w:r w:rsidR="00CC3EFF">
        <w:t xml:space="preserve"> syncretic practices</w:t>
      </w:r>
      <w:r w:rsidR="00AB7BA9">
        <w:t xml:space="preserve"> that went alongside</w:t>
      </w:r>
      <w:r w:rsidR="00CC3EFF">
        <w:t xml:space="preserve"> with it. This </w:t>
      </w:r>
      <w:r w:rsidR="00605792">
        <w:t xml:space="preserve">was </w:t>
      </w:r>
      <w:r w:rsidR="00CC3EFF">
        <w:t xml:space="preserve">made </w:t>
      </w:r>
      <w:r w:rsidR="00605792">
        <w:t xml:space="preserve">to be </w:t>
      </w:r>
      <w:r w:rsidR="00CC3EFF">
        <w:t xml:space="preserve">possible following the divine manifesting itself </w:t>
      </w:r>
      <w:r w:rsidR="00AB7BA9">
        <w:t>before</w:t>
      </w:r>
      <w:r w:rsidR="00CC3EFF">
        <w:t xml:space="preserve"> the emperor Constantine</w:t>
      </w:r>
      <w:r w:rsidR="00233BD1">
        <w:t xml:space="preserve"> </w:t>
      </w:r>
      <w:r w:rsidR="00AB7BA9">
        <w:t>prior to the battle of</w:t>
      </w:r>
      <w:r w:rsidR="00233BD1">
        <w:t xml:space="preserve"> the Milvian bridge in 312 </w:t>
      </w:r>
      <w:proofErr w:type="gramStart"/>
      <w:r w:rsidR="00233BD1">
        <w:t>AD</w:t>
      </w:r>
      <w:proofErr w:type="gramEnd"/>
      <w:r w:rsidR="00233BD1">
        <w:rPr>
          <w:rStyle w:val="FootnoteReference"/>
        </w:rPr>
        <w:footnoteReference w:id="47"/>
      </w:r>
      <w:r w:rsidR="00233BD1">
        <w:t>. Following an analysis of</w:t>
      </w:r>
      <w:r w:rsidR="00AB7BA9">
        <w:t xml:space="preserve"> Eusebius’</w:t>
      </w:r>
      <w:r w:rsidR="00233BD1">
        <w:t xml:space="preserve"> the </w:t>
      </w:r>
      <w:r w:rsidR="00233BD1">
        <w:rPr>
          <w:i/>
        </w:rPr>
        <w:t>Life of Constantine</w:t>
      </w:r>
      <w:r w:rsidR="00233BD1">
        <w:t xml:space="preserve">, we can see the </w:t>
      </w:r>
      <w:r w:rsidR="00B16AFA">
        <w:t xml:space="preserve">almost immediate decline of religious freedom within the Roman Empire. Due to the </w:t>
      </w:r>
      <w:r w:rsidR="00441EA4">
        <w:t>Nicene</w:t>
      </w:r>
      <w:r w:rsidR="00B16AFA">
        <w:t xml:space="preserve"> canon set down at the council of Nicea in 325 </w:t>
      </w:r>
      <w:proofErr w:type="gramStart"/>
      <w:r w:rsidR="00B16AFA">
        <w:t>AD</w:t>
      </w:r>
      <w:proofErr w:type="gramEnd"/>
      <w:r w:rsidR="0011715D">
        <w:rPr>
          <w:rStyle w:val="FootnoteReference"/>
        </w:rPr>
        <w:footnoteReference w:id="48"/>
      </w:r>
      <w:r w:rsidR="00441EA4">
        <w:t>, i</w:t>
      </w:r>
      <w:r w:rsidR="002C6332">
        <w:t xml:space="preserve">t is evident in the period of late antiquity that through Nicene Christianity, the manifestation of the divine, in the form of Jesus Christ had effectively put an end to the religious freedom previously observed </w:t>
      </w:r>
      <w:r w:rsidR="00AB7BA9">
        <w:t>in the polytheistic Roman world.</w:t>
      </w:r>
    </w:p>
    <w:bookmarkEnd w:id="0"/>
    <w:p w:rsidR="001E7294" w:rsidRDefault="001E7294" w:rsidP="002953F1"/>
    <w:p w:rsidR="002953F1" w:rsidRPr="002953F1" w:rsidRDefault="002953F1" w:rsidP="002953F1"/>
    <w:p w:rsidR="00191700" w:rsidRPr="0013457F" w:rsidRDefault="0080607A" w:rsidP="002953F1">
      <w:pPr>
        <w:rPr>
          <w:sz w:val="20"/>
          <w:szCs w:val="20"/>
        </w:rPr>
      </w:pPr>
      <w:r w:rsidRPr="0013457F">
        <w:rPr>
          <w:sz w:val="20"/>
          <w:szCs w:val="20"/>
        </w:rPr>
        <w:t>M. Tullius Cicero. The Orations of Marcus Tullius Cicero, literally translated by C. D. Yonge. London. George Bell &amp; Sons. 1903.</w:t>
      </w:r>
    </w:p>
    <w:p w:rsidR="003D1123" w:rsidRPr="0013457F" w:rsidRDefault="003E26ED" w:rsidP="003D1123">
      <w:pPr>
        <w:rPr>
          <w:sz w:val="20"/>
          <w:szCs w:val="20"/>
        </w:rPr>
      </w:pPr>
      <w:r w:rsidRPr="0013457F">
        <w:rPr>
          <w:sz w:val="20"/>
          <w:szCs w:val="20"/>
        </w:rPr>
        <w:t xml:space="preserve">Suetonius: The Lives of the Twelve Caesars; An English Translation, Augmented with the Biographies of Contemporary Statesmen, Orators, Poets, and Other Associates. Suetonius. Publishing Editor. J. Eugene Reed. Alexander Thomson. Philadelphia. </w:t>
      </w:r>
      <w:proofErr w:type="spellStart"/>
      <w:r w:rsidRPr="0013457F">
        <w:rPr>
          <w:sz w:val="20"/>
          <w:szCs w:val="20"/>
        </w:rPr>
        <w:t>Gebbie</w:t>
      </w:r>
      <w:proofErr w:type="spellEnd"/>
      <w:r w:rsidRPr="0013457F">
        <w:rPr>
          <w:sz w:val="20"/>
          <w:szCs w:val="20"/>
        </w:rPr>
        <w:t xml:space="preserve"> &amp; Co. 1889.</w:t>
      </w:r>
      <w:r w:rsidR="003D1123" w:rsidRPr="0013457F">
        <w:rPr>
          <w:sz w:val="20"/>
          <w:szCs w:val="20"/>
        </w:rPr>
        <w:t xml:space="preserve"> </w:t>
      </w:r>
    </w:p>
    <w:p w:rsidR="003D1123" w:rsidRPr="0013457F" w:rsidRDefault="003D1123" w:rsidP="003D1123">
      <w:pPr>
        <w:rPr>
          <w:sz w:val="20"/>
          <w:szCs w:val="20"/>
        </w:rPr>
      </w:pPr>
      <w:r w:rsidRPr="0013457F">
        <w:rPr>
          <w:sz w:val="20"/>
          <w:szCs w:val="20"/>
        </w:rPr>
        <w:t xml:space="preserve">Complete Works of Tacitus. 1942 Alfred John Church. William Jackson </w:t>
      </w:r>
      <w:proofErr w:type="spellStart"/>
      <w:r w:rsidRPr="0013457F">
        <w:rPr>
          <w:sz w:val="20"/>
          <w:szCs w:val="20"/>
        </w:rPr>
        <w:t>Brodribb</w:t>
      </w:r>
      <w:proofErr w:type="spellEnd"/>
      <w:r w:rsidRPr="0013457F">
        <w:rPr>
          <w:sz w:val="20"/>
          <w:szCs w:val="20"/>
        </w:rPr>
        <w:t xml:space="preserve">. Sara Bryant. edited for Perseus. New York: Random House, Inc. Random House, Inc. </w:t>
      </w:r>
    </w:p>
    <w:p w:rsidR="003D1123" w:rsidRPr="0013457F" w:rsidRDefault="003D1123" w:rsidP="003D1123">
      <w:pPr>
        <w:rPr>
          <w:sz w:val="20"/>
          <w:szCs w:val="20"/>
        </w:rPr>
      </w:pPr>
      <w:r w:rsidRPr="0013457F">
        <w:rPr>
          <w:sz w:val="20"/>
          <w:szCs w:val="20"/>
        </w:rPr>
        <w:t>Tertullian-</w:t>
      </w:r>
      <w:proofErr w:type="spellStart"/>
      <w:r w:rsidRPr="0013457F">
        <w:rPr>
          <w:sz w:val="20"/>
          <w:szCs w:val="20"/>
        </w:rPr>
        <w:t>Minucius</w:t>
      </w:r>
      <w:proofErr w:type="spellEnd"/>
      <w:r w:rsidRPr="0013457F">
        <w:rPr>
          <w:sz w:val="20"/>
          <w:szCs w:val="20"/>
        </w:rPr>
        <w:t xml:space="preserve"> Felix. 1931 Tertullian. T.R. Glover. William Heinemann Ltd.; Harvard University Press. London; Cambridge, Massachusetts. </w:t>
      </w:r>
    </w:p>
    <w:p w:rsidR="003D1123" w:rsidRPr="0013457F" w:rsidRDefault="003D1123" w:rsidP="003D1123">
      <w:pPr>
        <w:rPr>
          <w:sz w:val="20"/>
          <w:szCs w:val="20"/>
        </w:rPr>
      </w:pPr>
      <w:r w:rsidRPr="0013457F">
        <w:rPr>
          <w:sz w:val="20"/>
          <w:szCs w:val="20"/>
        </w:rPr>
        <w:t xml:space="preserve">The Natural History. Pliny the Elder. John Bostock, M.D., F.R.S. H.T. Riley, </w:t>
      </w:r>
      <w:proofErr w:type="spellStart"/>
      <w:r w:rsidRPr="0013457F">
        <w:rPr>
          <w:sz w:val="20"/>
          <w:szCs w:val="20"/>
        </w:rPr>
        <w:t>Esq.</w:t>
      </w:r>
      <w:proofErr w:type="spellEnd"/>
      <w:r w:rsidRPr="0013457F">
        <w:rPr>
          <w:sz w:val="20"/>
          <w:szCs w:val="20"/>
        </w:rPr>
        <w:t>, B.A. London. Taylor and Francis, Red Lion Court, Fleet Street. 1855.</w:t>
      </w:r>
    </w:p>
    <w:p w:rsidR="007A770F" w:rsidRPr="0013457F" w:rsidRDefault="007A770F" w:rsidP="002953F1">
      <w:pPr>
        <w:rPr>
          <w:sz w:val="20"/>
          <w:szCs w:val="20"/>
        </w:rPr>
      </w:pPr>
    </w:p>
    <w:p w:rsidR="003D1123" w:rsidRPr="0013457F" w:rsidRDefault="003D1123" w:rsidP="003D1123">
      <w:pPr>
        <w:rPr>
          <w:sz w:val="20"/>
          <w:szCs w:val="20"/>
        </w:rPr>
      </w:pPr>
      <w:r w:rsidRPr="0013457F">
        <w:rPr>
          <w:sz w:val="20"/>
          <w:szCs w:val="20"/>
        </w:rPr>
        <w:t>Al-</w:t>
      </w:r>
      <w:proofErr w:type="spellStart"/>
      <w:r w:rsidRPr="0013457F">
        <w:rPr>
          <w:sz w:val="20"/>
          <w:szCs w:val="20"/>
        </w:rPr>
        <w:t>A'zami</w:t>
      </w:r>
      <w:proofErr w:type="spellEnd"/>
      <w:r w:rsidRPr="0013457F">
        <w:rPr>
          <w:sz w:val="20"/>
          <w:szCs w:val="20"/>
        </w:rPr>
        <w:t xml:space="preserve">. M .2003. The History of The Qur'anic Text: From Revelation to Compilation: A </w:t>
      </w:r>
    </w:p>
    <w:p w:rsidR="0013457F" w:rsidRPr="0013457F" w:rsidRDefault="0013457F" w:rsidP="0013457F">
      <w:pPr>
        <w:rPr>
          <w:sz w:val="20"/>
          <w:szCs w:val="20"/>
        </w:rPr>
      </w:pPr>
      <w:r w:rsidRPr="0013457F">
        <w:rPr>
          <w:sz w:val="20"/>
          <w:szCs w:val="20"/>
        </w:rPr>
        <w:t>Barnes, T. 1981, Constantine and Eusebius, Cambridge: Harvard University Press</w:t>
      </w:r>
    </w:p>
    <w:p w:rsidR="0013457F" w:rsidRPr="0013457F" w:rsidRDefault="0013457F" w:rsidP="0013457F">
      <w:pPr>
        <w:rPr>
          <w:sz w:val="20"/>
          <w:szCs w:val="20"/>
        </w:rPr>
      </w:pPr>
      <w:proofErr w:type="spellStart"/>
      <w:r w:rsidRPr="0013457F">
        <w:rPr>
          <w:sz w:val="20"/>
          <w:szCs w:val="20"/>
        </w:rPr>
        <w:t>Berrens</w:t>
      </w:r>
      <w:proofErr w:type="spellEnd"/>
      <w:r w:rsidRPr="0013457F">
        <w:rPr>
          <w:sz w:val="20"/>
          <w:szCs w:val="20"/>
        </w:rPr>
        <w:t>, S. 2004. </w:t>
      </w:r>
      <w:proofErr w:type="spellStart"/>
      <w:r w:rsidRPr="0013457F">
        <w:rPr>
          <w:sz w:val="20"/>
          <w:szCs w:val="20"/>
        </w:rPr>
        <w:t>Sonnenkult</w:t>
      </w:r>
      <w:proofErr w:type="spellEnd"/>
      <w:r w:rsidRPr="0013457F">
        <w:rPr>
          <w:sz w:val="20"/>
          <w:szCs w:val="20"/>
        </w:rPr>
        <w:t xml:space="preserve"> und </w:t>
      </w:r>
      <w:proofErr w:type="spellStart"/>
      <w:r w:rsidRPr="0013457F">
        <w:rPr>
          <w:sz w:val="20"/>
          <w:szCs w:val="20"/>
        </w:rPr>
        <w:t>Kaisertum</w:t>
      </w:r>
      <w:proofErr w:type="spellEnd"/>
      <w:r w:rsidRPr="0013457F">
        <w:rPr>
          <w:sz w:val="20"/>
          <w:szCs w:val="20"/>
        </w:rPr>
        <w:t xml:space="preserve"> von den </w:t>
      </w:r>
      <w:proofErr w:type="spellStart"/>
      <w:r w:rsidRPr="0013457F">
        <w:rPr>
          <w:sz w:val="20"/>
          <w:szCs w:val="20"/>
        </w:rPr>
        <w:t>Severern</w:t>
      </w:r>
      <w:proofErr w:type="spellEnd"/>
      <w:r w:rsidRPr="0013457F">
        <w:rPr>
          <w:sz w:val="20"/>
          <w:szCs w:val="20"/>
        </w:rPr>
        <w:t xml:space="preserve"> </w:t>
      </w:r>
      <w:proofErr w:type="spellStart"/>
      <w:r w:rsidRPr="0013457F">
        <w:rPr>
          <w:sz w:val="20"/>
          <w:szCs w:val="20"/>
        </w:rPr>
        <w:t>bis</w:t>
      </w:r>
      <w:proofErr w:type="spellEnd"/>
      <w:r w:rsidRPr="0013457F">
        <w:rPr>
          <w:sz w:val="20"/>
          <w:szCs w:val="20"/>
        </w:rPr>
        <w:t xml:space="preserve"> </w:t>
      </w:r>
      <w:proofErr w:type="spellStart"/>
      <w:r w:rsidRPr="0013457F">
        <w:rPr>
          <w:sz w:val="20"/>
          <w:szCs w:val="20"/>
        </w:rPr>
        <w:t>zu</w:t>
      </w:r>
      <w:proofErr w:type="spellEnd"/>
      <w:r w:rsidRPr="0013457F">
        <w:rPr>
          <w:sz w:val="20"/>
          <w:szCs w:val="20"/>
        </w:rPr>
        <w:t xml:space="preserve"> Constantin I. 193-337 n. Chr. Stuttgart: Steiner.</w:t>
      </w:r>
    </w:p>
    <w:p w:rsidR="003D1123" w:rsidRPr="0013457F" w:rsidRDefault="003D1123" w:rsidP="003D1123">
      <w:pPr>
        <w:rPr>
          <w:sz w:val="20"/>
          <w:szCs w:val="20"/>
        </w:rPr>
      </w:pPr>
      <w:r w:rsidRPr="0013457F">
        <w:rPr>
          <w:sz w:val="20"/>
          <w:szCs w:val="20"/>
        </w:rPr>
        <w:t>Cameron A 1999. Eusebius. Life of Constantine. Hall, S, trans., Oxford: Clarendon Press</w:t>
      </w:r>
    </w:p>
    <w:p w:rsidR="003D1123" w:rsidRPr="0013457F" w:rsidRDefault="003D1123" w:rsidP="003D1123">
      <w:pPr>
        <w:rPr>
          <w:sz w:val="20"/>
          <w:szCs w:val="20"/>
        </w:rPr>
      </w:pPr>
      <w:r w:rsidRPr="0013457F">
        <w:rPr>
          <w:sz w:val="20"/>
          <w:szCs w:val="20"/>
        </w:rPr>
        <w:t>Carroll, W. 1987. The building of Christendom. Front Royal, VA: Christendom College Press.</w:t>
      </w:r>
    </w:p>
    <w:p w:rsidR="003D1123" w:rsidRPr="0013457F" w:rsidRDefault="003D1123" w:rsidP="003D1123">
      <w:pPr>
        <w:rPr>
          <w:sz w:val="20"/>
          <w:szCs w:val="20"/>
        </w:rPr>
      </w:pPr>
      <w:r w:rsidRPr="0013457F">
        <w:rPr>
          <w:sz w:val="20"/>
          <w:szCs w:val="20"/>
        </w:rPr>
        <w:t xml:space="preserve">Comparative Study with the Old and New Testaments, pp. 25, 47–8. UK Islamic Academy </w:t>
      </w:r>
    </w:p>
    <w:p w:rsidR="003D1123" w:rsidRPr="0013457F" w:rsidRDefault="003D1123" w:rsidP="003D1123">
      <w:pPr>
        <w:rPr>
          <w:sz w:val="20"/>
          <w:szCs w:val="20"/>
        </w:rPr>
      </w:pPr>
      <w:r w:rsidRPr="0013457F">
        <w:rPr>
          <w:sz w:val="20"/>
          <w:szCs w:val="20"/>
        </w:rPr>
        <w:t>Christopher. K 2006. The Roman Empire: A Very Short Introduction. New York: Oxford UP.</w:t>
      </w:r>
    </w:p>
    <w:p w:rsidR="003D1123" w:rsidRPr="0013457F" w:rsidRDefault="003D1123" w:rsidP="003D1123">
      <w:pPr>
        <w:rPr>
          <w:sz w:val="20"/>
          <w:szCs w:val="20"/>
        </w:rPr>
      </w:pPr>
      <w:bookmarkStart w:id="7" w:name="_Hlk500507820"/>
      <w:proofErr w:type="spellStart"/>
      <w:r w:rsidRPr="0013457F">
        <w:rPr>
          <w:sz w:val="20"/>
          <w:szCs w:val="20"/>
        </w:rPr>
        <w:t>Ehler</w:t>
      </w:r>
      <w:proofErr w:type="spellEnd"/>
      <w:r w:rsidRPr="0013457F">
        <w:rPr>
          <w:sz w:val="20"/>
          <w:szCs w:val="20"/>
        </w:rPr>
        <w:t xml:space="preserve">, S, </w:t>
      </w:r>
      <w:proofErr w:type="spellStart"/>
      <w:r w:rsidRPr="0013457F">
        <w:rPr>
          <w:sz w:val="20"/>
          <w:szCs w:val="20"/>
        </w:rPr>
        <w:t>Zdeneck</w:t>
      </w:r>
      <w:proofErr w:type="spellEnd"/>
      <w:r w:rsidRPr="0013457F">
        <w:rPr>
          <w:sz w:val="20"/>
          <w:szCs w:val="20"/>
        </w:rPr>
        <w:t>. M, John B. 1967</w:t>
      </w:r>
      <w:bookmarkEnd w:id="7"/>
      <w:r w:rsidRPr="0013457F">
        <w:rPr>
          <w:sz w:val="20"/>
          <w:szCs w:val="20"/>
        </w:rPr>
        <w:t>. Church and State Through the Centuries: A Collection of Historic Documents with Commentaries. p. 6-7.</w:t>
      </w:r>
    </w:p>
    <w:p w:rsidR="0013457F" w:rsidRPr="0013457F" w:rsidRDefault="0013457F" w:rsidP="0013457F">
      <w:pPr>
        <w:rPr>
          <w:sz w:val="20"/>
          <w:szCs w:val="20"/>
        </w:rPr>
      </w:pPr>
      <w:r w:rsidRPr="0013457F">
        <w:rPr>
          <w:sz w:val="20"/>
          <w:szCs w:val="20"/>
        </w:rPr>
        <w:t xml:space="preserve">Geoffrey E.M. 19.63 de </w:t>
      </w:r>
      <w:proofErr w:type="spellStart"/>
      <w:r w:rsidRPr="0013457F">
        <w:rPr>
          <w:sz w:val="20"/>
          <w:szCs w:val="20"/>
        </w:rPr>
        <w:t>Ste.</w:t>
      </w:r>
      <w:proofErr w:type="spellEnd"/>
      <w:r w:rsidRPr="0013457F">
        <w:rPr>
          <w:sz w:val="20"/>
          <w:szCs w:val="20"/>
        </w:rPr>
        <w:t xml:space="preserve"> Croix, "Why Were the Early Christians Persecuted?" Past and Present, 26. pp. 6-38.</w:t>
      </w:r>
    </w:p>
    <w:p w:rsidR="00D242DA" w:rsidRPr="0013457F" w:rsidRDefault="00517D1E" w:rsidP="002953F1">
      <w:pPr>
        <w:rPr>
          <w:sz w:val="20"/>
          <w:szCs w:val="20"/>
        </w:rPr>
      </w:pPr>
      <w:r w:rsidRPr="0013457F">
        <w:rPr>
          <w:sz w:val="20"/>
          <w:szCs w:val="20"/>
        </w:rPr>
        <w:t>Gregory T. The Oxford dictionary of Byzantium. 1991. New York, NY: Oxford Univ. Pr.</w:t>
      </w:r>
    </w:p>
    <w:p w:rsidR="003D1123" w:rsidRPr="0013457F" w:rsidRDefault="003D1123" w:rsidP="003D1123">
      <w:pPr>
        <w:rPr>
          <w:sz w:val="20"/>
          <w:szCs w:val="20"/>
        </w:rPr>
      </w:pPr>
      <w:r w:rsidRPr="0013457F">
        <w:rPr>
          <w:sz w:val="20"/>
          <w:szCs w:val="20"/>
        </w:rPr>
        <w:t>Holy Bible: New Revised Standard Version (NRSV) Anglicised Cross-Reference edition. 2007. London: HarperCollins Publishers.</w:t>
      </w:r>
    </w:p>
    <w:p w:rsidR="003D1123" w:rsidRPr="0013457F" w:rsidRDefault="003D1123" w:rsidP="003D1123">
      <w:pPr>
        <w:rPr>
          <w:sz w:val="20"/>
          <w:szCs w:val="20"/>
        </w:rPr>
      </w:pPr>
      <w:proofErr w:type="spellStart"/>
      <w:r w:rsidRPr="0013457F">
        <w:rPr>
          <w:sz w:val="20"/>
          <w:szCs w:val="20"/>
        </w:rPr>
        <w:t>Hornblower</w:t>
      </w:r>
      <w:proofErr w:type="spellEnd"/>
      <w:r w:rsidRPr="0013457F">
        <w:rPr>
          <w:sz w:val="20"/>
          <w:szCs w:val="20"/>
        </w:rPr>
        <w:t>, S. 2008. The Oxford classical dictionary. Oxford. Oxford Univ. Press.</w:t>
      </w:r>
    </w:p>
    <w:p w:rsidR="00AA0650" w:rsidRPr="0013457F" w:rsidRDefault="00D242DA" w:rsidP="002953F1">
      <w:pPr>
        <w:rPr>
          <w:sz w:val="20"/>
          <w:szCs w:val="20"/>
        </w:rPr>
      </w:pPr>
      <w:proofErr w:type="spellStart"/>
      <w:r w:rsidRPr="0013457F">
        <w:rPr>
          <w:sz w:val="20"/>
          <w:szCs w:val="20"/>
        </w:rPr>
        <w:t>Hornblower</w:t>
      </w:r>
      <w:proofErr w:type="spellEnd"/>
      <w:r w:rsidRPr="0013457F">
        <w:rPr>
          <w:sz w:val="20"/>
          <w:szCs w:val="20"/>
        </w:rPr>
        <w:t xml:space="preserve">, S., </w:t>
      </w:r>
      <w:proofErr w:type="spellStart"/>
      <w:r w:rsidRPr="0013457F">
        <w:rPr>
          <w:sz w:val="20"/>
          <w:szCs w:val="20"/>
        </w:rPr>
        <w:t>Spawforth</w:t>
      </w:r>
      <w:proofErr w:type="spellEnd"/>
      <w:r w:rsidRPr="0013457F">
        <w:rPr>
          <w:sz w:val="20"/>
          <w:szCs w:val="20"/>
        </w:rPr>
        <w:t xml:space="preserve">, A. and </w:t>
      </w:r>
      <w:proofErr w:type="spellStart"/>
      <w:r w:rsidRPr="0013457F">
        <w:rPr>
          <w:sz w:val="20"/>
          <w:szCs w:val="20"/>
        </w:rPr>
        <w:t>Eidinow</w:t>
      </w:r>
      <w:proofErr w:type="spellEnd"/>
      <w:r w:rsidRPr="0013457F">
        <w:rPr>
          <w:sz w:val="20"/>
          <w:szCs w:val="20"/>
        </w:rPr>
        <w:t>, E. 2012. The Oxford classical dictionary. Oxford: Oxford University Press.</w:t>
      </w:r>
    </w:p>
    <w:p w:rsidR="00C33A8F" w:rsidRPr="0013457F" w:rsidRDefault="00C33A8F" w:rsidP="002953F1">
      <w:pPr>
        <w:rPr>
          <w:sz w:val="20"/>
          <w:szCs w:val="20"/>
        </w:rPr>
      </w:pPr>
      <w:r w:rsidRPr="0013457F">
        <w:rPr>
          <w:sz w:val="20"/>
          <w:szCs w:val="20"/>
        </w:rPr>
        <w:t xml:space="preserve">Potter, D. 2014. Rome in the ancient world. Thames and </w:t>
      </w:r>
      <w:proofErr w:type="spellStart"/>
      <w:r w:rsidRPr="0013457F">
        <w:rPr>
          <w:sz w:val="20"/>
          <w:szCs w:val="20"/>
        </w:rPr>
        <w:t>hudson</w:t>
      </w:r>
      <w:proofErr w:type="spellEnd"/>
      <w:r w:rsidRPr="0013457F">
        <w:rPr>
          <w:sz w:val="20"/>
          <w:szCs w:val="20"/>
        </w:rPr>
        <w:t xml:space="preserve"> LTD. London</w:t>
      </w:r>
    </w:p>
    <w:p w:rsidR="00080B0A" w:rsidRPr="0013457F" w:rsidRDefault="00080B0A" w:rsidP="002953F1">
      <w:pPr>
        <w:rPr>
          <w:sz w:val="20"/>
          <w:szCs w:val="20"/>
        </w:rPr>
      </w:pPr>
      <w:r w:rsidRPr="0013457F">
        <w:rPr>
          <w:sz w:val="20"/>
          <w:szCs w:val="20"/>
        </w:rPr>
        <w:t>Rives, J. 2007. Religion in the Roman Empire. Malden, Mass.: Blackwell.</w:t>
      </w:r>
    </w:p>
    <w:p w:rsidR="00080B0A" w:rsidRPr="0013457F" w:rsidRDefault="00080B0A" w:rsidP="002953F1">
      <w:pPr>
        <w:rPr>
          <w:sz w:val="20"/>
          <w:szCs w:val="20"/>
        </w:rPr>
      </w:pPr>
      <w:proofErr w:type="spellStart"/>
      <w:r w:rsidRPr="0013457F">
        <w:rPr>
          <w:sz w:val="20"/>
          <w:szCs w:val="20"/>
        </w:rPr>
        <w:t>Rowse</w:t>
      </w:r>
      <w:proofErr w:type="spellEnd"/>
      <w:r w:rsidRPr="0013457F">
        <w:rPr>
          <w:sz w:val="20"/>
          <w:szCs w:val="20"/>
        </w:rPr>
        <w:t>, A.1985. Heritage of Britain. London: Treasure Press.</w:t>
      </w:r>
    </w:p>
    <w:p w:rsidR="0013457F" w:rsidRPr="0013457F" w:rsidRDefault="00AA0650" w:rsidP="002953F1">
      <w:pPr>
        <w:rPr>
          <w:sz w:val="20"/>
          <w:szCs w:val="20"/>
        </w:rPr>
      </w:pPr>
      <w:bookmarkStart w:id="8" w:name="_Hlk500247702"/>
      <w:r w:rsidRPr="0013457F">
        <w:rPr>
          <w:sz w:val="20"/>
          <w:szCs w:val="20"/>
        </w:rPr>
        <w:t xml:space="preserve">Reynolds J. Volk T. </w:t>
      </w:r>
      <w:r w:rsidR="00080B0A" w:rsidRPr="0013457F">
        <w:rPr>
          <w:sz w:val="20"/>
          <w:szCs w:val="20"/>
        </w:rPr>
        <w:t>1990</w:t>
      </w:r>
      <w:r w:rsidRPr="0013457F">
        <w:rPr>
          <w:sz w:val="20"/>
          <w:szCs w:val="20"/>
        </w:rPr>
        <w:t xml:space="preserve"> </w:t>
      </w:r>
      <w:bookmarkEnd w:id="8"/>
      <w:r w:rsidRPr="0013457F">
        <w:rPr>
          <w:sz w:val="20"/>
          <w:szCs w:val="20"/>
        </w:rPr>
        <w:t>"Review: Gifts, Curses, Cult and Society at Bath", reviewing The Temple of Sulis Minerva at Bath: vol. 2 The Finds from the Sacred Spring, in Britannia</w:t>
      </w:r>
      <w:r w:rsidR="003D1123" w:rsidRPr="0013457F">
        <w:rPr>
          <w:sz w:val="20"/>
          <w:szCs w:val="20"/>
        </w:rPr>
        <w:t xml:space="preserve"> </w:t>
      </w:r>
      <w:proofErr w:type="spellStart"/>
      <w:r w:rsidR="0013457F" w:rsidRPr="0013457F">
        <w:rPr>
          <w:sz w:val="20"/>
          <w:szCs w:val="20"/>
        </w:rPr>
        <w:t>Rüpke</w:t>
      </w:r>
      <w:proofErr w:type="spellEnd"/>
      <w:r w:rsidR="0013457F" w:rsidRPr="0013457F">
        <w:rPr>
          <w:sz w:val="20"/>
          <w:szCs w:val="20"/>
        </w:rPr>
        <w:t>. J.  2007. Religion of the Romans. Polity Press. pp35</w:t>
      </w:r>
    </w:p>
    <w:p w:rsidR="00AA0650" w:rsidRPr="0013457F" w:rsidRDefault="003D1123" w:rsidP="002953F1">
      <w:pPr>
        <w:rPr>
          <w:sz w:val="20"/>
          <w:szCs w:val="20"/>
        </w:rPr>
      </w:pPr>
      <w:r w:rsidRPr="0013457F">
        <w:rPr>
          <w:sz w:val="20"/>
          <w:szCs w:val="20"/>
        </w:rPr>
        <w:t>Schultz. E. "The Romans and Ritual Murder." Journal of the American Academy of Religion 78.2 2010</w:t>
      </w:r>
    </w:p>
    <w:p w:rsidR="003D1123" w:rsidRPr="0013457F" w:rsidRDefault="007352D2" w:rsidP="002953F1">
      <w:pPr>
        <w:rPr>
          <w:sz w:val="20"/>
          <w:szCs w:val="20"/>
        </w:rPr>
      </w:pPr>
      <w:r w:rsidRPr="0013457F">
        <w:rPr>
          <w:sz w:val="20"/>
          <w:szCs w:val="20"/>
        </w:rPr>
        <w:lastRenderedPageBreak/>
        <w:t xml:space="preserve">Warrior, V. 2002. Roman religion. Newburyport, MA: Focus Pub./R. </w:t>
      </w:r>
      <w:proofErr w:type="spellStart"/>
      <w:r w:rsidRPr="0013457F">
        <w:rPr>
          <w:sz w:val="20"/>
          <w:szCs w:val="20"/>
        </w:rPr>
        <w:t>Pullins</w:t>
      </w:r>
      <w:proofErr w:type="spellEnd"/>
      <w:r w:rsidRPr="0013457F">
        <w:rPr>
          <w:sz w:val="20"/>
          <w:szCs w:val="20"/>
        </w:rPr>
        <w:t xml:space="preserve"> Co.</w:t>
      </w:r>
    </w:p>
    <w:p w:rsidR="0013457F" w:rsidRPr="0013457F" w:rsidRDefault="0013457F" w:rsidP="002953F1">
      <w:pPr>
        <w:rPr>
          <w:sz w:val="20"/>
          <w:szCs w:val="20"/>
        </w:rPr>
      </w:pPr>
    </w:p>
    <w:p w:rsidR="003D1123" w:rsidRPr="0013457F" w:rsidRDefault="003D1123" w:rsidP="003D1123">
      <w:pPr>
        <w:rPr>
          <w:sz w:val="20"/>
          <w:szCs w:val="20"/>
        </w:rPr>
      </w:pPr>
      <w:r w:rsidRPr="0013457F">
        <w:rPr>
          <w:sz w:val="20"/>
          <w:szCs w:val="20"/>
        </w:rPr>
        <w:t>http://www.usccb.org/prayer-and-worship/the-mass/order-of-mass/liturgy-of-the-eucharist/the-real-presence-of-jesus-christ-in-the-sacrament-of-the-eucharist-basic-questions-and-answers.cfm [Accessed 6 Dec. 2017].</w:t>
      </w:r>
    </w:p>
    <w:p w:rsidR="003D1123" w:rsidRPr="002953F1" w:rsidRDefault="003D1123" w:rsidP="003D1123">
      <w:pPr>
        <w:rPr>
          <w:sz w:val="18"/>
          <w:szCs w:val="18"/>
        </w:rPr>
      </w:pPr>
    </w:p>
    <w:p w:rsidR="003921C8" w:rsidRPr="003D1123" w:rsidRDefault="003921C8" w:rsidP="003D1123"/>
    <w:sectPr w:rsidR="003921C8" w:rsidRPr="003D112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611DF2" w:rsidRDefault="00611DF2" w:rsidP="007A770F">
      <w:pPr>
        <w:spacing w:after="0" w:line="240" w:lineRule="auto"/>
      </w:pPr>
      <w:r>
        <w:separator/>
      </w:r>
    </w:p>
  </w:endnote>
  <w:endnote w:type="continuationSeparator" w:id="0">
    <w:p w:rsidR="00611DF2" w:rsidRDefault="00611DF2" w:rsidP="007A770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611DF2" w:rsidRDefault="00611DF2" w:rsidP="007A770F">
      <w:pPr>
        <w:spacing w:after="0" w:line="240" w:lineRule="auto"/>
      </w:pPr>
      <w:r>
        <w:separator/>
      </w:r>
    </w:p>
  </w:footnote>
  <w:footnote w:type="continuationSeparator" w:id="0">
    <w:p w:rsidR="00611DF2" w:rsidRDefault="00611DF2" w:rsidP="007A770F">
      <w:pPr>
        <w:spacing w:after="0" w:line="240" w:lineRule="auto"/>
      </w:pPr>
      <w:r>
        <w:continuationSeparator/>
      </w:r>
    </w:p>
  </w:footnote>
  <w:footnote w:id="1">
    <w:p w:rsidR="007A770F" w:rsidRPr="003D1123" w:rsidRDefault="007A770F">
      <w:pPr>
        <w:pStyle w:val="FootnoteText"/>
        <w:rPr>
          <w:sz w:val="22"/>
          <w:szCs w:val="22"/>
        </w:rPr>
      </w:pPr>
      <w:r w:rsidRPr="003D1123">
        <w:rPr>
          <w:rStyle w:val="FootnoteReference"/>
          <w:sz w:val="22"/>
          <w:szCs w:val="22"/>
        </w:rPr>
        <w:footnoteRef/>
      </w:r>
      <w:r w:rsidRPr="003D1123">
        <w:rPr>
          <w:sz w:val="22"/>
          <w:szCs w:val="22"/>
        </w:rPr>
        <w:t xml:space="preserve"> Pliny. 2.5 15 (Trans Bostock)</w:t>
      </w:r>
    </w:p>
  </w:footnote>
  <w:footnote w:id="2">
    <w:p w:rsidR="00517D1E" w:rsidRPr="003D1123" w:rsidRDefault="00517D1E">
      <w:pPr>
        <w:pStyle w:val="FootnoteText"/>
        <w:rPr>
          <w:sz w:val="22"/>
          <w:szCs w:val="22"/>
        </w:rPr>
      </w:pPr>
      <w:r w:rsidRPr="003D1123">
        <w:rPr>
          <w:rStyle w:val="FootnoteReference"/>
          <w:sz w:val="22"/>
          <w:szCs w:val="22"/>
        </w:rPr>
        <w:footnoteRef/>
      </w:r>
      <w:r w:rsidRPr="003D1123">
        <w:rPr>
          <w:sz w:val="22"/>
          <w:szCs w:val="22"/>
        </w:rPr>
        <w:t xml:space="preserve"> Gregory. 1991</w:t>
      </w:r>
    </w:p>
  </w:footnote>
  <w:footnote w:id="3">
    <w:p w:rsidR="00642AA2" w:rsidRPr="003D1123" w:rsidRDefault="00642AA2">
      <w:pPr>
        <w:pStyle w:val="FootnoteText"/>
        <w:rPr>
          <w:sz w:val="22"/>
          <w:szCs w:val="22"/>
        </w:rPr>
      </w:pPr>
      <w:r w:rsidRPr="003D1123">
        <w:rPr>
          <w:rStyle w:val="FootnoteReference"/>
          <w:sz w:val="22"/>
          <w:szCs w:val="22"/>
        </w:rPr>
        <w:footnoteRef/>
      </w:r>
      <w:r w:rsidRPr="003D1123">
        <w:rPr>
          <w:sz w:val="22"/>
          <w:szCs w:val="22"/>
        </w:rPr>
        <w:t xml:space="preserve"> Rives. 2007</w:t>
      </w:r>
    </w:p>
  </w:footnote>
  <w:footnote w:id="4">
    <w:p w:rsidR="00D242DA" w:rsidRPr="003D1123" w:rsidRDefault="00D242DA">
      <w:pPr>
        <w:pStyle w:val="FootnoteText"/>
        <w:rPr>
          <w:sz w:val="22"/>
          <w:szCs w:val="22"/>
        </w:rPr>
      </w:pPr>
      <w:r w:rsidRPr="003D1123">
        <w:rPr>
          <w:rStyle w:val="FootnoteReference"/>
          <w:sz w:val="22"/>
          <w:szCs w:val="22"/>
        </w:rPr>
        <w:footnoteRef/>
      </w:r>
      <w:r w:rsidRPr="003D1123">
        <w:rPr>
          <w:sz w:val="22"/>
          <w:szCs w:val="22"/>
        </w:rPr>
        <w:t xml:space="preserve"> Gordon. 2012</w:t>
      </w:r>
    </w:p>
  </w:footnote>
  <w:footnote w:id="5">
    <w:p w:rsidR="00BE78EF" w:rsidRDefault="00BE78EF">
      <w:pPr>
        <w:pStyle w:val="FootnoteText"/>
      </w:pPr>
      <w:r w:rsidRPr="003D1123">
        <w:rPr>
          <w:rStyle w:val="FootnoteReference"/>
          <w:sz w:val="22"/>
          <w:szCs w:val="22"/>
        </w:rPr>
        <w:footnoteRef/>
      </w:r>
      <w:r w:rsidRPr="003D1123">
        <w:rPr>
          <w:sz w:val="22"/>
          <w:szCs w:val="22"/>
        </w:rPr>
        <w:t xml:space="preserve"> Pliny. 2.5 15 (Trans Bostock)</w:t>
      </w:r>
    </w:p>
  </w:footnote>
  <w:footnote w:id="6">
    <w:p w:rsidR="00F55894" w:rsidRPr="003D1123" w:rsidRDefault="00F55894">
      <w:pPr>
        <w:pStyle w:val="FootnoteText"/>
        <w:rPr>
          <w:sz w:val="22"/>
          <w:szCs w:val="22"/>
        </w:rPr>
      </w:pPr>
      <w:r w:rsidRPr="003D1123">
        <w:rPr>
          <w:rStyle w:val="FootnoteReference"/>
          <w:sz w:val="22"/>
          <w:szCs w:val="22"/>
        </w:rPr>
        <w:footnoteRef/>
      </w:r>
      <w:r w:rsidRPr="003D1123">
        <w:rPr>
          <w:sz w:val="22"/>
          <w:szCs w:val="22"/>
        </w:rPr>
        <w:t xml:space="preserve"> </w:t>
      </w:r>
      <w:r w:rsidR="00C501A4" w:rsidRPr="003D1123">
        <w:rPr>
          <w:sz w:val="22"/>
          <w:szCs w:val="22"/>
        </w:rPr>
        <w:t>Rowe</w:t>
      </w:r>
      <w:r w:rsidRPr="003D1123">
        <w:rPr>
          <w:sz w:val="22"/>
          <w:szCs w:val="22"/>
        </w:rPr>
        <w:t>. 1985</w:t>
      </w:r>
    </w:p>
  </w:footnote>
  <w:footnote w:id="7">
    <w:p w:rsidR="00080B0A" w:rsidRPr="003D1123" w:rsidRDefault="00080B0A">
      <w:pPr>
        <w:pStyle w:val="FootnoteText"/>
        <w:rPr>
          <w:sz w:val="22"/>
          <w:szCs w:val="22"/>
        </w:rPr>
      </w:pPr>
      <w:r w:rsidRPr="003D1123">
        <w:rPr>
          <w:rStyle w:val="FootnoteReference"/>
          <w:sz w:val="22"/>
          <w:szCs w:val="22"/>
        </w:rPr>
        <w:footnoteRef/>
      </w:r>
      <w:r w:rsidRPr="003D1123">
        <w:rPr>
          <w:sz w:val="22"/>
          <w:szCs w:val="22"/>
        </w:rPr>
        <w:t xml:space="preserve"> Reynolds. Volk. 1990</w:t>
      </w:r>
    </w:p>
  </w:footnote>
  <w:footnote w:id="8">
    <w:p w:rsidR="00F55894" w:rsidRPr="003D1123" w:rsidRDefault="00F55894">
      <w:pPr>
        <w:pStyle w:val="FootnoteText"/>
        <w:rPr>
          <w:sz w:val="22"/>
          <w:szCs w:val="22"/>
        </w:rPr>
      </w:pPr>
      <w:r w:rsidRPr="003D1123">
        <w:rPr>
          <w:rStyle w:val="FootnoteReference"/>
          <w:sz w:val="22"/>
          <w:szCs w:val="22"/>
        </w:rPr>
        <w:footnoteRef/>
      </w:r>
      <w:r w:rsidRPr="003D1123">
        <w:rPr>
          <w:sz w:val="22"/>
          <w:szCs w:val="22"/>
        </w:rPr>
        <w:t xml:space="preserve"> Reynolds. Volk. 1990</w:t>
      </w:r>
    </w:p>
  </w:footnote>
  <w:footnote w:id="9">
    <w:p w:rsidR="0080607A" w:rsidRPr="003D1123" w:rsidRDefault="0080607A" w:rsidP="0080607A">
      <w:pPr>
        <w:pStyle w:val="FootnoteText"/>
        <w:rPr>
          <w:sz w:val="22"/>
          <w:szCs w:val="22"/>
        </w:rPr>
      </w:pPr>
      <w:r w:rsidRPr="003D1123">
        <w:rPr>
          <w:rStyle w:val="FootnoteReference"/>
          <w:sz w:val="22"/>
          <w:szCs w:val="22"/>
        </w:rPr>
        <w:footnoteRef/>
      </w:r>
      <w:r w:rsidRPr="003D1123">
        <w:rPr>
          <w:sz w:val="22"/>
          <w:szCs w:val="22"/>
        </w:rPr>
        <w:t xml:space="preserve"> Gregory. 1991</w:t>
      </w:r>
    </w:p>
  </w:footnote>
  <w:footnote w:id="10">
    <w:p w:rsidR="0080607A" w:rsidRPr="003D1123" w:rsidRDefault="0080607A">
      <w:pPr>
        <w:pStyle w:val="FootnoteText"/>
        <w:rPr>
          <w:sz w:val="22"/>
          <w:szCs w:val="22"/>
        </w:rPr>
      </w:pPr>
      <w:r w:rsidRPr="003D1123">
        <w:rPr>
          <w:rStyle w:val="FootnoteReference"/>
          <w:sz w:val="22"/>
          <w:szCs w:val="22"/>
        </w:rPr>
        <w:footnoteRef/>
      </w:r>
      <w:r w:rsidRPr="003D1123">
        <w:rPr>
          <w:sz w:val="22"/>
          <w:szCs w:val="22"/>
        </w:rPr>
        <w:t xml:space="preserve"> </w:t>
      </w:r>
      <w:proofErr w:type="spellStart"/>
      <w:r w:rsidRPr="003D1123">
        <w:rPr>
          <w:sz w:val="22"/>
          <w:szCs w:val="22"/>
        </w:rPr>
        <w:t>Cic</w:t>
      </w:r>
      <w:proofErr w:type="spellEnd"/>
      <w:r w:rsidRPr="003D1123">
        <w:rPr>
          <w:sz w:val="22"/>
          <w:szCs w:val="22"/>
        </w:rPr>
        <w:t>. Phil. 2.110 (</w:t>
      </w:r>
      <w:proofErr w:type="spellStart"/>
      <w:r w:rsidRPr="003D1123">
        <w:rPr>
          <w:sz w:val="22"/>
          <w:szCs w:val="22"/>
        </w:rPr>
        <w:t>TransYonge</w:t>
      </w:r>
      <w:proofErr w:type="spellEnd"/>
      <w:r w:rsidRPr="003D1123">
        <w:rPr>
          <w:sz w:val="22"/>
          <w:szCs w:val="22"/>
        </w:rPr>
        <w:t>)</w:t>
      </w:r>
    </w:p>
  </w:footnote>
  <w:footnote w:id="11">
    <w:p w:rsidR="007352D2" w:rsidRPr="003D1123" w:rsidRDefault="007352D2">
      <w:pPr>
        <w:pStyle w:val="FootnoteText"/>
        <w:rPr>
          <w:sz w:val="22"/>
          <w:szCs w:val="22"/>
        </w:rPr>
      </w:pPr>
      <w:r w:rsidRPr="003D1123">
        <w:rPr>
          <w:rStyle w:val="FootnoteReference"/>
          <w:sz w:val="22"/>
          <w:szCs w:val="22"/>
        </w:rPr>
        <w:footnoteRef/>
      </w:r>
      <w:r w:rsidRPr="003D1123">
        <w:rPr>
          <w:sz w:val="22"/>
          <w:szCs w:val="22"/>
        </w:rPr>
        <w:t xml:space="preserve"> </w:t>
      </w:r>
      <w:bookmarkStart w:id="1" w:name="_Hlk500275104"/>
      <w:r w:rsidRPr="003D1123">
        <w:rPr>
          <w:sz w:val="22"/>
          <w:szCs w:val="22"/>
        </w:rPr>
        <w:t>Warrior. 2002</w:t>
      </w:r>
      <w:bookmarkEnd w:id="1"/>
    </w:p>
  </w:footnote>
  <w:footnote w:id="12">
    <w:p w:rsidR="00872304" w:rsidRPr="003D1123" w:rsidRDefault="00872304" w:rsidP="00872304">
      <w:pPr>
        <w:pStyle w:val="FootnoteText"/>
        <w:rPr>
          <w:sz w:val="22"/>
          <w:szCs w:val="22"/>
        </w:rPr>
      </w:pPr>
      <w:r w:rsidRPr="003D1123">
        <w:rPr>
          <w:rStyle w:val="FootnoteReference"/>
          <w:sz w:val="22"/>
          <w:szCs w:val="22"/>
        </w:rPr>
        <w:footnoteRef/>
      </w:r>
      <w:r w:rsidRPr="003D1123">
        <w:rPr>
          <w:sz w:val="22"/>
          <w:szCs w:val="22"/>
        </w:rPr>
        <w:t xml:space="preserve"> </w:t>
      </w:r>
      <w:r w:rsidR="00306D6E" w:rsidRPr="003D1123">
        <w:rPr>
          <w:sz w:val="22"/>
          <w:szCs w:val="22"/>
        </w:rPr>
        <w:t xml:space="preserve">Suet. </w:t>
      </w:r>
      <w:proofErr w:type="spellStart"/>
      <w:r w:rsidR="00306D6E" w:rsidRPr="003D1123">
        <w:rPr>
          <w:sz w:val="22"/>
          <w:szCs w:val="22"/>
        </w:rPr>
        <w:t>Vesp</w:t>
      </w:r>
      <w:proofErr w:type="spellEnd"/>
      <w:r w:rsidR="00306D6E" w:rsidRPr="003D1123">
        <w:rPr>
          <w:sz w:val="22"/>
          <w:szCs w:val="22"/>
        </w:rPr>
        <w:t>. 23. (Trans Reed)</w:t>
      </w:r>
    </w:p>
  </w:footnote>
  <w:footnote w:id="13">
    <w:p w:rsidR="00306D6E" w:rsidRPr="003D1123" w:rsidRDefault="00306D6E">
      <w:pPr>
        <w:pStyle w:val="FootnoteText"/>
        <w:rPr>
          <w:sz w:val="22"/>
          <w:szCs w:val="22"/>
        </w:rPr>
      </w:pPr>
      <w:r w:rsidRPr="003D1123">
        <w:rPr>
          <w:rStyle w:val="FootnoteReference"/>
          <w:sz w:val="22"/>
          <w:szCs w:val="22"/>
        </w:rPr>
        <w:footnoteRef/>
      </w:r>
      <w:r w:rsidRPr="003D1123">
        <w:rPr>
          <w:sz w:val="22"/>
          <w:szCs w:val="22"/>
        </w:rPr>
        <w:t xml:space="preserve"> </w:t>
      </w:r>
      <w:bookmarkStart w:id="2" w:name="_Hlk500274567"/>
      <w:r w:rsidRPr="003D1123">
        <w:rPr>
          <w:sz w:val="22"/>
          <w:szCs w:val="22"/>
        </w:rPr>
        <w:t xml:space="preserve">Suet. </w:t>
      </w:r>
      <w:proofErr w:type="spellStart"/>
      <w:r w:rsidRPr="003D1123">
        <w:rPr>
          <w:sz w:val="22"/>
          <w:szCs w:val="22"/>
        </w:rPr>
        <w:t>Tib</w:t>
      </w:r>
      <w:proofErr w:type="spellEnd"/>
      <w:r w:rsidRPr="003D1123">
        <w:rPr>
          <w:sz w:val="22"/>
          <w:szCs w:val="22"/>
        </w:rPr>
        <w:t>. 26. (Trans Reed)</w:t>
      </w:r>
      <w:bookmarkEnd w:id="2"/>
    </w:p>
  </w:footnote>
  <w:footnote w:id="14">
    <w:p w:rsidR="00306D6E" w:rsidRPr="003D1123" w:rsidRDefault="00306D6E">
      <w:pPr>
        <w:pStyle w:val="FootnoteText"/>
        <w:rPr>
          <w:sz w:val="22"/>
          <w:szCs w:val="22"/>
        </w:rPr>
      </w:pPr>
      <w:r w:rsidRPr="003D1123">
        <w:rPr>
          <w:rStyle w:val="FootnoteReference"/>
          <w:sz w:val="22"/>
          <w:szCs w:val="22"/>
        </w:rPr>
        <w:footnoteRef/>
      </w:r>
      <w:r w:rsidRPr="003D1123">
        <w:rPr>
          <w:sz w:val="22"/>
          <w:szCs w:val="22"/>
        </w:rPr>
        <w:t xml:space="preserve"> Warrior. 2002</w:t>
      </w:r>
    </w:p>
  </w:footnote>
  <w:footnote w:id="15">
    <w:p w:rsidR="00605792" w:rsidRPr="003D1123" w:rsidRDefault="00605792">
      <w:pPr>
        <w:pStyle w:val="FootnoteText"/>
        <w:rPr>
          <w:b/>
          <w:sz w:val="22"/>
          <w:szCs w:val="22"/>
        </w:rPr>
      </w:pPr>
      <w:r w:rsidRPr="003D1123">
        <w:rPr>
          <w:rStyle w:val="FootnoteReference"/>
          <w:sz w:val="22"/>
          <w:szCs w:val="22"/>
        </w:rPr>
        <w:footnoteRef/>
      </w:r>
      <w:r w:rsidRPr="003D1123">
        <w:rPr>
          <w:sz w:val="22"/>
          <w:szCs w:val="22"/>
        </w:rPr>
        <w:t xml:space="preserve"> </w:t>
      </w:r>
      <w:proofErr w:type="spellStart"/>
      <w:r w:rsidRPr="003D1123">
        <w:rPr>
          <w:sz w:val="22"/>
          <w:szCs w:val="22"/>
        </w:rPr>
        <w:t>Ehler</w:t>
      </w:r>
      <w:proofErr w:type="spellEnd"/>
      <w:r w:rsidRPr="003D1123">
        <w:rPr>
          <w:sz w:val="22"/>
          <w:szCs w:val="22"/>
        </w:rPr>
        <w:t xml:space="preserve">. </w:t>
      </w:r>
      <w:proofErr w:type="spellStart"/>
      <w:r w:rsidRPr="003D1123">
        <w:rPr>
          <w:sz w:val="22"/>
          <w:szCs w:val="22"/>
        </w:rPr>
        <w:t>Zdeneck</w:t>
      </w:r>
      <w:proofErr w:type="spellEnd"/>
      <w:r w:rsidRPr="003D1123">
        <w:rPr>
          <w:sz w:val="22"/>
          <w:szCs w:val="22"/>
        </w:rPr>
        <w:t>. John B. 1967</w:t>
      </w:r>
    </w:p>
  </w:footnote>
  <w:footnote w:id="16">
    <w:p w:rsidR="000E2338" w:rsidRPr="007D03F1" w:rsidRDefault="000E2338" w:rsidP="007D03F1">
      <w:pPr>
        <w:pStyle w:val="NoSpacing"/>
      </w:pPr>
      <w:r w:rsidRPr="003D1123">
        <w:rPr>
          <w:rStyle w:val="FootnoteReference"/>
        </w:rPr>
        <w:footnoteRef/>
      </w:r>
      <w:r w:rsidRPr="003D1123">
        <w:t xml:space="preserve"> </w:t>
      </w:r>
      <w:r w:rsidR="00E84CA0" w:rsidRPr="003D1123">
        <w:t>Matthew 27:32-56</w:t>
      </w:r>
    </w:p>
  </w:footnote>
  <w:footnote w:id="17">
    <w:p w:rsidR="000E2338" w:rsidRPr="003D1123" w:rsidRDefault="000E2338" w:rsidP="007D03F1">
      <w:pPr>
        <w:pStyle w:val="NoSpacing"/>
      </w:pPr>
      <w:r w:rsidRPr="003D1123">
        <w:rPr>
          <w:rStyle w:val="FootnoteReference"/>
        </w:rPr>
        <w:footnoteRef/>
      </w:r>
      <w:r w:rsidRPr="003D1123">
        <w:t xml:space="preserve"> Schultz. 2010</w:t>
      </w:r>
    </w:p>
  </w:footnote>
  <w:footnote w:id="18">
    <w:p w:rsidR="00CC5CF5" w:rsidRPr="003D1123" w:rsidRDefault="00CC5CF5" w:rsidP="007D03F1">
      <w:pPr>
        <w:pStyle w:val="NoSpacing"/>
      </w:pPr>
      <w:r w:rsidRPr="003D1123">
        <w:rPr>
          <w:rStyle w:val="FootnoteReference"/>
        </w:rPr>
        <w:footnoteRef/>
      </w:r>
      <w:r w:rsidRPr="003D1123">
        <w:t xml:space="preserve"> Usccb.org, 2017</w:t>
      </w:r>
    </w:p>
  </w:footnote>
  <w:footnote w:id="19">
    <w:p w:rsidR="00CC5CF5" w:rsidRPr="003D1123" w:rsidRDefault="00CC5CF5" w:rsidP="007D03F1">
      <w:pPr>
        <w:pStyle w:val="NoSpacing"/>
      </w:pPr>
      <w:r w:rsidRPr="003D1123">
        <w:rPr>
          <w:rStyle w:val="FootnoteReference"/>
        </w:rPr>
        <w:footnoteRef/>
      </w:r>
      <w:r w:rsidRPr="003D1123">
        <w:t xml:space="preserve"> Usccb.org, 2017</w:t>
      </w:r>
    </w:p>
  </w:footnote>
  <w:footnote w:id="20">
    <w:p w:rsidR="008259E5" w:rsidRPr="003D1123" w:rsidRDefault="008259E5" w:rsidP="007D03F1">
      <w:pPr>
        <w:pStyle w:val="NoSpacing"/>
      </w:pPr>
      <w:r w:rsidRPr="003D1123">
        <w:rPr>
          <w:rStyle w:val="FootnoteReference"/>
        </w:rPr>
        <w:footnoteRef/>
      </w:r>
      <w:r w:rsidRPr="003D1123">
        <w:t xml:space="preserve"> </w:t>
      </w:r>
      <w:bookmarkStart w:id="3" w:name="_Hlk500425152"/>
      <w:r w:rsidRPr="003D1123">
        <w:t>Potter. 2014</w:t>
      </w:r>
      <w:bookmarkEnd w:id="3"/>
    </w:p>
  </w:footnote>
  <w:footnote w:id="21">
    <w:p w:rsidR="00DE3CF2" w:rsidRPr="003D1123" w:rsidRDefault="00DE3CF2" w:rsidP="007D03F1">
      <w:pPr>
        <w:pStyle w:val="NoSpacing"/>
      </w:pPr>
      <w:r w:rsidRPr="003D1123">
        <w:rPr>
          <w:rStyle w:val="FootnoteReference"/>
        </w:rPr>
        <w:footnoteRef/>
      </w:r>
      <w:r w:rsidRPr="003D1123">
        <w:t xml:space="preserve"> Tac. Ann. 15.44 (trans Church)</w:t>
      </w:r>
    </w:p>
  </w:footnote>
  <w:footnote w:id="22">
    <w:p w:rsidR="00061C5F" w:rsidRPr="003D1123" w:rsidRDefault="00061C5F" w:rsidP="007D03F1">
      <w:pPr>
        <w:pStyle w:val="NoSpacing"/>
      </w:pPr>
      <w:r w:rsidRPr="003D1123">
        <w:rPr>
          <w:rStyle w:val="FootnoteReference"/>
        </w:rPr>
        <w:footnoteRef/>
      </w:r>
      <w:r w:rsidRPr="003D1123">
        <w:t xml:space="preserve"> Potter. 2014</w:t>
      </w:r>
    </w:p>
  </w:footnote>
  <w:footnote w:id="23">
    <w:p w:rsidR="0087458F" w:rsidRPr="003D1123" w:rsidRDefault="0087458F" w:rsidP="007D03F1">
      <w:pPr>
        <w:pStyle w:val="NoSpacing"/>
      </w:pPr>
      <w:r w:rsidRPr="003D1123">
        <w:rPr>
          <w:rStyle w:val="FootnoteReference"/>
        </w:rPr>
        <w:footnoteRef/>
      </w:r>
      <w:r w:rsidRPr="003D1123">
        <w:t xml:space="preserve"> Geoffrey. 1963</w:t>
      </w:r>
    </w:p>
  </w:footnote>
  <w:footnote w:id="24">
    <w:p w:rsidR="0087458F" w:rsidRPr="003D1123" w:rsidRDefault="0087458F" w:rsidP="007D03F1">
      <w:pPr>
        <w:pStyle w:val="NoSpacing"/>
      </w:pPr>
      <w:r w:rsidRPr="003D1123">
        <w:rPr>
          <w:rStyle w:val="FootnoteReference"/>
        </w:rPr>
        <w:footnoteRef/>
      </w:r>
      <w:r w:rsidRPr="003D1123">
        <w:t xml:space="preserve"> </w:t>
      </w:r>
      <w:proofErr w:type="spellStart"/>
      <w:r w:rsidRPr="003D1123">
        <w:t>Rüpke</w:t>
      </w:r>
      <w:proofErr w:type="spellEnd"/>
      <w:r w:rsidRPr="003D1123">
        <w:t>. 2007</w:t>
      </w:r>
    </w:p>
  </w:footnote>
  <w:footnote w:id="25">
    <w:p w:rsidR="0087458F" w:rsidRPr="003D1123" w:rsidRDefault="0087458F" w:rsidP="007D03F1">
      <w:pPr>
        <w:pStyle w:val="NoSpacing"/>
      </w:pPr>
      <w:r w:rsidRPr="003D1123">
        <w:rPr>
          <w:rStyle w:val="FootnoteReference"/>
        </w:rPr>
        <w:footnoteRef/>
      </w:r>
      <w:r w:rsidRPr="003D1123">
        <w:t xml:space="preserve">  </w:t>
      </w:r>
      <w:proofErr w:type="spellStart"/>
      <w:r w:rsidRPr="003D1123">
        <w:t>Tert</w:t>
      </w:r>
      <w:proofErr w:type="spellEnd"/>
      <w:r w:rsidRPr="003D1123">
        <w:t xml:space="preserve">. </w:t>
      </w:r>
      <w:proofErr w:type="spellStart"/>
      <w:r w:rsidRPr="003D1123">
        <w:t>Apol</w:t>
      </w:r>
      <w:proofErr w:type="spellEnd"/>
      <w:r w:rsidRPr="003D1123">
        <w:t>. 21.1 (trans Glover)</w:t>
      </w:r>
    </w:p>
  </w:footnote>
  <w:footnote w:id="26">
    <w:p w:rsidR="0087458F" w:rsidRPr="003D1123" w:rsidRDefault="0087458F" w:rsidP="007D03F1">
      <w:pPr>
        <w:pStyle w:val="NoSpacing"/>
      </w:pPr>
      <w:r w:rsidRPr="003D1123">
        <w:rPr>
          <w:rStyle w:val="FootnoteReference"/>
        </w:rPr>
        <w:footnoteRef/>
      </w:r>
      <w:r w:rsidRPr="003D1123">
        <w:t xml:space="preserve"> </w:t>
      </w:r>
      <w:proofErr w:type="spellStart"/>
      <w:r w:rsidRPr="003D1123">
        <w:rPr>
          <w:rFonts w:cs="Arial"/>
          <w:color w:val="000000"/>
          <w:shd w:val="clear" w:color="auto" w:fill="FFFFFF"/>
        </w:rPr>
        <w:t>Honoré</w:t>
      </w:r>
      <w:proofErr w:type="spellEnd"/>
      <w:r w:rsidRPr="003D1123">
        <w:rPr>
          <w:rFonts w:cs="Arial"/>
          <w:color w:val="000000"/>
          <w:shd w:val="clear" w:color="auto" w:fill="FFFFFF"/>
        </w:rPr>
        <w:t>. 2007</w:t>
      </w:r>
    </w:p>
  </w:footnote>
  <w:footnote w:id="27">
    <w:p w:rsidR="00DE3CF2" w:rsidRPr="003D1123" w:rsidRDefault="00DE3CF2" w:rsidP="007D03F1">
      <w:pPr>
        <w:pStyle w:val="NoSpacing"/>
      </w:pPr>
      <w:r w:rsidRPr="003D1123">
        <w:rPr>
          <w:rStyle w:val="FootnoteReference"/>
        </w:rPr>
        <w:footnoteRef/>
      </w:r>
      <w:r w:rsidRPr="003D1123">
        <w:t xml:space="preserve"> </w:t>
      </w:r>
      <w:bookmarkStart w:id="4" w:name="_Hlk500425528"/>
      <w:r w:rsidRPr="003D1123">
        <w:t>Gregory. 1991</w:t>
      </w:r>
      <w:bookmarkEnd w:id="4"/>
    </w:p>
  </w:footnote>
  <w:footnote w:id="28">
    <w:p w:rsidR="00DE3CF2" w:rsidRPr="003D1123" w:rsidRDefault="00DE3CF2" w:rsidP="007D03F1">
      <w:pPr>
        <w:pStyle w:val="NoSpacing"/>
      </w:pPr>
      <w:r w:rsidRPr="003D1123">
        <w:rPr>
          <w:rStyle w:val="FootnoteReference"/>
        </w:rPr>
        <w:footnoteRef/>
      </w:r>
      <w:r w:rsidRPr="003D1123">
        <w:t xml:space="preserve"> Christopher. 2006</w:t>
      </w:r>
    </w:p>
  </w:footnote>
  <w:footnote w:id="29">
    <w:p w:rsidR="00061C5F" w:rsidRPr="003D1123" w:rsidRDefault="00061C5F" w:rsidP="007D03F1">
      <w:pPr>
        <w:pStyle w:val="NoSpacing"/>
      </w:pPr>
      <w:r w:rsidRPr="003D1123">
        <w:rPr>
          <w:rStyle w:val="FootnoteReference"/>
        </w:rPr>
        <w:footnoteRef/>
      </w:r>
      <w:r w:rsidRPr="003D1123">
        <w:t xml:space="preserve"> Gregory. 1991</w:t>
      </w:r>
    </w:p>
  </w:footnote>
  <w:footnote w:id="30">
    <w:p w:rsidR="0087458F" w:rsidRPr="003D1123" w:rsidRDefault="0087458F" w:rsidP="007D03F1">
      <w:pPr>
        <w:pStyle w:val="NoSpacing"/>
      </w:pPr>
      <w:r w:rsidRPr="003D1123">
        <w:rPr>
          <w:rStyle w:val="FootnoteReference"/>
        </w:rPr>
        <w:footnoteRef/>
      </w:r>
      <w:r w:rsidRPr="003D1123">
        <w:t xml:space="preserve"> </w:t>
      </w:r>
      <w:proofErr w:type="spellStart"/>
      <w:r w:rsidRPr="003D1123">
        <w:t>Ehler</w:t>
      </w:r>
      <w:proofErr w:type="spellEnd"/>
      <w:r w:rsidRPr="003D1123">
        <w:t xml:space="preserve">. </w:t>
      </w:r>
      <w:proofErr w:type="spellStart"/>
      <w:r w:rsidRPr="003D1123">
        <w:t>Zdeneck</w:t>
      </w:r>
      <w:proofErr w:type="spellEnd"/>
      <w:r w:rsidRPr="003D1123">
        <w:t>. John B. 1967</w:t>
      </w:r>
    </w:p>
  </w:footnote>
  <w:footnote w:id="31">
    <w:p w:rsidR="00BB5949" w:rsidRDefault="00BB5949" w:rsidP="00BB5949">
      <w:pPr>
        <w:pStyle w:val="NoSpacing"/>
      </w:pPr>
      <w:r w:rsidRPr="003D1123">
        <w:rPr>
          <w:rStyle w:val="FootnoteReference"/>
        </w:rPr>
        <w:footnoteRef/>
      </w:r>
      <w:r w:rsidRPr="003D1123">
        <w:t xml:space="preserve"> Cameron, Hall. 1999.</w:t>
      </w:r>
    </w:p>
  </w:footnote>
  <w:footnote w:id="32">
    <w:p w:rsidR="007D03F1" w:rsidRPr="003D1123" w:rsidRDefault="007D03F1">
      <w:pPr>
        <w:pStyle w:val="FootnoteText"/>
        <w:rPr>
          <w:sz w:val="22"/>
          <w:szCs w:val="22"/>
        </w:rPr>
      </w:pPr>
      <w:r>
        <w:rPr>
          <w:rStyle w:val="FootnoteReference"/>
        </w:rPr>
        <w:footnoteRef/>
      </w:r>
      <w:r>
        <w:t xml:space="preserve"> </w:t>
      </w:r>
      <w:r w:rsidRPr="003D1123">
        <w:rPr>
          <w:sz w:val="22"/>
          <w:szCs w:val="22"/>
        </w:rPr>
        <w:t>Potter. 2014</w:t>
      </w:r>
    </w:p>
  </w:footnote>
  <w:footnote w:id="33">
    <w:p w:rsidR="00DB7095" w:rsidRPr="003D1123" w:rsidRDefault="00DB7095">
      <w:pPr>
        <w:pStyle w:val="FootnoteText"/>
        <w:rPr>
          <w:sz w:val="22"/>
          <w:szCs w:val="22"/>
        </w:rPr>
      </w:pPr>
      <w:r w:rsidRPr="003D1123">
        <w:rPr>
          <w:rStyle w:val="FootnoteReference"/>
          <w:sz w:val="22"/>
          <w:szCs w:val="22"/>
        </w:rPr>
        <w:footnoteRef/>
      </w:r>
      <w:r w:rsidRPr="003D1123">
        <w:rPr>
          <w:sz w:val="22"/>
          <w:szCs w:val="22"/>
        </w:rPr>
        <w:t xml:space="preserve"> Barnes. 1981</w:t>
      </w:r>
    </w:p>
  </w:footnote>
  <w:footnote w:id="34">
    <w:p w:rsidR="00EC0762" w:rsidRPr="003D1123" w:rsidRDefault="00EC0762">
      <w:pPr>
        <w:pStyle w:val="FootnoteText"/>
        <w:rPr>
          <w:sz w:val="22"/>
          <w:szCs w:val="22"/>
        </w:rPr>
      </w:pPr>
      <w:r w:rsidRPr="003D1123">
        <w:rPr>
          <w:rStyle w:val="FootnoteReference"/>
          <w:sz w:val="22"/>
          <w:szCs w:val="22"/>
        </w:rPr>
        <w:footnoteRef/>
      </w:r>
      <w:r w:rsidRPr="003D1123">
        <w:rPr>
          <w:sz w:val="22"/>
          <w:szCs w:val="22"/>
        </w:rPr>
        <w:t xml:space="preserve"> </w:t>
      </w:r>
      <w:bookmarkStart w:id="5" w:name="_Hlk500769544"/>
      <w:r w:rsidR="001E7294" w:rsidRPr="003D1123">
        <w:rPr>
          <w:sz w:val="22"/>
          <w:szCs w:val="22"/>
        </w:rPr>
        <w:t>Cameron. 1999</w:t>
      </w:r>
      <w:bookmarkEnd w:id="5"/>
    </w:p>
  </w:footnote>
  <w:footnote w:id="35">
    <w:p w:rsidR="00101219" w:rsidRPr="003D1123" w:rsidRDefault="00101219">
      <w:pPr>
        <w:pStyle w:val="FootnoteText"/>
        <w:rPr>
          <w:sz w:val="22"/>
          <w:szCs w:val="22"/>
        </w:rPr>
      </w:pPr>
      <w:r w:rsidRPr="003D1123">
        <w:rPr>
          <w:rStyle w:val="FootnoteReference"/>
          <w:sz w:val="22"/>
          <w:szCs w:val="22"/>
        </w:rPr>
        <w:footnoteRef/>
      </w:r>
      <w:r w:rsidRPr="003D1123">
        <w:rPr>
          <w:sz w:val="22"/>
          <w:szCs w:val="22"/>
        </w:rPr>
        <w:t xml:space="preserve"> Potter. 2014</w:t>
      </w:r>
    </w:p>
  </w:footnote>
  <w:footnote w:id="36">
    <w:p w:rsidR="0057724F" w:rsidRPr="003D1123" w:rsidRDefault="0057724F">
      <w:pPr>
        <w:pStyle w:val="FootnoteText"/>
        <w:rPr>
          <w:sz w:val="22"/>
          <w:szCs w:val="22"/>
        </w:rPr>
      </w:pPr>
      <w:r w:rsidRPr="003D1123">
        <w:rPr>
          <w:rStyle w:val="FootnoteReference"/>
          <w:sz w:val="22"/>
          <w:szCs w:val="22"/>
        </w:rPr>
        <w:footnoteRef/>
      </w:r>
      <w:r w:rsidRPr="003D1123">
        <w:rPr>
          <w:sz w:val="22"/>
          <w:szCs w:val="22"/>
        </w:rPr>
        <w:t xml:space="preserve"> Cameron. 1999</w:t>
      </w:r>
    </w:p>
  </w:footnote>
  <w:footnote w:id="37">
    <w:p w:rsidR="00FB1803" w:rsidRPr="003D1123" w:rsidRDefault="00FB1803" w:rsidP="00FB1803">
      <w:pPr>
        <w:pStyle w:val="NoSpacing"/>
        <w:rPr>
          <w:b/>
        </w:rPr>
      </w:pPr>
      <w:r w:rsidRPr="003D1123">
        <w:rPr>
          <w:rStyle w:val="FootnoteReference"/>
        </w:rPr>
        <w:footnoteRef/>
      </w:r>
      <w:r w:rsidRPr="003D1123">
        <w:t xml:space="preserve"> </w:t>
      </w:r>
      <w:proofErr w:type="spellStart"/>
      <w:r w:rsidRPr="003D1123">
        <w:t>Berrens</w:t>
      </w:r>
      <w:proofErr w:type="spellEnd"/>
      <w:r w:rsidRPr="003D1123">
        <w:t>, 2004</w:t>
      </w:r>
    </w:p>
  </w:footnote>
  <w:footnote w:id="38">
    <w:p w:rsidR="000D2896" w:rsidRPr="003D1123" w:rsidRDefault="000D2896" w:rsidP="000D2896">
      <w:pPr>
        <w:pStyle w:val="FootnoteText"/>
        <w:rPr>
          <w:sz w:val="22"/>
          <w:szCs w:val="22"/>
        </w:rPr>
      </w:pPr>
      <w:r w:rsidRPr="003D1123">
        <w:rPr>
          <w:rStyle w:val="FootnoteReference"/>
          <w:sz w:val="22"/>
          <w:szCs w:val="22"/>
        </w:rPr>
        <w:footnoteRef/>
      </w:r>
      <w:r w:rsidRPr="003D1123">
        <w:rPr>
          <w:sz w:val="22"/>
          <w:szCs w:val="22"/>
        </w:rPr>
        <w:t xml:space="preserve"> Cameron. 1999</w:t>
      </w:r>
    </w:p>
  </w:footnote>
  <w:footnote w:id="39">
    <w:p w:rsidR="000D2896" w:rsidRPr="003D1123" w:rsidRDefault="000D2896">
      <w:pPr>
        <w:pStyle w:val="FootnoteText"/>
        <w:rPr>
          <w:sz w:val="22"/>
          <w:szCs w:val="22"/>
        </w:rPr>
      </w:pPr>
      <w:r w:rsidRPr="003D1123">
        <w:rPr>
          <w:rStyle w:val="FootnoteReference"/>
          <w:sz w:val="22"/>
          <w:szCs w:val="22"/>
        </w:rPr>
        <w:footnoteRef/>
      </w:r>
      <w:r w:rsidRPr="003D1123">
        <w:rPr>
          <w:sz w:val="22"/>
          <w:szCs w:val="22"/>
        </w:rPr>
        <w:t xml:space="preserve"> Cameron. 1999</w:t>
      </w:r>
    </w:p>
  </w:footnote>
  <w:footnote w:id="40">
    <w:p w:rsidR="000D2896" w:rsidRPr="003D1123" w:rsidRDefault="000D2896">
      <w:pPr>
        <w:pStyle w:val="FootnoteText"/>
        <w:rPr>
          <w:sz w:val="22"/>
          <w:szCs w:val="22"/>
        </w:rPr>
      </w:pPr>
      <w:r w:rsidRPr="003D1123">
        <w:rPr>
          <w:rStyle w:val="FootnoteReference"/>
          <w:sz w:val="22"/>
          <w:szCs w:val="22"/>
        </w:rPr>
        <w:footnoteRef/>
      </w:r>
      <w:r w:rsidRPr="003D1123">
        <w:rPr>
          <w:sz w:val="22"/>
          <w:szCs w:val="22"/>
        </w:rPr>
        <w:t xml:space="preserve"> </w:t>
      </w:r>
      <w:bookmarkStart w:id="6" w:name="_Hlk500777895"/>
      <w:r w:rsidRPr="003D1123">
        <w:rPr>
          <w:sz w:val="22"/>
          <w:szCs w:val="22"/>
        </w:rPr>
        <w:t>Cameron. 1999</w:t>
      </w:r>
      <w:bookmarkEnd w:id="6"/>
    </w:p>
  </w:footnote>
  <w:footnote w:id="41">
    <w:p w:rsidR="009E1EA4" w:rsidRDefault="009E1EA4">
      <w:pPr>
        <w:pStyle w:val="FootnoteText"/>
      </w:pPr>
      <w:r w:rsidRPr="003D1123">
        <w:rPr>
          <w:rStyle w:val="FootnoteReference"/>
          <w:sz w:val="22"/>
          <w:szCs w:val="22"/>
        </w:rPr>
        <w:footnoteRef/>
      </w:r>
      <w:r w:rsidRPr="003D1123">
        <w:rPr>
          <w:sz w:val="22"/>
          <w:szCs w:val="22"/>
        </w:rPr>
        <w:t xml:space="preserve"> Potter. 2014</w:t>
      </w:r>
    </w:p>
  </w:footnote>
  <w:footnote w:id="42">
    <w:p w:rsidR="009A72AB" w:rsidRPr="003D1123" w:rsidRDefault="009A72AB">
      <w:pPr>
        <w:pStyle w:val="FootnoteText"/>
        <w:rPr>
          <w:sz w:val="22"/>
          <w:szCs w:val="22"/>
        </w:rPr>
      </w:pPr>
      <w:r w:rsidRPr="003D1123">
        <w:rPr>
          <w:rStyle w:val="FootnoteReference"/>
          <w:sz w:val="22"/>
          <w:szCs w:val="22"/>
        </w:rPr>
        <w:footnoteRef/>
      </w:r>
      <w:r w:rsidRPr="003D1123">
        <w:rPr>
          <w:sz w:val="22"/>
          <w:szCs w:val="22"/>
        </w:rPr>
        <w:t xml:space="preserve"> Cameron. 1999</w:t>
      </w:r>
    </w:p>
  </w:footnote>
  <w:footnote w:id="43">
    <w:p w:rsidR="002953F1" w:rsidRPr="003D1123" w:rsidRDefault="002953F1">
      <w:pPr>
        <w:pStyle w:val="FootnoteText"/>
        <w:rPr>
          <w:sz w:val="22"/>
          <w:szCs w:val="22"/>
        </w:rPr>
      </w:pPr>
      <w:r w:rsidRPr="003D1123">
        <w:rPr>
          <w:rStyle w:val="FootnoteReference"/>
          <w:sz w:val="22"/>
          <w:szCs w:val="22"/>
        </w:rPr>
        <w:footnoteRef/>
      </w:r>
      <w:r w:rsidRPr="003D1123">
        <w:rPr>
          <w:sz w:val="22"/>
          <w:szCs w:val="22"/>
        </w:rPr>
        <w:t xml:space="preserve"> Cameron. 1999</w:t>
      </w:r>
    </w:p>
  </w:footnote>
  <w:footnote w:id="44">
    <w:p w:rsidR="003921C8" w:rsidRPr="003D1123" w:rsidRDefault="003921C8">
      <w:pPr>
        <w:pStyle w:val="FootnoteText"/>
        <w:rPr>
          <w:sz w:val="22"/>
          <w:szCs w:val="22"/>
        </w:rPr>
      </w:pPr>
      <w:r w:rsidRPr="003D1123">
        <w:rPr>
          <w:rStyle w:val="FootnoteReference"/>
          <w:sz w:val="22"/>
          <w:szCs w:val="22"/>
        </w:rPr>
        <w:footnoteRef/>
      </w:r>
      <w:r w:rsidRPr="003D1123">
        <w:rPr>
          <w:sz w:val="22"/>
          <w:szCs w:val="22"/>
        </w:rPr>
        <w:t xml:space="preserve"> </w:t>
      </w:r>
      <w:r w:rsidRPr="003D1123">
        <w:t>Al-</w:t>
      </w:r>
      <w:proofErr w:type="spellStart"/>
      <w:r w:rsidRPr="003D1123">
        <w:t>A'zami</w:t>
      </w:r>
      <w:proofErr w:type="spellEnd"/>
      <w:r w:rsidRPr="003D1123">
        <w:t>. M .2003</w:t>
      </w:r>
    </w:p>
  </w:footnote>
  <w:footnote w:id="45">
    <w:p w:rsidR="00605792" w:rsidRPr="003D1123" w:rsidRDefault="00605792">
      <w:pPr>
        <w:pStyle w:val="FootnoteText"/>
        <w:rPr>
          <w:sz w:val="22"/>
          <w:szCs w:val="22"/>
        </w:rPr>
      </w:pPr>
      <w:r w:rsidRPr="003D1123">
        <w:rPr>
          <w:rStyle w:val="FootnoteReference"/>
          <w:sz w:val="22"/>
          <w:szCs w:val="22"/>
        </w:rPr>
        <w:footnoteRef/>
      </w:r>
      <w:r w:rsidRPr="003D1123">
        <w:rPr>
          <w:sz w:val="22"/>
          <w:szCs w:val="22"/>
        </w:rPr>
        <w:t xml:space="preserve"> Gregory. 1991</w:t>
      </w:r>
    </w:p>
  </w:footnote>
  <w:footnote w:id="46">
    <w:p w:rsidR="00605792" w:rsidRPr="003D1123" w:rsidRDefault="00605792">
      <w:pPr>
        <w:pStyle w:val="FootnoteText"/>
        <w:rPr>
          <w:sz w:val="22"/>
          <w:szCs w:val="22"/>
        </w:rPr>
      </w:pPr>
      <w:r w:rsidRPr="003D1123">
        <w:rPr>
          <w:rStyle w:val="FootnoteReference"/>
          <w:sz w:val="22"/>
          <w:szCs w:val="22"/>
        </w:rPr>
        <w:footnoteRef/>
      </w:r>
      <w:r w:rsidRPr="003D1123">
        <w:rPr>
          <w:sz w:val="22"/>
          <w:szCs w:val="22"/>
        </w:rPr>
        <w:t xml:space="preserve"> </w:t>
      </w:r>
      <w:proofErr w:type="spellStart"/>
      <w:r w:rsidRPr="003D1123">
        <w:rPr>
          <w:sz w:val="22"/>
          <w:szCs w:val="22"/>
        </w:rPr>
        <w:t>Ehler</w:t>
      </w:r>
      <w:proofErr w:type="spellEnd"/>
      <w:r w:rsidRPr="003D1123">
        <w:rPr>
          <w:sz w:val="22"/>
          <w:szCs w:val="22"/>
        </w:rPr>
        <w:t xml:space="preserve">. </w:t>
      </w:r>
      <w:proofErr w:type="spellStart"/>
      <w:r w:rsidRPr="003D1123">
        <w:rPr>
          <w:sz w:val="22"/>
          <w:szCs w:val="22"/>
        </w:rPr>
        <w:t>Zdeneck</w:t>
      </w:r>
      <w:proofErr w:type="spellEnd"/>
      <w:r w:rsidRPr="003D1123">
        <w:rPr>
          <w:sz w:val="22"/>
          <w:szCs w:val="22"/>
        </w:rPr>
        <w:t>. John B. 1967</w:t>
      </w:r>
    </w:p>
  </w:footnote>
  <w:footnote w:id="47">
    <w:p w:rsidR="00233BD1" w:rsidRPr="003D1123" w:rsidRDefault="00233BD1">
      <w:pPr>
        <w:pStyle w:val="FootnoteText"/>
        <w:rPr>
          <w:sz w:val="22"/>
          <w:szCs w:val="22"/>
        </w:rPr>
      </w:pPr>
      <w:r w:rsidRPr="003D1123">
        <w:rPr>
          <w:rStyle w:val="FootnoteReference"/>
          <w:sz w:val="22"/>
          <w:szCs w:val="22"/>
        </w:rPr>
        <w:footnoteRef/>
      </w:r>
      <w:r w:rsidRPr="003D1123">
        <w:rPr>
          <w:sz w:val="22"/>
          <w:szCs w:val="22"/>
        </w:rPr>
        <w:t xml:space="preserve"> Gregory. 1991</w:t>
      </w:r>
    </w:p>
  </w:footnote>
  <w:footnote w:id="48">
    <w:p w:rsidR="0011715D" w:rsidRDefault="0011715D">
      <w:pPr>
        <w:pStyle w:val="FootnoteText"/>
      </w:pPr>
      <w:r w:rsidRPr="003D1123">
        <w:rPr>
          <w:rStyle w:val="FootnoteReference"/>
          <w:sz w:val="22"/>
          <w:szCs w:val="22"/>
        </w:rPr>
        <w:footnoteRef/>
      </w:r>
      <w:r w:rsidRPr="003D1123">
        <w:rPr>
          <w:sz w:val="22"/>
          <w:szCs w:val="22"/>
        </w:rPr>
        <w:t xml:space="preserve"> Carrol</w:t>
      </w:r>
      <w:r w:rsidR="00605792" w:rsidRPr="003D1123">
        <w:rPr>
          <w:sz w:val="22"/>
          <w:szCs w:val="22"/>
        </w:rPr>
        <w:t>l</w:t>
      </w:r>
      <w:r w:rsidRPr="003D1123">
        <w:rPr>
          <w:sz w:val="22"/>
          <w:szCs w:val="22"/>
        </w:rPr>
        <w:t>. 1987</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C2780"/>
    <w:rsid w:val="000509C9"/>
    <w:rsid w:val="00061C5F"/>
    <w:rsid w:val="0008037B"/>
    <w:rsid w:val="00080B0A"/>
    <w:rsid w:val="000B78E4"/>
    <w:rsid w:val="000D2896"/>
    <w:rsid w:val="000E2338"/>
    <w:rsid w:val="00101219"/>
    <w:rsid w:val="0011715D"/>
    <w:rsid w:val="00133D4C"/>
    <w:rsid w:val="0013457F"/>
    <w:rsid w:val="00164162"/>
    <w:rsid w:val="00191700"/>
    <w:rsid w:val="001E7294"/>
    <w:rsid w:val="002213C9"/>
    <w:rsid w:val="00233BD1"/>
    <w:rsid w:val="002953F1"/>
    <w:rsid w:val="002C6332"/>
    <w:rsid w:val="002F0139"/>
    <w:rsid w:val="00306D6E"/>
    <w:rsid w:val="0031242D"/>
    <w:rsid w:val="00316A61"/>
    <w:rsid w:val="0036050E"/>
    <w:rsid w:val="003921C8"/>
    <w:rsid w:val="003B4FD7"/>
    <w:rsid w:val="003C542B"/>
    <w:rsid w:val="003D1123"/>
    <w:rsid w:val="003E26ED"/>
    <w:rsid w:val="0042407B"/>
    <w:rsid w:val="00441EA4"/>
    <w:rsid w:val="004F6F91"/>
    <w:rsid w:val="00511975"/>
    <w:rsid w:val="00517D1E"/>
    <w:rsid w:val="00562C85"/>
    <w:rsid w:val="0057724F"/>
    <w:rsid w:val="005E0327"/>
    <w:rsid w:val="00600675"/>
    <w:rsid w:val="00605792"/>
    <w:rsid w:val="00611DF2"/>
    <w:rsid w:val="00642AA2"/>
    <w:rsid w:val="00652426"/>
    <w:rsid w:val="0065275B"/>
    <w:rsid w:val="006960DF"/>
    <w:rsid w:val="007040F6"/>
    <w:rsid w:val="007261B3"/>
    <w:rsid w:val="00732CD2"/>
    <w:rsid w:val="007352D2"/>
    <w:rsid w:val="007A770F"/>
    <w:rsid w:val="007D03F1"/>
    <w:rsid w:val="0080512C"/>
    <w:rsid w:val="0080607A"/>
    <w:rsid w:val="008259E5"/>
    <w:rsid w:val="00851337"/>
    <w:rsid w:val="00872304"/>
    <w:rsid w:val="0087458F"/>
    <w:rsid w:val="00875B32"/>
    <w:rsid w:val="008F5569"/>
    <w:rsid w:val="00950010"/>
    <w:rsid w:val="00963D78"/>
    <w:rsid w:val="009A72AB"/>
    <w:rsid w:val="009E1EA4"/>
    <w:rsid w:val="009F39C3"/>
    <w:rsid w:val="00A01AD9"/>
    <w:rsid w:val="00A22243"/>
    <w:rsid w:val="00A46940"/>
    <w:rsid w:val="00A55B9A"/>
    <w:rsid w:val="00A62ED0"/>
    <w:rsid w:val="00A96A1C"/>
    <w:rsid w:val="00AA0650"/>
    <w:rsid w:val="00AB62FC"/>
    <w:rsid w:val="00AB7BA9"/>
    <w:rsid w:val="00AC05D1"/>
    <w:rsid w:val="00B05CAD"/>
    <w:rsid w:val="00B16AFA"/>
    <w:rsid w:val="00B30417"/>
    <w:rsid w:val="00B914CB"/>
    <w:rsid w:val="00BB5949"/>
    <w:rsid w:val="00BE78EF"/>
    <w:rsid w:val="00C14E88"/>
    <w:rsid w:val="00C33A8F"/>
    <w:rsid w:val="00C4630C"/>
    <w:rsid w:val="00C501A4"/>
    <w:rsid w:val="00C60AD9"/>
    <w:rsid w:val="00C8375C"/>
    <w:rsid w:val="00CC2780"/>
    <w:rsid w:val="00CC3EFF"/>
    <w:rsid w:val="00CC5CF5"/>
    <w:rsid w:val="00D242DA"/>
    <w:rsid w:val="00DB2193"/>
    <w:rsid w:val="00DB7095"/>
    <w:rsid w:val="00DE3CF2"/>
    <w:rsid w:val="00E160C6"/>
    <w:rsid w:val="00E46D26"/>
    <w:rsid w:val="00E57DFA"/>
    <w:rsid w:val="00E61076"/>
    <w:rsid w:val="00E84CA0"/>
    <w:rsid w:val="00EC0762"/>
    <w:rsid w:val="00F47598"/>
    <w:rsid w:val="00F55894"/>
    <w:rsid w:val="00FB1803"/>
    <w:rsid w:val="00FC033A"/>
    <w:rsid w:val="00FC1340"/>
    <w:rsid w:val="00FC20E8"/>
    <w:rsid w:val="00FD165A"/>
    <w:rsid w:val="00FD2A74"/>
    <w:rsid w:val="00FD4213"/>
    <w:rsid w:val="00FE0CF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502134D"/>
  <w15:chartTrackingRefBased/>
  <w15:docId w15:val="{AEB44EDD-4EF3-4D23-9FDB-C67FF5F2A2D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link w:val="Heading1Char"/>
    <w:uiPriority w:val="9"/>
    <w:qFormat/>
    <w:rsid w:val="00E84CA0"/>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7A770F"/>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7A770F"/>
    <w:rPr>
      <w:sz w:val="20"/>
      <w:szCs w:val="20"/>
    </w:rPr>
  </w:style>
  <w:style w:type="character" w:styleId="FootnoteReference">
    <w:name w:val="footnote reference"/>
    <w:basedOn w:val="DefaultParagraphFont"/>
    <w:uiPriority w:val="99"/>
    <w:semiHidden/>
    <w:unhideWhenUsed/>
    <w:rsid w:val="007A770F"/>
    <w:rPr>
      <w:vertAlign w:val="superscript"/>
    </w:rPr>
  </w:style>
  <w:style w:type="paragraph" w:styleId="NoSpacing">
    <w:name w:val="No Spacing"/>
    <w:uiPriority w:val="1"/>
    <w:qFormat/>
    <w:rsid w:val="00517D1E"/>
    <w:pPr>
      <w:spacing w:after="0" w:line="240" w:lineRule="auto"/>
    </w:pPr>
  </w:style>
  <w:style w:type="character" w:styleId="Strong">
    <w:name w:val="Strong"/>
    <w:basedOn w:val="DefaultParagraphFont"/>
    <w:uiPriority w:val="22"/>
    <w:qFormat/>
    <w:rsid w:val="00080B0A"/>
    <w:rPr>
      <w:b/>
      <w:bCs/>
    </w:rPr>
  </w:style>
  <w:style w:type="character" w:customStyle="1" w:styleId="selectable">
    <w:name w:val="selectable"/>
    <w:basedOn w:val="DefaultParagraphFont"/>
    <w:rsid w:val="00080B0A"/>
  </w:style>
  <w:style w:type="character" w:customStyle="1" w:styleId="Heading1Char">
    <w:name w:val="Heading 1 Char"/>
    <w:basedOn w:val="DefaultParagraphFont"/>
    <w:link w:val="Heading1"/>
    <w:uiPriority w:val="9"/>
    <w:rsid w:val="00E84CA0"/>
    <w:rPr>
      <w:rFonts w:ascii="Times New Roman" w:eastAsia="Times New Roman" w:hAnsi="Times New Roman" w:cs="Times New Roman"/>
      <w:b/>
      <w:bCs/>
      <w:kern w:val="36"/>
      <w:sz w:val="48"/>
      <w:szCs w:val="48"/>
      <w:lang w:eastAsia="en-GB"/>
    </w:rPr>
  </w:style>
  <w:style w:type="character" w:customStyle="1" w:styleId="a-size-large">
    <w:name w:val="a-size-large"/>
    <w:basedOn w:val="DefaultParagraphFont"/>
    <w:rsid w:val="00E84CA0"/>
  </w:style>
  <w:style w:type="character" w:styleId="Hyperlink">
    <w:name w:val="Hyperlink"/>
    <w:basedOn w:val="DefaultParagraphFont"/>
    <w:uiPriority w:val="99"/>
    <w:unhideWhenUsed/>
    <w:rsid w:val="00851337"/>
    <w:rPr>
      <w:color w:val="0000FF"/>
      <w:u w:val="single"/>
    </w:rPr>
  </w:style>
  <w:style w:type="character" w:customStyle="1" w:styleId="reference-accessdate">
    <w:name w:val="reference-accessdate"/>
    <w:basedOn w:val="DefaultParagraphFont"/>
    <w:rsid w:val="00EC076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14854747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0D19AB8-A44B-41F0-A885-B4CA42DE813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1281</TotalTime>
  <Pages>7</Pages>
  <Words>2733</Words>
  <Characters>15583</Characters>
  <Application>Microsoft Office Word</Application>
  <DocSecurity>0</DocSecurity>
  <Lines>129</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18280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Ozzie Major (1600881)</dc:creator>
  <cp:keywords/>
  <dc:description/>
  <cp:lastModifiedBy>Ozzie Major (1600881)</cp:lastModifiedBy>
  <cp:revision>13</cp:revision>
  <dcterms:created xsi:type="dcterms:W3CDTF">2017-12-04T23:30:00Z</dcterms:created>
  <dcterms:modified xsi:type="dcterms:W3CDTF">2017-12-11T20:47:00Z</dcterms:modified>
</cp:coreProperties>
</file>