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99EF66" w14:textId="77777777" w:rsidR="00AC214B" w:rsidRPr="00A40B6F" w:rsidRDefault="00AC214B" w:rsidP="00AC214B">
      <w:pPr>
        <w:jc w:val="center"/>
        <w:rPr>
          <w:rFonts w:ascii="Arial" w:hAnsi="Arial" w:cs="Arial"/>
        </w:rPr>
      </w:pPr>
      <w:r w:rsidRPr="00A40B6F">
        <w:rPr>
          <w:rFonts w:ascii="Arial" w:hAnsi="Arial" w:cs="Arial"/>
        </w:rPr>
        <w:t>Part 1: Infographic: Maslow’s Hierarchy of needs</w:t>
      </w:r>
    </w:p>
    <w:p w14:paraId="0881E411" w14:textId="77777777" w:rsidR="00AC214B" w:rsidRDefault="00AC214B" w:rsidP="00AC214B">
      <w:pPr>
        <w:rPr>
          <w:rFonts w:ascii="Arial" w:hAnsi="Arial" w:cs="Arial"/>
          <w:sz w:val="28"/>
          <w:szCs w:val="28"/>
        </w:rPr>
      </w:pPr>
    </w:p>
    <w:p w14:paraId="7A1702A4" w14:textId="77777777" w:rsidR="00AC214B" w:rsidRDefault="00AC214B" w:rsidP="00AC214B">
      <w:pPr>
        <w:rPr>
          <w:rFonts w:ascii="Arial" w:hAnsi="Arial" w:cs="Arial"/>
          <w:sz w:val="28"/>
          <w:szCs w:val="28"/>
        </w:rPr>
      </w:pPr>
      <w:r w:rsidRPr="00A40B6F">
        <w:rPr>
          <w:rFonts w:ascii="Arial" w:hAnsi="Arial" w:cs="Arial"/>
          <w:noProof/>
        </w:rPr>
        <w:lastRenderedPageBreak/>
        <w:drawing>
          <wp:inline distT="0" distB="0" distL="0" distR="0" wp14:anchorId="35B6B69E" wp14:editId="3D88A696">
            <wp:extent cx="6809105" cy="8963668"/>
            <wp:effectExtent l="0" t="0" r="0" b="2540"/>
            <wp:docPr id="2071793541" name="Picture 207179354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793541" name="Picture 2071793541" descr="A close-up of a pape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846658" cy="9013104"/>
                    </a:xfrm>
                    <a:prstGeom prst="rect">
                      <a:avLst/>
                    </a:prstGeom>
                  </pic:spPr>
                </pic:pic>
              </a:graphicData>
            </a:graphic>
          </wp:inline>
        </w:drawing>
      </w:r>
      <w:r>
        <w:rPr>
          <w:rFonts w:ascii="Arial" w:hAnsi="Arial" w:cs="Arial"/>
          <w:sz w:val="28"/>
          <w:szCs w:val="28"/>
        </w:rPr>
        <w:br w:type="page"/>
      </w:r>
    </w:p>
    <w:p w14:paraId="5FCD3CB2" w14:textId="77777777" w:rsidR="00AC214B" w:rsidRDefault="00AC214B" w:rsidP="00AC214B">
      <w:pPr>
        <w:rPr>
          <w:rFonts w:ascii="Arial" w:hAnsi="Arial" w:cs="Arial"/>
          <w:sz w:val="28"/>
          <w:szCs w:val="28"/>
        </w:rPr>
      </w:pPr>
    </w:p>
    <w:p w14:paraId="5F9E60E3" w14:textId="77777777" w:rsidR="00AC214B" w:rsidRDefault="00AC214B" w:rsidP="00AC214B">
      <w:pPr>
        <w:jc w:val="center"/>
        <w:rPr>
          <w:rFonts w:ascii="Arial" w:hAnsi="Arial" w:cs="Arial"/>
        </w:rPr>
      </w:pPr>
      <w:r>
        <w:rPr>
          <w:rFonts w:ascii="Arial" w:hAnsi="Arial" w:cs="Arial"/>
        </w:rPr>
        <w:t>The Concept of Holistic Child Development</w:t>
      </w:r>
    </w:p>
    <w:p w14:paraId="59F7D7B4" w14:textId="77777777" w:rsidR="00AC214B" w:rsidRDefault="00AC214B" w:rsidP="00AC214B">
      <w:pPr>
        <w:rPr>
          <w:rFonts w:ascii="Arial" w:hAnsi="Arial" w:cs="Arial"/>
        </w:rPr>
      </w:pPr>
    </w:p>
    <w:p w14:paraId="141AFC2B" w14:textId="77777777" w:rsidR="00AC214B" w:rsidRDefault="00AC214B" w:rsidP="00AC214B">
      <w:pPr>
        <w:spacing w:line="360" w:lineRule="auto"/>
        <w:jc w:val="center"/>
        <w:rPr>
          <w:rFonts w:ascii="Arial" w:hAnsi="Arial" w:cs="Arial"/>
        </w:rPr>
      </w:pPr>
      <w:r>
        <w:rPr>
          <w:rFonts w:ascii="Arial" w:hAnsi="Arial" w:cs="Arial"/>
        </w:rPr>
        <w:t>Introduction</w:t>
      </w:r>
    </w:p>
    <w:p w14:paraId="6A48C70C" w14:textId="77777777" w:rsidR="00AC214B" w:rsidRDefault="00AC214B" w:rsidP="00AC214B">
      <w:pPr>
        <w:spacing w:line="360" w:lineRule="auto"/>
        <w:rPr>
          <w:rFonts w:ascii="Arial" w:hAnsi="Arial" w:cs="Arial"/>
        </w:rPr>
      </w:pPr>
      <w:r>
        <w:rPr>
          <w:rFonts w:ascii="Arial" w:hAnsi="Arial" w:cs="Arial"/>
        </w:rPr>
        <w:t xml:space="preserve">A concept is an idea or abstract principle according to Collins dictionary. The idea of holistic child development is where all areas of learning and development intricately intwine and children develop and learn holistically. (David </w:t>
      </w:r>
      <w:r w:rsidRPr="0087422F">
        <w:rPr>
          <w:rFonts w:ascii="Arial" w:hAnsi="Arial" w:cs="Arial"/>
          <w:i/>
          <w:iCs/>
        </w:rPr>
        <w:t>et al.,</w:t>
      </w:r>
      <w:r>
        <w:rPr>
          <w:rFonts w:ascii="Arial" w:hAnsi="Arial" w:cs="Arial"/>
        </w:rPr>
        <w:t xml:space="preserve"> 2003. Pg 76). The term holistic means dealing with something, even if the whole can be subdivided into smaller groups. In Early Years practice, holistic development means that, from birth, the learning, growth and development of young children are interdependent and concurrent. Holistic development can be identified as being born in the 18</w:t>
      </w:r>
      <w:r w:rsidRPr="006C3178">
        <w:rPr>
          <w:rFonts w:ascii="Arial" w:hAnsi="Arial" w:cs="Arial"/>
          <w:vertAlign w:val="superscript"/>
        </w:rPr>
        <w:t>th</w:t>
      </w:r>
      <w:r>
        <w:rPr>
          <w:rFonts w:ascii="Arial" w:hAnsi="Arial" w:cs="Arial"/>
        </w:rPr>
        <w:t xml:space="preserve"> or 19</w:t>
      </w:r>
      <w:r w:rsidRPr="006C3178">
        <w:rPr>
          <w:rFonts w:ascii="Arial" w:hAnsi="Arial" w:cs="Arial"/>
          <w:vertAlign w:val="superscript"/>
        </w:rPr>
        <w:t>th</w:t>
      </w:r>
      <w:r>
        <w:rPr>
          <w:rFonts w:ascii="Arial" w:hAnsi="Arial" w:cs="Arial"/>
        </w:rPr>
        <w:t xml:space="preserve"> century. According to a journal by Lydia </w:t>
      </w:r>
      <w:proofErr w:type="spellStart"/>
      <w:r>
        <w:rPr>
          <w:rFonts w:ascii="Arial" w:hAnsi="Arial" w:cs="Arial"/>
        </w:rPr>
        <w:t>Scaltsas</w:t>
      </w:r>
      <w:proofErr w:type="spellEnd"/>
      <w:r>
        <w:rPr>
          <w:rFonts w:ascii="Arial" w:hAnsi="Arial" w:cs="Arial"/>
        </w:rPr>
        <w:t xml:space="preserve"> in Edinburgh, German educator Friedrich Froebel most likely identified holistic development by allowing children to learn and create styles using their own initiative (</w:t>
      </w:r>
      <w:hyperlink r:id="rId6" w:history="1">
        <w:r w:rsidRPr="009D162E">
          <w:rPr>
            <w:rStyle w:val="Hyperlink"/>
            <w:rFonts w:ascii="Arial" w:hAnsi="Arial" w:cs="Arial"/>
          </w:rPr>
          <w:t>https://lydias-tuition.co.uk/what-is-holistic-development/</w:t>
        </w:r>
      </w:hyperlink>
      <w:r>
        <w:rPr>
          <w:rFonts w:ascii="Arial" w:hAnsi="Arial" w:cs="Arial"/>
        </w:rPr>
        <w:t>). When considering holistic development in relation to providing a service to a child is it important to consider the United Nations Convention of the rights of a Child (UNCRC) The rights are of equal importance to every child and consists of 54 articles. Articles 31 (relax and play), Article 13 (freedom of expression), Article 28 (an education), Article 27 (sufficient standard of living) and Article 24 (health and health services) are paramount in a child’s holistic development.</w:t>
      </w:r>
    </w:p>
    <w:p w14:paraId="050917DE" w14:textId="77777777" w:rsidR="00AC214B" w:rsidRDefault="00AC214B" w:rsidP="00AC214B">
      <w:pPr>
        <w:spacing w:line="360" w:lineRule="auto"/>
        <w:rPr>
          <w:rFonts w:ascii="Arial" w:hAnsi="Arial" w:cs="Arial"/>
        </w:rPr>
      </w:pPr>
    </w:p>
    <w:p w14:paraId="48E54078" w14:textId="77777777" w:rsidR="00AC214B" w:rsidRDefault="00AC214B" w:rsidP="00AC214B">
      <w:pPr>
        <w:spacing w:line="360" w:lineRule="auto"/>
        <w:jc w:val="center"/>
        <w:rPr>
          <w:rFonts w:ascii="Arial" w:hAnsi="Arial" w:cs="Arial"/>
        </w:rPr>
      </w:pPr>
      <w:r>
        <w:rPr>
          <w:rFonts w:ascii="Arial" w:hAnsi="Arial" w:cs="Arial"/>
        </w:rPr>
        <w:t>Relationships</w:t>
      </w:r>
    </w:p>
    <w:p w14:paraId="1DE70480" w14:textId="77777777" w:rsidR="00AC214B" w:rsidRPr="001B1E05" w:rsidRDefault="00AC214B" w:rsidP="00AC214B">
      <w:pPr>
        <w:spacing w:line="360" w:lineRule="auto"/>
        <w:rPr>
          <w:rFonts w:ascii="Arial" w:hAnsi="Arial" w:cs="Arial"/>
          <w:u w:val="single"/>
        </w:rPr>
      </w:pPr>
      <w:r>
        <w:rPr>
          <w:rFonts w:ascii="Arial" w:hAnsi="Arial" w:cs="Arial"/>
        </w:rPr>
        <w:t xml:space="preserve">When understanding the concept of holistic child development, it is vital to consider positive relationships. A positive relationship is built when a child develops an attachment with an adult. This attachment develops when a child feels a sense of respect from a trusted adult. This could be shown by the adult being attentive when being spoken to, listening to what has been said and responding appropriately in a respectful and caring manner. Urie Bronfenbrenner’s theories highlight the role of relationships in a child’s development. Within his theory and the microsystem, he identifies the requirement of a parent – child relationship to be nurturing, responsive and supportive; practitioner – child relationship to be a positive caring relationship and peer relationships to provide opportunities for social learning, cooperation and developing social skills. Abraham Maslow’s theory and Urie Bronfenbrenner’s theory </w:t>
      </w:r>
      <w:r>
        <w:rPr>
          <w:rFonts w:ascii="Arial" w:hAnsi="Arial" w:cs="Arial"/>
        </w:rPr>
        <w:lastRenderedPageBreak/>
        <w:t xml:space="preserve">correlate together in relation to developing relationships. When working within the Early Years, settings where practitioners have the most influence to build self-esteem, self-confidence and resilience provide a positive influence on babies and young children (Brodie, 2018). Similarly to Bronfenbrenner, John Bowlby’s theory of attachment identifies ‘that all children need a stable and secure relationship with at least one caregiver for healthy socioemotional development’. He believed there are two styles of attachment – secure and insecure. Hostettler </w:t>
      </w:r>
      <w:proofErr w:type="spellStart"/>
      <w:r>
        <w:rPr>
          <w:rFonts w:ascii="Arial" w:hAnsi="Arial" w:cs="Arial"/>
        </w:rPr>
        <w:t>Sch</w:t>
      </w:r>
      <w:r>
        <w:rPr>
          <w:rFonts w:ascii="Arial" w:hAnsi="Arial" w:cs="Arial"/>
          <w:u w:val="single"/>
        </w:rPr>
        <w:t>är</w:t>
      </w:r>
      <w:r w:rsidRPr="001B2A71">
        <w:rPr>
          <w:rFonts w:ascii="Arial" w:hAnsi="Arial" w:cs="Arial"/>
        </w:rPr>
        <w:t>er</w:t>
      </w:r>
      <w:proofErr w:type="spellEnd"/>
      <w:r w:rsidRPr="001B2A71">
        <w:rPr>
          <w:rFonts w:ascii="Arial" w:hAnsi="Arial" w:cs="Arial"/>
        </w:rPr>
        <w:t>, J (2018)</w:t>
      </w:r>
      <w:r>
        <w:rPr>
          <w:rFonts w:ascii="Arial" w:hAnsi="Arial" w:cs="Arial"/>
        </w:rPr>
        <w:t xml:space="preserve">. In connection with Mary Ainsworth, Bowlby developed the theory of attachment further. After researching with Bowlby, Ainsworth developed an assessment technique called ‘Strange Situation Classification’ (SCS) to investigate how attachments may vary between children. She then identified three main styles, secure, insecure and avoidant, which became four styles after later identifying disorganized as an attachment style. ‘Ainsworth’s (1971, 1978) results provided the first empirical evidence for Bowlby’s (1969) theory of internal working models of attachment relationships. (Ainsworth, </w:t>
      </w:r>
      <w:r w:rsidRPr="009E4D43">
        <w:rPr>
          <w:rFonts w:ascii="Arial" w:hAnsi="Arial" w:cs="Arial"/>
          <w:i/>
          <w:iCs/>
        </w:rPr>
        <w:t>et al</w:t>
      </w:r>
      <w:r>
        <w:rPr>
          <w:rFonts w:ascii="Arial" w:hAnsi="Arial" w:cs="Arial"/>
        </w:rPr>
        <w:t>., 1978)</w:t>
      </w:r>
    </w:p>
    <w:p w14:paraId="42A47239" w14:textId="77777777" w:rsidR="00AC214B" w:rsidRDefault="00AC214B" w:rsidP="00AC214B">
      <w:pPr>
        <w:spacing w:line="360" w:lineRule="auto"/>
        <w:rPr>
          <w:rFonts w:ascii="Arial" w:hAnsi="Arial" w:cs="Arial"/>
        </w:rPr>
      </w:pPr>
    </w:p>
    <w:p w14:paraId="39BED8BD" w14:textId="77777777" w:rsidR="00AC214B" w:rsidRDefault="00AC214B" w:rsidP="00AC214B">
      <w:pPr>
        <w:spacing w:line="360" w:lineRule="auto"/>
        <w:jc w:val="center"/>
        <w:rPr>
          <w:rFonts w:ascii="Arial" w:hAnsi="Arial" w:cs="Arial"/>
        </w:rPr>
      </w:pPr>
      <w:r>
        <w:rPr>
          <w:rFonts w:ascii="Arial" w:hAnsi="Arial" w:cs="Arial"/>
        </w:rPr>
        <w:t>Safety</w:t>
      </w:r>
    </w:p>
    <w:p w14:paraId="698D90F1" w14:textId="77777777" w:rsidR="00AC214B" w:rsidRDefault="00AC214B" w:rsidP="00AC214B">
      <w:pPr>
        <w:spacing w:line="360" w:lineRule="auto"/>
        <w:rPr>
          <w:rFonts w:ascii="Arial" w:hAnsi="Arial" w:cs="Arial"/>
        </w:rPr>
      </w:pPr>
      <w:r>
        <w:rPr>
          <w:rFonts w:ascii="Arial" w:hAnsi="Arial" w:cs="Arial"/>
        </w:rPr>
        <w:t xml:space="preserve">Along with developing positive relationships and attachments to ensure a child’s needs according to Maslow’s Hierarchy of needs are being met, a child’s safety needs to be considered. The concept of safety is providing an environment or service which prevents harm. In practice this is an environment where any potential risks are minimised. It is an environment that promotes physical and emotional well-being and ensures that a child’s needs are being met. Ensuring a safe environment is created requires constant monitoring and adaptions for the changing needs and abilities of the children to develop. Vygotsky (1934) believed ‘that community plays a central role in the process of making meaning’. A child’s behaviour will often show if they feel safe and secure in their environment. Behaviour is often referred to as a form of communication. Young Children will communicate in this way due their brain still developing and they may not have the words to communicate verbally. Dr Dan Siegel has a visual prompt called the ‘hand model of the brain’. This prompt offers an understanding of the emotions a child may be feeling. The model offers a representation of the thumb as the ‘downstairs brain’. This part cares about protecting and keeping safe and oversees one’s big emotions and the fingers of the hand represents the ‘upstairs brain’. The part is responsible for problem solving, </w:t>
      </w:r>
      <w:r>
        <w:rPr>
          <w:rFonts w:ascii="Arial" w:hAnsi="Arial" w:cs="Arial"/>
        </w:rPr>
        <w:lastRenderedPageBreak/>
        <w:t>logic and reasoning. When a child ‘flips their lid’ they’re connections between upstairs and downstairs brain may not be developed. They would require an adult to assist them to regulate and understand these emotions. (Welsh Government 2)</w:t>
      </w:r>
    </w:p>
    <w:p w14:paraId="76FE55EC" w14:textId="77777777" w:rsidR="00AC214B" w:rsidRDefault="00AC214B" w:rsidP="00AC214B">
      <w:pPr>
        <w:spacing w:line="360" w:lineRule="auto"/>
        <w:rPr>
          <w:rFonts w:ascii="Arial" w:hAnsi="Arial" w:cs="Arial"/>
        </w:rPr>
      </w:pPr>
    </w:p>
    <w:p w14:paraId="16333FEA" w14:textId="77777777" w:rsidR="00AC214B" w:rsidRDefault="00AC214B" w:rsidP="00AC214B">
      <w:pPr>
        <w:spacing w:line="360" w:lineRule="auto"/>
        <w:jc w:val="center"/>
        <w:rPr>
          <w:rFonts w:ascii="Arial" w:hAnsi="Arial" w:cs="Arial"/>
        </w:rPr>
      </w:pPr>
      <w:r>
        <w:rPr>
          <w:rFonts w:ascii="Arial" w:hAnsi="Arial" w:cs="Arial"/>
        </w:rPr>
        <w:t>Well-being</w:t>
      </w:r>
    </w:p>
    <w:p w14:paraId="4727AD2E" w14:textId="77777777" w:rsidR="00AC214B" w:rsidRDefault="00AC214B" w:rsidP="00AC214B">
      <w:pPr>
        <w:spacing w:line="360" w:lineRule="auto"/>
        <w:rPr>
          <w:rFonts w:ascii="Arial" w:hAnsi="Arial" w:cs="Arial"/>
        </w:rPr>
      </w:pPr>
      <w:r>
        <w:rPr>
          <w:rFonts w:ascii="Arial" w:hAnsi="Arial" w:cs="Arial"/>
        </w:rPr>
        <w:t xml:space="preserve">Well-being is a complex combination of a person’s physical, mental, emotional and social health factors. According to the Welsh Government ‘Well-being and Childhood Well-Being in particular, are widely used concepts but have a weak theoretical basis.’ (Welsh Government 1). When considering well-being in childhood it is multi-dimensional meaning that it includes dimensions of physical, emotional and social well-being. This should focus on a child’s immediate life but also consider their future to provide a holistic approach. According to UNICEF (2007), they compared data on a child’s well-being, of children in poverty and children in ‘rich’ countries. The report was disregarded due to </w:t>
      </w:r>
      <w:proofErr w:type="gramStart"/>
      <w:r>
        <w:rPr>
          <w:rFonts w:ascii="Arial" w:hAnsi="Arial" w:cs="Arial"/>
        </w:rPr>
        <w:t>a number of</w:t>
      </w:r>
      <w:proofErr w:type="gramEnd"/>
      <w:r>
        <w:rPr>
          <w:rFonts w:ascii="Arial" w:hAnsi="Arial" w:cs="Arial"/>
        </w:rPr>
        <w:t xml:space="preserve"> limitations on the data including, bias towards information on older children; data not disaggregated by child characteristics such as age, sex and ethnicity and key information being unavailable in some countries. (UNICEF, 2007). According to Lydia </w:t>
      </w:r>
      <w:proofErr w:type="spellStart"/>
      <w:r>
        <w:rPr>
          <w:rFonts w:ascii="Arial" w:hAnsi="Arial" w:cs="Arial"/>
        </w:rPr>
        <w:t>Scaltsas’s</w:t>
      </w:r>
      <w:proofErr w:type="spellEnd"/>
      <w:r>
        <w:rPr>
          <w:rFonts w:ascii="Arial" w:hAnsi="Arial" w:cs="Arial"/>
        </w:rPr>
        <w:t xml:space="preserve"> guide for Nursery’s and School’s in Edinburgh, wellbeing is part of a child’s intellectual and emotional development. She refers to it as spiritual wellbeing, this is not religious but relates to where a child feels their place within the world. This concept may seem too much for a child to understand however, childhood is where a child experiences fundamental thoughts and reasonings and where their experiences develop their future.</w:t>
      </w:r>
    </w:p>
    <w:p w14:paraId="582B87E4" w14:textId="77777777" w:rsidR="00AC214B" w:rsidRDefault="00AC214B" w:rsidP="00AC214B">
      <w:pPr>
        <w:spacing w:line="360" w:lineRule="auto"/>
        <w:rPr>
          <w:rFonts w:ascii="Arial" w:hAnsi="Arial" w:cs="Arial"/>
        </w:rPr>
      </w:pPr>
    </w:p>
    <w:p w14:paraId="190908ED" w14:textId="77777777" w:rsidR="00AC214B" w:rsidRDefault="00AC214B" w:rsidP="00AC214B">
      <w:pPr>
        <w:spacing w:line="360" w:lineRule="auto"/>
        <w:jc w:val="center"/>
        <w:rPr>
          <w:rFonts w:ascii="Arial" w:hAnsi="Arial" w:cs="Arial"/>
        </w:rPr>
      </w:pPr>
      <w:r>
        <w:rPr>
          <w:rFonts w:ascii="Arial" w:hAnsi="Arial" w:cs="Arial"/>
        </w:rPr>
        <w:t>Conclusion</w:t>
      </w:r>
    </w:p>
    <w:p w14:paraId="0AA83070" w14:textId="77777777" w:rsidR="00AC214B" w:rsidRDefault="00AC214B" w:rsidP="00AC214B">
      <w:pPr>
        <w:spacing w:line="360" w:lineRule="auto"/>
        <w:rPr>
          <w:rFonts w:ascii="Arial" w:hAnsi="Arial" w:cs="Arial"/>
        </w:rPr>
      </w:pPr>
      <w:r>
        <w:rPr>
          <w:rFonts w:ascii="Arial" w:hAnsi="Arial" w:cs="Arial"/>
        </w:rPr>
        <w:t xml:space="preserve">In this chapter the concepts of holistic development have been identified in the view of Abraham Maslow and other theorists who have developed theories that relate to a child’s holistic development. </w:t>
      </w:r>
    </w:p>
    <w:p w14:paraId="7156DEF9" w14:textId="77777777" w:rsidR="00AC214B" w:rsidRPr="00575996" w:rsidRDefault="00AC214B" w:rsidP="00AC214B">
      <w:pPr>
        <w:spacing w:line="360" w:lineRule="auto"/>
        <w:jc w:val="center"/>
        <w:rPr>
          <w:rFonts w:ascii="Arial" w:hAnsi="Arial" w:cs="Arial"/>
          <w:sz w:val="28"/>
          <w:szCs w:val="28"/>
        </w:rPr>
      </w:pPr>
    </w:p>
    <w:p w14:paraId="2CB4EFB1" w14:textId="77777777" w:rsidR="00AC214B" w:rsidRDefault="00AC214B" w:rsidP="00AC214B">
      <w:pPr>
        <w:spacing w:line="360" w:lineRule="auto"/>
        <w:jc w:val="center"/>
        <w:rPr>
          <w:rFonts w:ascii="Arial" w:hAnsi="Arial" w:cs="Arial"/>
        </w:rPr>
      </w:pPr>
    </w:p>
    <w:p w14:paraId="345C2F18" w14:textId="77777777" w:rsidR="00AC214B" w:rsidRDefault="00AC214B" w:rsidP="00AC214B">
      <w:pPr>
        <w:spacing w:line="360" w:lineRule="auto"/>
        <w:jc w:val="center"/>
        <w:rPr>
          <w:rFonts w:ascii="Arial" w:hAnsi="Arial" w:cs="Arial"/>
        </w:rPr>
      </w:pPr>
    </w:p>
    <w:p w14:paraId="4F8784BC" w14:textId="77777777" w:rsidR="00AC214B" w:rsidRDefault="00AC214B" w:rsidP="00AC214B">
      <w:pPr>
        <w:spacing w:line="360" w:lineRule="auto"/>
        <w:jc w:val="center"/>
        <w:rPr>
          <w:rFonts w:ascii="Arial" w:hAnsi="Arial" w:cs="Arial"/>
        </w:rPr>
      </w:pPr>
    </w:p>
    <w:p w14:paraId="1CFBF20C" w14:textId="77777777" w:rsidR="00AC214B" w:rsidRDefault="00AC214B" w:rsidP="00AC214B">
      <w:pPr>
        <w:spacing w:line="360" w:lineRule="auto"/>
        <w:jc w:val="center"/>
        <w:rPr>
          <w:rFonts w:ascii="Arial" w:hAnsi="Arial" w:cs="Arial"/>
        </w:rPr>
      </w:pPr>
    </w:p>
    <w:p w14:paraId="0881705C" w14:textId="77777777" w:rsidR="00AC214B" w:rsidRDefault="00AC214B" w:rsidP="00AC214B">
      <w:pPr>
        <w:spacing w:line="360" w:lineRule="auto"/>
        <w:jc w:val="center"/>
        <w:rPr>
          <w:rFonts w:ascii="Arial" w:hAnsi="Arial" w:cs="Arial"/>
        </w:rPr>
      </w:pPr>
    </w:p>
    <w:p w14:paraId="68C01D29" w14:textId="77777777" w:rsidR="00AC214B" w:rsidRDefault="00AC214B" w:rsidP="00AC214B">
      <w:pPr>
        <w:spacing w:line="360" w:lineRule="auto"/>
        <w:jc w:val="center"/>
        <w:rPr>
          <w:rFonts w:ascii="Arial" w:hAnsi="Arial" w:cs="Arial"/>
        </w:rPr>
      </w:pPr>
    </w:p>
    <w:p w14:paraId="2D2BA063" w14:textId="77777777" w:rsidR="00AC214B" w:rsidRDefault="00AC214B" w:rsidP="00AC214B">
      <w:pPr>
        <w:spacing w:line="360" w:lineRule="auto"/>
        <w:jc w:val="center"/>
        <w:rPr>
          <w:rFonts w:ascii="Arial" w:hAnsi="Arial" w:cs="Arial"/>
        </w:rPr>
      </w:pPr>
    </w:p>
    <w:p w14:paraId="7DB4BE6B" w14:textId="77777777" w:rsidR="00AC214B" w:rsidRDefault="00AC214B" w:rsidP="00AC214B">
      <w:pPr>
        <w:spacing w:line="360" w:lineRule="auto"/>
        <w:jc w:val="center"/>
        <w:rPr>
          <w:rFonts w:ascii="Arial" w:hAnsi="Arial" w:cs="Arial"/>
        </w:rPr>
      </w:pPr>
    </w:p>
    <w:p w14:paraId="19FA0184" w14:textId="77777777" w:rsidR="00AC214B" w:rsidRDefault="00AC214B" w:rsidP="00AC214B">
      <w:pPr>
        <w:spacing w:line="360" w:lineRule="auto"/>
        <w:jc w:val="center"/>
        <w:rPr>
          <w:rFonts w:ascii="Arial" w:hAnsi="Arial" w:cs="Arial"/>
        </w:rPr>
      </w:pPr>
    </w:p>
    <w:p w14:paraId="2718D4FC" w14:textId="77777777" w:rsidR="00AC214B" w:rsidRDefault="00AC214B" w:rsidP="00AC214B">
      <w:pPr>
        <w:spacing w:line="360" w:lineRule="auto"/>
        <w:jc w:val="center"/>
        <w:rPr>
          <w:rFonts w:ascii="Arial" w:hAnsi="Arial" w:cs="Arial"/>
        </w:rPr>
      </w:pPr>
    </w:p>
    <w:p w14:paraId="7EAF8B94" w14:textId="77777777" w:rsidR="00AC214B" w:rsidRDefault="00AC214B" w:rsidP="00AC214B">
      <w:pPr>
        <w:spacing w:line="360" w:lineRule="auto"/>
        <w:jc w:val="center"/>
        <w:rPr>
          <w:rFonts w:ascii="Arial" w:hAnsi="Arial" w:cs="Arial"/>
        </w:rPr>
      </w:pPr>
    </w:p>
    <w:p w14:paraId="2F8AAA46" w14:textId="77777777" w:rsidR="00AC214B" w:rsidRDefault="00AC214B" w:rsidP="00AC214B">
      <w:pPr>
        <w:spacing w:line="360" w:lineRule="auto"/>
        <w:jc w:val="center"/>
        <w:rPr>
          <w:rFonts w:ascii="Arial" w:hAnsi="Arial" w:cs="Arial"/>
        </w:rPr>
      </w:pPr>
    </w:p>
    <w:p w14:paraId="75B2FC7E" w14:textId="77777777" w:rsidR="00AC214B" w:rsidRDefault="00AC214B" w:rsidP="00AC214B">
      <w:pPr>
        <w:spacing w:line="360" w:lineRule="auto"/>
        <w:jc w:val="center"/>
        <w:rPr>
          <w:rFonts w:ascii="Arial" w:hAnsi="Arial" w:cs="Arial"/>
        </w:rPr>
      </w:pPr>
    </w:p>
    <w:p w14:paraId="6E8D6F66" w14:textId="77777777" w:rsidR="00AC214B" w:rsidRDefault="00AC214B" w:rsidP="00AC214B">
      <w:pPr>
        <w:spacing w:line="360" w:lineRule="auto"/>
        <w:jc w:val="center"/>
        <w:rPr>
          <w:rFonts w:ascii="Arial" w:hAnsi="Arial" w:cs="Arial"/>
        </w:rPr>
      </w:pPr>
    </w:p>
    <w:p w14:paraId="42F77F09" w14:textId="77777777" w:rsidR="00AC214B" w:rsidRDefault="00AC214B" w:rsidP="00AC214B">
      <w:pPr>
        <w:spacing w:line="360" w:lineRule="auto"/>
        <w:jc w:val="center"/>
        <w:rPr>
          <w:rFonts w:ascii="Arial" w:hAnsi="Arial" w:cs="Arial"/>
        </w:rPr>
      </w:pPr>
    </w:p>
    <w:p w14:paraId="2BD15429" w14:textId="77777777" w:rsidR="00AC214B" w:rsidRDefault="00AC214B" w:rsidP="00AC214B">
      <w:pPr>
        <w:spacing w:line="360" w:lineRule="auto"/>
        <w:jc w:val="center"/>
        <w:rPr>
          <w:rFonts w:ascii="Arial" w:hAnsi="Arial" w:cs="Arial"/>
        </w:rPr>
      </w:pPr>
    </w:p>
    <w:p w14:paraId="18968535" w14:textId="77777777" w:rsidR="00AC214B" w:rsidRDefault="00AC214B" w:rsidP="00AC214B">
      <w:pPr>
        <w:spacing w:line="360" w:lineRule="auto"/>
        <w:jc w:val="center"/>
        <w:rPr>
          <w:rFonts w:ascii="Arial" w:hAnsi="Arial" w:cs="Arial"/>
        </w:rPr>
      </w:pPr>
    </w:p>
    <w:p w14:paraId="618113B3" w14:textId="77777777" w:rsidR="00AC214B" w:rsidRDefault="00AC214B" w:rsidP="00AC214B">
      <w:pPr>
        <w:spacing w:line="360" w:lineRule="auto"/>
        <w:jc w:val="center"/>
        <w:rPr>
          <w:rFonts w:ascii="Arial" w:hAnsi="Arial" w:cs="Arial"/>
        </w:rPr>
      </w:pPr>
    </w:p>
    <w:p w14:paraId="2FDDA4E0" w14:textId="77777777" w:rsidR="00AC214B" w:rsidRDefault="00AC214B" w:rsidP="00AC214B">
      <w:pPr>
        <w:spacing w:line="360" w:lineRule="auto"/>
        <w:jc w:val="center"/>
        <w:rPr>
          <w:rFonts w:ascii="Arial" w:hAnsi="Arial" w:cs="Arial"/>
        </w:rPr>
      </w:pPr>
    </w:p>
    <w:p w14:paraId="650AFFF6" w14:textId="77777777" w:rsidR="00AC214B" w:rsidRDefault="00AC214B" w:rsidP="00AC214B">
      <w:pPr>
        <w:spacing w:line="360" w:lineRule="auto"/>
        <w:jc w:val="center"/>
        <w:rPr>
          <w:rFonts w:ascii="Arial" w:hAnsi="Arial" w:cs="Arial"/>
        </w:rPr>
      </w:pPr>
    </w:p>
    <w:p w14:paraId="720A715B" w14:textId="77777777" w:rsidR="00AC214B" w:rsidRDefault="00AC214B" w:rsidP="00AC214B">
      <w:pPr>
        <w:spacing w:line="360" w:lineRule="auto"/>
        <w:jc w:val="center"/>
        <w:rPr>
          <w:rFonts w:ascii="Arial" w:hAnsi="Arial" w:cs="Arial"/>
        </w:rPr>
      </w:pPr>
    </w:p>
    <w:p w14:paraId="15ABACF8" w14:textId="77777777" w:rsidR="00AC214B" w:rsidRDefault="00AC214B" w:rsidP="00AC214B">
      <w:pPr>
        <w:spacing w:line="360" w:lineRule="auto"/>
        <w:jc w:val="center"/>
        <w:rPr>
          <w:rFonts w:ascii="Arial" w:hAnsi="Arial" w:cs="Arial"/>
        </w:rPr>
      </w:pPr>
    </w:p>
    <w:p w14:paraId="761751C6" w14:textId="77777777" w:rsidR="00AC214B" w:rsidRDefault="00AC214B" w:rsidP="00AC214B">
      <w:pPr>
        <w:spacing w:line="360" w:lineRule="auto"/>
        <w:jc w:val="center"/>
        <w:rPr>
          <w:rFonts w:ascii="Arial" w:hAnsi="Arial" w:cs="Arial"/>
        </w:rPr>
      </w:pPr>
    </w:p>
    <w:p w14:paraId="77A91528" w14:textId="77777777" w:rsidR="00AC214B" w:rsidRDefault="00AC214B" w:rsidP="00AC214B">
      <w:pPr>
        <w:spacing w:line="360" w:lineRule="auto"/>
        <w:jc w:val="center"/>
        <w:rPr>
          <w:rFonts w:ascii="Arial" w:hAnsi="Arial" w:cs="Arial"/>
        </w:rPr>
      </w:pPr>
    </w:p>
    <w:p w14:paraId="2C9DA5E1" w14:textId="77777777" w:rsidR="00AC214B" w:rsidRDefault="00AC214B" w:rsidP="00AC214B">
      <w:pPr>
        <w:spacing w:line="360" w:lineRule="auto"/>
        <w:rPr>
          <w:rFonts w:ascii="Arial" w:hAnsi="Arial" w:cs="Arial"/>
        </w:rPr>
      </w:pPr>
    </w:p>
    <w:p w14:paraId="36F17671" w14:textId="77777777" w:rsidR="00AC214B" w:rsidRDefault="00AC214B" w:rsidP="00AC214B">
      <w:pPr>
        <w:spacing w:line="360" w:lineRule="auto"/>
        <w:jc w:val="center"/>
        <w:rPr>
          <w:rFonts w:ascii="Arial" w:hAnsi="Arial" w:cs="Arial"/>
        </w:rPr>
      </w:pPr>
    </w:p>
    <w:p w14:paraId="68598E63" w14:textId="77777777" w:rsidR="00AC214B" w:rsidRPr="00A40B6F" w:rsidRDefault="00AC214B" w:rsidP="00AC214B">
      <w:pPr>
        <w:spacing w:line="360" w:lineRule="auto"/>
        <w:jc w:val="center"/>
        <w:rPr>
          <w:rFonts w:ascii="Arial" w:hAnsi="Arial" w:cs="Arial"/>
        </w:rPr>
      </w:pPr>
      <w:r w:rsidRPr="00A40B6F">
        <w:rPr>
          <w:rFonts w:ascii="Arial" w:hAnsi="Arial" w:cs="Arial"/>
        </w:rPr>
        <w:t>Maslow’s significance in understanding child development</w:t>
      </w:r>
    </w:p>
    <w:p w14:paraId="4EB854CA" w14:textId="77777777" w:rsidR="00AC214B" w:rsidRPr="00A40B6F" w:rsidRDefault="00AC214B" w:rsidP="00AC214B">
      <w:pPr>
        <w:spacing w:line="360" w:lineRule="auto"/>
        <w:rPr>
          <w:rFonts w:ascii="Arial" w:hAnsi="Arial" w:cs="Arial"/>
        </w:rPr>
      </w:pPr>
    </w:p>
    <w:p w14:paraId="1099A7A5" w14:textId="77777777" w:rsidR="00AC214B" w:rsidRPr="00A40B6F" w:rsidRDefault="00AC214B" w:rsidP="00AC214B">
      <w:pPr>
        <w:spacing w:line="360" w:lineRule="auto"/>
        <w:jc w:val="center"/>
        <w:rPr>
          <w:rFonts w:ascii="Arial" w:hAnsi="Arial" w:cs="Arial"/>
        </w:rPr>
      </w:pPr>
      <w:r w:rsidRPr="00A40B6F">
        <w:rPr>
          <w:rFonts w:ascii="Arial" w:hAnsi="Arial" w:cs="Arial"/>
        </w:rPr>
        <w:t>Introduction</w:t>
      </w:r>
    </w:p>
    <w:p w14:paraId="71C12BBF" w14:textId="77777777" w:rsidR="00AC214B" w:rsidRPr="00A40B6F" w:rsidRDefault="00AC214B" w:rsidP="00AC214B">
      <w:pPr>
        <w:spacing w:line="360" w:lineRule="auto"/>
        <w:rPr>
          <w:rFonts w:ascii="Arial" w:hAnsi="Arial" w:cs="Arial"/>
        </w:rPr>
      </w:pPr>
      <w:r w:rsidRPr="00A40B6F">
        <w:rPr>
          <w:rFonts w:ascii="Arial" w:hAnsi="Arial" w:cs="Arial"/>
        </w:rPr>
        <w:t>In this part of the portfolio there will be an exploration of three examples from Early Years practice to highlight Maslow’s Hierarchy of needs. The examples will show the significance of understanding the links between Maslow’s Hierarchy of needs and the examples. The three examples in this portfolio will be ‘Understanding the importance of basic needs’, ‘Creating a safe and stable environment’, and ‘the transition journey’.</w:t>
      </w:r>
    </w:p>
    <w:p w14:paraId="1AB8312E" w14:textId="77777777" w:rsidR="00AC214B" w:rsidRPr="00A40B6F" w:rsidRDefault="00AC214B" w:rsidP="00AC214B">
      <w:pPr>
        <w:spacing w:line="360" w:lineRule="auto"/>
        <w:rPr>
          <w:rFonts w:ascii="Arial" w:hAnsi="Arial" w:cs="Arial"/>
        </w:rPr>
      </w:pPr>
    </w:p>
    <w:p w14:paraId="27436FAE" w14:textId="77777777" w:rsidR="00AC214B" w:rsidRPr="00A40B6F" w:rsidRDefault="00AC214B" w:rsidP="00AC214B">
      <w:pPr>
        <w:spacing w:line="360" w:lineRule="auto"/>
        <w:rPr>
          <w:rFonts w:ascii="Arial" w:hAnsi="Arial" w:cs="Arial"/>
        </w:rPr>
      </w:pPr>
      <w:r w:rsidRPr="00A40B6F">
        <w:rPr>
          <w:rFonts w:ascii="Arial" w:hAnsi="Arial" w:cs="Arial"/>
        </w:rPr>
        <w:t>The following paragraphs will explain the three examples of Early Years Practice that highlight Maslow’s Hierarchy of needs.</w:t>
      </w:r>
    </w:p>
    <w:p w14:paraId="61202201" w14:textId="77777777" w:rsidR="00AC214B" w:rsidRPr="00A40B6F" w:rsidRDefault="00AC214B" w:rsidP="00AC214B">
      <w:pPr>
        <w:pStyle w:val="ListParagraph"/>
        <w:numPr>
          <w:ilvl w:val="0"/>
          <w:numId w:val="1"/>
        </w:numPr>
        <w:spacing w:line="360" w:lineRule="auto"/>
        <w:rPr>
          <w:rFonts w:ascii="Arial" w:hAnsi="Arial" w:cs="Arial"/>
        </w:rPr>
      </w:pPr>
      <w:r w:rsidRPr="00A40B6F">
        <w:rPr>
          <w:rFonts w:ascii="Arial" w:hAnsi="Arial" w:cs="Arial"/>
        </w:rPr>
        <w:t>Understanding the importance of basic needs</w:t>
      </w:r>
    </w:p>
    <w:p w14:paraId="28C55842" w14:textId="77777777" w:rsidR="00AC214B" w:rsidRPr="00A40B6F" w:rsidRDefault="00AC214B" w:rsidP="00AC214B">
      <w:pPr>
        <w:spacing w:line="360" w:lineRule="auto"/>
        <w:rPr>
          <w:rFonts w:ascii="Arial" w:hAnsi="Arial" w:cs="Arial"/>
        </w:rPr>
      </w:pPr>
      <w:r w:rsidRPr="00A40B6F">
        <w:rPr>
          <w:rFonts w:ascii="Arial" w:hAnsi="Arial" w:cs="Arial"/>
        </w:rPr>
        <w:lastRenderedPageBreak/>
        <w:t>Maslow’s work has highlighted the understanding of child development. When providing a holistic approach, it emphasises the importance of understanding a child’s basic needs before expecting a child to engage in learning activities.</w:t>
      </w:r>
    </w:p>
    <w:p w14:paraId="35D791ED" w14:textId="77777777" w:rsidR="00AC214B" w:rsidRPr="00A40B6F" w:rsidRDefault="00AC214B" w:rsidP="00AC214B">
      <w:pPr>
        <w:spacing w:line="360" w:lineRule="auto"/>
        <w:rPr>
          <w:rFonts w:ascii="Arial" w:hAnsi="Arial" w:cs="Arial"/>
        </w:rPr>
      </w:pPr>
      <w:r w:rsidRPr="00A40B6F">
        <w:rPr>
          <w:rFonts w:ascii="Arial" w:hAnsi="Arial" w:cs="Arial"/>
        </w:rPr>
        <w:t>As an Early Years practitioner when welcoming a child into a new environment there is a need to be open and receptive to ensure the child’s needs can be identified</w:t>
      </w:r>
      <w:r>
        <w:rPr>
          <w:rFonts w:ascii="Arial" w:hAnsi="Arial" w:cs="Arial"/>
        </w:rPr>
        <w:t xml:space="preserve">. </w:t>
      </w:r>
      <w:r w:rsidRPr="00A40B6F">
        <w:rPr>
          <w:rFonts w:ascii="Arial" w:hAnsi="Arial" w:cs="Arial"/>
        </w:rPr>
        <w:t xml:space="preserve">Physiological needs are the first and foremost needs </w:t>
      </w:r>
      <w:r>
        <w:rPr>
          <w:rFonts w:ascii="Arial" w:hAnsi="Arial" w:cs="Arial"/>
        </w:rPr>
        <w:t xml:space="preserve">of </w:t>
      </w:r>
      <w:r w:rsidRPr="00A40B6F">
        <w:rPr>
          <w:rFonts w:ascii="Arial" w:hAnsi="Arial" w:cs="Arial"/>
        </w:rPr>
        <w:t>a child. They include food, water, fresh air and rest. It is good practice within a setting</w:t>
      </w:r>
      <w:r>
        <w:rPr>
          <w:rFonts w:ascii="Arial" w:hAnsi="Arial" w:cs="Arial"/>
        </w:rPr>
        <w:t>’s</w:t>
      </w:r>
      <w:r w:rsidRPr="00A40B6F">
        <w:rPr>
          <w:rFonts w:ascii="Arial" w:hAnsi="Arial" w:cs="Arial"/>
        </w:rPr>
        <w:t xml:space="preserve"> continuous provision to have a ‘healthy snack and water station’ to allow children to access snacks and water away from preoccupations about being thirsty of hungry. Also, within a setting</w:t>
      </w:r>
      <w:r>
        <w:rPr>
          <w:rFonts w:ascii="Arial" w:hAnsi="Arial" w:cs="Arial"/>
        </w:rPr>
        <w:t>’</w:t>
      </w:r>
      <w:r w:rsidRPr="00A40B6F">
        <w:rPr>
          <w:rFonts w:ascii="Arial" w:hAnsi="Arial" w:cs="Arial"/>
        </w:rPr>
        <w:t>s continuous provision it is recommended to allow children to move freely indoors and outdoors, this meets a child’s need for fresh air and exercise. There is a need for quiet spaces within a setting too. An example of a quiet space within a preschool setting is a reading corner that has walls to create the quiet space with multiple sized cushions and blankets to help a child regulate themselves when they need rest or sleep. Unfortunately, the absence of any of the above can mean that a child may become stressed easily</w:t>
      </w:r>
      <w:r>
        <w:rPr>
          <w:rFonts w:ascii="Arial" w:hAnsi="Arial" w:cs="Arial"/>
        </w:rPr>
        <w:t xml:space="preserve">. </w:t>
      </w:r>
      <w:r w:rsidRPr="00A40B6F">
        <w:rPr>
          <w:rFonts w:ascii="Arial" w:hAnsi="Arial" w:cs="Arial"/>
        </w:rPr>
        <w:t>This may cause connections to inhibit a child’s thinking and learning. Adult’s</w:t>
      </w:r>
      <w:r>
        <w:rPr>
          <w:rFonts w:ascii="Arial" w:hAnsi="Arial" w:cs="Arial"/>
        </w:rPr>
        <w:t xml:space="preserve"> </w:t>
      </w:r>
      <w:r w:rsidRPr="00A40B6F">
        <w:rPr>
          <w:rFonts w:ascii="Arial" w:hAnsi="Arial" w:cs="Arial"/>
        </w:rPr>
        <w:t>also experience this, think how difficult it can be to concentrate if you</w:t>
      </w:r>
      <w:r>
        <w:rPr>
          <w:rFonts w:ascii="Arial" w:hAnsi="Arial" w:cs="Arial"/>
        </w:rPr>
        <w:t xml:space="preserve"> ar</w:t>
      </w:r>
      <w:r w:rsidRPr="00A40B6F">
        <w:rPr>
          <w:rFonts w:ascii="Arial" w:hAnsi="Arial" w:cs="Arial"/>
        </w:rPr>
        <w:t xml:space="preserve">e tired or hungry! By providing a high-quality early year’s environment where the adults are fully involved and engaged in a child’s learning and development, this will enable a child’s physiological needs to be met. (EarlyYears.tv). If a child’s lower-level needs </w:t>
      </w:r>
      <w:r>
        <w:rPr>
          <w:rFonts w:ascii="Arial" w:hAnsi="Arial" w:cs="Arial"/>
        </w:rPr>
        <w:t>are</w:t>
      </w:r>
      <w:r w:rsidRPr="00A40B6F">
        <w:rPr>
          <w:rFonts w:ascii="Arial" w:hAnsi="Arial" w:cs="Arial"/>
        </w:rPr>
        <w:t xml:space="preserve"> not being met, they may display unwanted behaviours or </w:t>
      </w:r>
      <w:r>
        <w:rPr>
          <w:rFonts w:ascii="Arial" w:hAnsi="Arial" w:cs="Arial"/>
        </w:rPr>
        <w:t xml:space="preserve">struggle </w:t>
      </w:r>
      <w:r w:rsidRPr="00A40B6F">
        <w:rPr>
          <w:rFonts w:ascii="Arial" w:hAnsi="Arial" w:cs="Arial"/>
        </w:rPr>
        <w:t xml:space="preserve">to concentrate, </w:t>
      </w:r>
      <w:r>
        <w:rPr>
          <w:rFonts w:ascii="Arial" w:hAnsi="Arial" w:cs="Arial"/>
        </w:rPr>
        <w:t xml:space="preserve">this could come </w:t>
      </w:r>
      <w:r w:rsidRPr="00A40B6F">
        <w:rPr>
          <w:rFonts w:ascii="Arial" w:hAnsi="Arial" w:cs="Arial"/>
        </w:rPr>
        <w:t xml:space="preserve">across as </w:t>
      </w:r>
      <w:r>
        <w:rPr>
          <w:rFonts w:ascii="Arial" w:hAnsi="Arial" w:cs="Arial"/>
        </w:rPr>
        <w:t xml:space="preserve">being </w:t>
      </w:r>
      <w:r w:rsidRPr="00A40B6F">
        <w:rPr>
          <w:rFonts w:ascii="Arial" w:hAnsi="Arial" w:cs="Arial"/>
        </w:rPr>
        <w:t xml:space="preserve">wilfully disobedient. </w:t>
      </w:r>
      <w:r>
        <w:rPr>
          <w:rFonts w:ascii="Arial" w:hAnsi="Arial" w:cs="Arial"/>
        </w:rPr>
        <w:t>U</w:t>
      </w:r>
      <w:r w:rsidRPr="00A40B6F">
        <w:rPr>
          <w:rFonts w:ascii="Arial" w:hAnsi="Arial" w:cs="Arial"/>
        </w:rPr>
        <w:t>nderstand and consider</w:t>
      </w:r>
      <w:r>
        <w:rPr>
          <w:rFonts w:ascii="Arial" w:hAnsi="Arial" w:cs="Arial"/>
        </w:rPr>
        <w:t>ing t</w:t>
      </w:r>
      <w:r w:rsidRPr="00A40B6F">
        <w:rPr>
          <w:rFonts w:ascii="Arial" w:hAnsi="Arial" w:cs="Arial"/>
        </w:rPr>
        <w:t xml:space="preserve">he underlying needs </w:t>
      </w:r>
      <w:r>
        <w:rPr>
          <w:rFonts w:ascii="Arial" w:hAnsi="Arial" w:cs="Arial"/>
        </w:rPr>
        <w:t xml:space="preserve">that </w:t>
      </w:r>
      <w:r w:rsidRPr="00A40B6F">
        <w:rPr>
          <w:rFonts w:ascii="Arial" w:hAnsi="Arial" w:cs="Arial"/>
        </w:rPr>
        <w:t>driv</w:t>
      </w:r>
      <w:r>
        <w:rPr>
          <w:rFonts w:ascii="Arial" w:hAnsi="Arial" w:cs="Arial"/>
        </w:rPr>
        <w:t>e</w:t>
      </w:r>
      <w:r w:rsidRPr="00A40B6F">
        <w:rPr>
          <w:rFonts w:ascii="Arial" w:hAnsi="Arial" w:cs="Arial"/>
        </w:rPr>
        <w:t xml:space="preserve"> behaviours</w:t>
      </w:r>
      <w:r>
        <w:rPr>
          <w:rFonts w:ascii="Arial" w:hAnsi="Arial" w:cs="Arial"/>
        </w:rPr>
        <w:t xml:space="preserve"> is part of the role</w:t>
      </w:r>
      <w:r w:rsidRPr="00A40B6F">
        <w:rPr>
          <w:rFonts w:ascii="Arial" w:hAnsi="Arial" w:cs="Arial"/>
        </w:rPr>
        <w:t xml:space="preserve">. </w:t>
      </w:r>
      <w:r>
        <w:rPr>
          <w:rFonts w:ascii="Arial" w:hAnsi="Arial" w:cs="Arial"/>
        </w:rPr>
        <w:t>‘</w:t>
      </w:r>
      <w:r w:rsidRPr="00A40B6F">
        <w:rPr>
          <w:rFonts w:ascii="Arial" w:hAnsi="Arial" w:cs="Arial"/>
        </w:rPr>
        <w:t>Jean Piaget’s theory of cognitive development focuses on how children actively construct their understanding of the world in different stages</w:t>
      </w:r>
      <w:r>
        <w:rPr>
          <w:rFonts w:ascii="Arial" w:hAnsi="Arial" w:cs="Arial"/>
        </w:rPr>
        <w:t>’</w:t>
      </w:r>
      <w:r w:rsidRPr="00A40B6F">
        <w:rPr>
          <w:rFonts w:ascii="Arial" w:hAnsi="Arial" w:cs="Arial"/>
        </w:rPr>
        <w:t xml:space="preserve">. </w:t>
      </w:r>
      <w:r>
        <w:rPr>
          <w:rFonts w:ascii="Arial" w:hAnsi="Arial" w:cs="Arial"/>
        </w:rPr>
        <w:t>(McLeod,2024). P</w:t>
      </w:r>
      <w:r w:rsidRPr="00A40B6F">
        <w:rPr>
          <w:rFonts w:ascii="Arial" w:hAnsi="Arial" w:cs="Arial"/>
        </w:rPr>
        <w:t xml:space="preserve">iaget’s stages </w:t>
      </w:r>
      <w:r>
        <w:rPr>
          <w:rFonts w:ascii="Arial" w:hAnsi="Arial" w:cs="Arial"/>
        </w:rPr>
        <w:t xml:space="preserve">and </w:t>
      </w:r>
      <w:r w:rsidRPr="00A40B6F">
        <w:rPr>
          <w:rFonts w:ascii="Arial" w:hAnsi="Arial" w:cs="Arial"/>
        </w:rPr>
        <w:t xml:space="preserve">Maslow’s Hierarchy of needs </w:t>
      </w:r>
      <w:r>
        <w:rPr>
          <w:rFonts w:ascii="Arial" w:hAnsi="Arial" w:cs="Arial"/>
        </w:rPr>
        <w:t xml:space="preserve">have some alignment, </w:t>
      </w:r>
      <w:r w:rsidRPr="00A40B6F">
        <w:rPr>
          <w:rFonts w:ascii="Arial" w:hAnsi="Arial" w:cs="Arial"/>
        </w:rPr>
        <w:t>for example, both theorists suggest that development occurs in a specific order with the earlier stages forming the foundation</w:t>
      </w:r>
      <w:r>
        <w:rPr>
          <w:rFonts w:ascii="Arial" w:hAnsi="Arial" w:cs="Arial"/>
        </w:rPr>
        <w:t xml:space="preserve"> and c</w:t>
      </w:r>
      <w:r w:rsidRPr="00A40B6F">
        <w:rPr>
          <w:rFonts w:ascii="Arial" w:hAnsi="Arial" w:cs="Arial"/>
        </w:rPr>
        <w:t xml:space="preserve">hildren being ‘active leaners.’. Piaget emphasises this and it aligns with Maslow’s concept of self-actualisation </w:t>
      </w:r>
      <w:r>
        <w:rPr>
          <w:rFonts w:ascii="Arial" w:hAnsi="Arial" w:cs="Arial"/>
        </w:rPr>
        <w:t>allowing</w:t>
      </w:r>
      <w:r w:rsidRPr="00A40B6F">
        <w:rPr>
          <w:rFonts w:ascii="Arial" w:hAnsi="Arial" w:cs="Arial"/>
        </w:rPr>
        <w:t xml:space="preserve"> individuals to reach their full potential. </w:t>
      </w:r>
      <w:r>
        <w:rPr>
          <w:rFonts w:ascii="Arial" w:hAnsi="Arial" w:cs="Arial"/>
        </w:rPr>
        <w:t>However, b</w:t>
      </w:r>
      <w:r w:rsidRPr="00A40B6F">
        <w:rPr>
          <w:rFonts w:ascii="Arial" w:hAnsi="Arial" w:cs="Arial"/>
        </w:rPr>
        <w:t>oth theorists have their own concept of cognitive and universal stages. Piaget</w:t>
      </w:r>
      <w:r>
        <w:rPr>
          <w:rFonts w:ascii="Arial" w:hAnsi="Arial" w:cs="Arial"/>
        </w:rPr>
        <w:t>’s theory</w:t>
      </w:r>
      <w:r w:rsidRPr="00A40B6F">
        <w:rPr>
          <w:rFonts w:ascii="Arial" w:hAnsi="Arial" w:cs="Arial"/>
        </w:rPr>
        <w:t xml:space="preserve"> highlights cognitive development</w:t>
      </w:r>
      <w:r>
        <w:rPr>
          <w:rFonts w:ascii="Arial" w:hAnsi="Arial" w:cs="Arial"/>
        </w:rPr>
        <w:t xml:space="preserve">. </w:t>
      </w:r>
      <w:r w:rsidRPr="00A40B6F">
        <w:rPr>
          <w:rFonts w:ascii="Arial" w:hAnsi="Arial" w:cs="Arial"/>
        </w:rPr>
        <w:t>However, Maslow’s encompasses the range of human needs</w:t>
      </w:r>
      <w:r>
        <w:rPr>
          <w:rFonts w:ascii="Arial" w:hAnsi="Arial" w:cs="Arial"/>
        </w:rPr>
        <w:t xml:space="preserve"> and an individual’s needs being based on cultural factors</w:t>
      </w:r>
    </w:p>
    <w:p w14:paraId="2A06028C" w14:textId="77777777" w:rsidR="00AC214B" w:rsidRPr="00A40B6F" w:rsidRDefault="00AC214B" w:rsidP="00AC214B">
      <w:pPr>
        <w:spacing w:line="360" w:lineRule="auto"/>
        <w:rPr>
          <w:rFonts w:ascii="Arial" w:hAnsi="Arial" w:cs="Arial"/>
        </w:rPr>
      </w:pPr>
    </w:p>
    <w:p w14:paraId="439C7958" w14:textId="77777777" w:rsidR="00AC214B" w:rsidRPr="00A40B6F" w:rsidRDefault="00AC214B" w:rsidP="00AC214B">
      <w:pPr>
        <w:pStyle w:val="ListParagraph"/>
        <w:numPr>
          <w:ilvl w:val="0"/>
          <w:numId w:val="1"/>
        </w:numPr>
        <w:spacing w:line="360" w:lineRule="auto"/>
        <w:rPr>
          <w:rFonts w:ascii="Arial" w:hAnsi="Arial" w:cs="Arial"/>
        </w:rPr>
      </w:pPr>
      <w:r w:rsidRPr="00A40B6F">
        <w:rPr>
          <w:rFonts w:ascii="Arial" w:hAnsi="Arial" w:cs="Arial"/>
        </w:rPr>
        <w:lastRenderedPageBreak/>
        <w:t>Creating a safe and stable environment.</w:t>
      </w:r>
    </w:p>
    <w:p w14:paraId="64E7FF8E" w14:textId="77777777" w:rsidR="00AC214B" w:rsidRDefault="00AC214B" w:rsidP="00AC214B">
      <w:pPr>
        <w:spacing w:line="360" w:lineRule="auto"/>
        <w:rPr>
          <w:rFonts w:ascii="Arial" w:hAnsi="Arial" w:cs="Arial"/>
        </w:rPr>
      </w:pPr>
      <w:r>
        <w:rPr>
          <w:rFonts w:ascii="Arial" w:hAnsi="Arial" w:cs="Arial"/>
        </w:rPr>
        <w:t>At the next level of Maslow’s Hierarchy of needs is the need for safety and a sense of belonging. Whilst in an early year’s provision children need to feel emotionally safe and secure to be able to explore and develop their learning. As an Early Years Practitioners, it is good practice to develop these connections from the start. Opportunities to observe children and develop connections by providing ‘favourite things’, involving children in labelling resources to encourage independence and involving children in decisions about their learning environment assist the growth of connections. By using the child’s ideas can provide them with a sense of safety and will enable a child to start to recognise their own needs for thinking and learning. As an Early Years Practitioner there is a need to understand a child’s deficiency and growth needs as this can also help to create environments that not only meet children’s basic needs but enhance the possibility for a child to growth and reach self-actualisation. Many schools in Wales have a ‘Breakfast Club’ to ensure a child’s physiological needs are being met at the start of the day. When they enter their learning environment, they can access learning and inclusive education. Addressing and managing challenging behaviour is part of an Early Years Practitioners role. A child may be seeking attention if their belonging need is not being met or they may feel insecure meaning their safety needs may not be met. Lev Vygotsky’s sociocultural theory emphasises the role of social interaction and culture in cognitive development. Both Vygotsky and Maslow recognise the importance of social relationships and Vygotsky’s concept of scaffolding learning in a child’s zone of proximal development supports Maslow’s self-esteem and self-actualisation needs. However, Vygotsky’s theory focuses on the role of culture to shape development whilst, Maslow’s theory has been criticised for its Western cultural bias. In practice is often consider using Vygotsky’s ideas to inform social learning opportunities whilst Maslow’s theory is used to ensure a child’s basic needs are met by creating a supportive social learning environment. (Clarke, n.d.)</w:t>
      </w:r>
    </w:p>
    <w:p w14:paraId="3343DB94" w14:textId="77777777" w:rsidR="00AC214B" w:rsidRDefault="00AC214B" w:rsidP="00AC214B">
      <w:pPr>
        <w:spacing w:line="360" w:lineRule="auto"/>
        <w:rPr>
          <w:rFonts w:ascii="Arial" w:hAnsi="Arial" w:cs="Arial"/>
        </w:rPr>
      </w:pPr>
    </w:p>
    <w:p w14:paraId="4D4B934F" w14:textId="77777777" w:rsidR="00AC214B" w:rsidRDefault="00AC214B" w:rsidP="00AC214B">
      <w:pPr>
        <w:pStyle w:val="ListParagraph"/>
        <w:numPr>
          <w:ilvl w:val="0"/>
          <w:numId w:val="1"/>
        </w:numPr>
        <w:spacing w:line="360" w:lineRule="auto"/>
        <w:rPr>
          <w:rFonts w:ascii="Arial" w:hAnsi="Arial" w:cs="Arial"/>
        </w:rPr>
      </w:pPr>
      <w:r>
        <w:rPr>
          <w:rFonts w:ascii="Arial" w:hAnsi="Arial" w:cs="Arial"/>
        </w:rPr>
        <w:t>The Transition Journey</w:t>
      </w:r>
    </w:p>
    <w:p w14:paraId="675F0FAB" w14:textId="77777777" w:rsidR="00AC214B" w:rsidRDefault="00AC214B" w:rsidP="00AC214B">
      <w:pPr>
        <w:spacing w:line="360" w:lineRule="auto"/>
        <w:rPr>
          <w:rFonts w:ascii="Arial" w:hAnsi="Arial" w:cs="Arial"/>
        </w:rPr>
      </w:pPr>
      <w:r>
        <w:rPr>
          <w:rFonts w:ascii="Arial" w:hAnsi="Arial" w:cs="Arial"/>
        </w:rPr>
        <w:t xml:space="preserve">A child will experience many transitions throughout their life. Examples of such transitions a child may experience are primary caregiver to day nursery, day nursey to preschool, preschool to primary school (in which there is a transition every year to a new class), primary school to secondary school and secondary school to an </w:t>
      </w:r>
      <w:r>
        <w:rPr>
          <w:rFonts w:ascii="Arial" w:hAnsi="Arial" w:cs="Arial"/>
        </w:rPr>
        <w:lastRenderedPageBreak/>
        <w:t>individual’s choice of life experience (college, university or work). Transitions are a movement from one experience to another. In relation to early years transitions it is important to ensure the child is always considered as meeting their needs is paramount. Bronfenbrenner (in Brooker, 2018) describes the importance of two-way communication. As an Early Years Practitioner, it is important to develop a relationship with a child’s caregiver and the child to ensure the child experiences smooth transitions into a setting. Having this relationship with the caregiver will also provide a practitioner with essential information about the child and provide opportunities for the practitioner to provide the caregiver information on how the child has been in the setting. With the developing relationship and two-way communication caregivers and practitioners can follow the child’s routines and provide a sense of belonging to the child. This relationship also alters as the child progresses through transitions in relation to the settings professionals, the caregiver should also be considered as part of the ‘team’. Maslow’s Hierarchy of needs fosters the development of relationships and providing a sense of belonging by providing an enriched environment, professionals understanding the need of meeting a child’s needs and providing training opportunities to allow professionals to enhance and develop their own knowledge and skills.</w:t>
      </w:r>
    </w:p>
    <w:p w14:paraId="44E90862" w14:textId="77777777" w:rsidR="00AC214B" w:rsidRDefault="00AC214B" w:rsidP="00AC214B">
      <w:pPr>
        <w:spacing w:line="360" w:lineRule="auto"/>
        <w:rPr>
          <w:rFonts w:ascii="Arial" w:hAnsi="Arial" w:cs="Arial"/>
        </w:rPr>
      </w:pPr>
    </w:p>
    <w:p w14:paraId="3AF37BB5" w14:textId="77777777" w:rsidR="00AC214B" w:rsidRDefault="00AC214B" w:rsidP="00AC214B">
      <w:pPr>
        <w:spacing w:line="360" w:lineRule="auto"/>
        <w:rPr>
          <w:rFonts w:ascii="Arial" w:hAnsi="Arial" w:cs="Arial"/>
        </w:rPr>
      </w:pPr>
      <w:r>
        <w:rPr>
          <w:rFonts w:ascii="Arial" w:hAnsi="Arial" w:cs="Arial"/>
        </w:rPr>
        <w:t>Conclusion</w:t>
      </w:r>
    </w:p>
    <w:p w14:paraId="29DD9C02" w14:textId="77777777" w:rsidR="00AC214B" w:rsidRPr="00D367B8" w:rsidRDefault="00AC214B" w:rsidP="00AC214B">
      <w:pPr>
        <w:spacing w:line="360" w:lineRule="auto"/>
        <w:rPr>
          <w:rFonts w:ascii="Arial" w:hAnsi="Arial" w:cs="Arial"/>
        </w:rPr>
      </w:pPr>
      <w:r>
        <w:rPr>
          <w:rFonts w:ascii="Arial" w:hAnsi="Arial" w:cs="Arial"/>
        </w:rPr>
        <w:t>Maslow’s Hierarchy of needs offers a recognition of children being holistic beings with diverse and interconnecting needs. When considering Maslow’s theory, it is important to remain flexible and adapt your practice accordingly to maintain the addressing of a child’s fundamental needs. By being thoughtful when applying Maslow’s ideas, Early Years Practitioners can create rich, supportive environments that allow children’s growth, learning and self-actualisation.</w:t>
      </w:r>
    </w:p>
    <w:p w14:paraId="1C7521DF" w14:textId="77777777" w:rsidR="00D23CB1" w:rsidRDefault="00D23CB1"/>
    <w:sectPr w:rsidR="00D23C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DB1EA6"/>
    <w:multiLevelType w:val="hybridMultilevel"/>
    <w:tmpl w:val="BC3E0B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1283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14B"/>
    <w:rsid w:val="00514F44"/>
    <w:rsid w:val="008802A3"/>
    <w:rsid w:val="00953ABD"/>
    <w:rsid w:val="00AC214B"/>
    <w:rsid w:val="00D23CB1"/>
    <w:rsid w:val="00DB1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537EB4"/>
  <w15:chartTrackingRefBased/>
  <w15:docId w15:val="{116D9EEA-6F75-7049-8D88-401AD59E3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14B"/>
  </w:style>
  <w:style w:type="paragraph" w:styleId="Heading1">
    <w:name w:val="heading 1"/>
    <w:basedOn w:val="Normal"/>
    <w:next w:val="Normal"/>
    <w:link w:val="Heading1Char"/>
    <w:uiPriority w:val="9"/>
    <w:qFormat/>
    <w:rsid w:val="00AC21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21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21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21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21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214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214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214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214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1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21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21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21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21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21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21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21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214B"/>
    <w:rPr>
      <w:rFonts w:eastAsiaTheme="majorEastAsia" w:cstheme="majorBidi"/>
      <w:color w:val="272727" w:themeColor="text1" w:themeTint="D8"/>
    </w:rPr>
  </w:style>
  <w:style w:type="paragraph" w:styleId="Title">
    <w:name w:val="Title"/>
    <w:basedOn w:val="Normal"/>
    <w:next w:val="Normal"/>
    <w:link w:val="TitleChar"/>
    <w:uiPriority w:val="10"/>
    <w:qFormat/>
    <w:rsid w:val="00AC214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21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214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21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214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C214B"/>
    <w:rPr>
      <w:i/>
      <w:iCs/>
      <w:color w:val="404040" w:themeColor="text1" w:themeTint="BF"/>
    </w:rPr>
  </w:style>
  <w:style w:type="paragraph" w:styleId="ListParagraph">
    <w:name w:val="List Paragraph"/>
    <w:basedOn w:val="Normal"/>
    <w:uiPriority w:val="34"/>
    <w:qFormat/>
    <w:rsid w:val="00AC214B"/>
    <w:pPr>
      <w:ind w:left="720"/>
      <w:contextualSpacing/>
    </w:pPr>
  </w:style>
  <w:style w:type="character" w:styleId="IntenseEmphasis">
    <w:name w:val="Intense Emphasis"/>
    <w:basedOn w:val="DefaultParagraphFont"/>
    <w:uiPriority w:val="21"/>
    <w:qFormat/>
    <w:rsid w:val="00AC214B"/>
    <w:rPr>
      <w:i/>
      <w:iCs/>
      <w:color w:val="0F4761" w:themeColor="accent1" w:themeShade="BF"/>
    </w:rPr>
  </w:style>
  <w:style w:type="paragraph" w:styleId="IntenseQuote">
    <w:name w:val="Intense Quote"/>
    <w:basedOn w:val="Normal"/>
    <w:next w:val="Normal"/>
    <w:link w:val="IntenseQuoteChar"/>
    <w:uiPriority w:val="30"/>
    <w:qFormat/>
    <w:rsid w:val="00AC21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214B"/>
    <w:rPr>
      <w:i/>
      <w:iCs/>
      <w:color w:val="0F4761" w:themeColor="accent1" w:themeShade="BF"/>
    </w:rPr>
  </w:style>
  <w:style w:type="character" w:styleId="IntenseReference">
    <w:name w:val="Intense Reference"/>
    <w:basedOn w:val="DefaultParagraphFont"/>
    <w:uiPriority w:val="32"/>
    <w:qFormat/>
    <w:rsid w:val="00AC214B"/>
    <w:rPr>
      <w:b/>
      <w:bCs/>
      <w:smallCaps/>
      <w:color w:val="0F4761" w:themeColor="accent1" w:themeShade="BF"/>
      <w:spacing w:val="5"/>
    </w:rPr>
  </w:style>
  <w:style w:type="character" w:styleId="Hyperlink">
    <w:name w:val="Hyperlink"/>
    <w:basedOn w:val="DefaultParagraphFont"/>
    <w:uiPriority w:val="99"/>
    <w:unhideWhenUsed/>
    <w:rsid w:val="00AC214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ydias-tuition.co.uk/what-is-holistic-development/"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2132</Words>
  <Characters>12688</Characters>
  <Application>Microsoft Office Word</Application>
  <DocSecurity>0</DocSecurity>
  <Lines>226</Lines>
  <Paragraphs>69</Paragraphs>
  <ScaleCrop>false</ScaleCrop>
  <Company/>
  <LinksUpToDate>false</LinksUpToDate>
  <CharactersWithSpaces>14751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Sharp</dc:creator>
  <cp:keywords/>
  <dc:description/>
  <cp:lastModifiedBy>Mary Sharp</cp:lastModifiedBy>
  <cp:revision>1</cp:revision>
  <dcterms:created xsi:type="dcterms:W3CDTF">2024-12-01T14:15:00Z</dcterms:created>
  <dcterms:modified xsi:type="dcterms:W3CDTF">2024-12-01T14:15:00Z</dcterms:modified>
</cp:coreProperties>
</file>