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eastAsiaTheme="minorHAnsi" w:hAnsiTheme="majorBidi" w:cstheme="minorBidi"/>
          <w:b w:val="0"/>
          <w:bCs w:val="0"/>
          <w:color w:val="auto"/>
          <w:kern w:val="2"/>
          <w:sz w:val="24"/>
          <w:szCs w:val="24"/>
          <w:lang w:val="en-GB"/>
          <w14:ligatures w14:val="standardContextual"/>
        </w:rPr>
        <w:id w:val="451523128"/>
        <w:docPartObj>
          <w:docPartGallery w:val="Table of Contents"/>
          <w:docPartUnique/>
        </w:docPartObj>
      </w:sdtPr>
      <w:sdtEndPr>
        <w:rPr>
          <w:noProof/>
        </w:rPr>
      </w:sdtEndPr>
      <w:sdtContent>
        <w:p w14:paraId="1FC3C53E" w14:textId="4E6B825C" w:rsidR="00BC6E0C" w:rsidRPr="00BC6E0C" w:rsidRDefault="00BC6E0C">
          <w:pPr>
            <w:pStyle w:val="TOCHeading"/>
            <w:rPr>
              <w:rFonts w:asciiTheme="majorBidi" w:hAnsiTheme="majorBidi"/>
              <w:color w:val="000000" w:themeColor="text1"/>
            </w:rPr>
          </w:pPr>
          <w:r w:rsidRPr="00BC6E0C">
            <w:rPr>
              <w:rFonts w:asciiTheme="majorBidi" w:hAnsiTheme="majorBidi"/>
              <w:color w:val="000000" w:themeColor="text1"/>
            </w:rPr>
            <w:t>Table of Contents</w:t>
          </w:r>
        </w:p>
        <w:p w14:paraId="6FCFEF0F" w14:textId="2C943157" w:rsidR="00BC6E0C" w:rsidRPr="00BC6E0C" w:rsidRDefault="00BC6E0C">
          <w:pPr>
            <w:pStyle w:val="TOC1"/>
            <w:tabs>
              <w:tab w:val="right" w:leader="dot" w:pos="9016"/>
            </w:tabs>
            <w:rPr>
              <w:rFonts w:asciiTheme="majorBidi" w:hAnsiTheme="majorBidi" w:cstheme="majorBidi"/>
              <w:i w:val="0"/>
              <w:iCs w:val="0"/>
              <w:noProof/>
              <w:color w:val="000000" w:themeColor="text1"/>
            </w:rPr>
          </w:pPr>
          <w:r w:rsidRPr="00BC6E0C">
            <w:rPr>
              <w:rFonts w:asciiTheme="majorBidi" w:hAnsiTheme="majorBidi" w:cstheme="majorBidi"/>
              <w:b w:val="0"/>
              <w:bCs w:val="0"/>
              <w:i w:val="0"/>
              <w:iCs w:val="0"/>
              <w:color w:val="000000" w:themeColor="text1"/>
            </w:rPr>
            <w:fldChar w:fldCharType="begin"/>
          </w:r>
          <w:r w:rsidRPr="00BC6E0C">
            <w:rPr>
              <w:rFonts w:asciiTheme="majorBidi" w:hAnsiTheme="majorBidi" w:cstheme="majorBidi"/>
              <w:i w:val="0"/>
              <w:iCs w:val="0"/>
              <w:color w:val="000000" w:themeColor="text1"/>
            </w:rPr>
            <w:instrText xml:space="preserve"> TOC \o "1-3" \h \z \u </w:instrText>
          </w:r>
          <w:r w:rsidRPr="00BC6E0C">
            <w:rPr>
              <w:rFonts w:asciiTheme="majorBidi" w:hAnsiTheme="majorBidi" w:cstheme="majorBidi"/>
              <w:b w:val="0"/>
              <w:bCs w:val="0"/>
              <w:i w:val="0"/>
              <w:iCs w:val="0"/>
              <w:color w:val="000000" w:themeColor="text1"/>
            </w:rPr>
            <w:fldChar w:fldCharType="separate"/>
          </w:r>
          <w:hyperlink w:anchor="_Toc138344901" w:history="1">
            <w:r w:rsidRPr="00BC6E0C">
              <w:rPr>
                <w:rStyle w:val="Hyperlink"/>
                <w:rFonts w:asciiTheme="majorBidi" w:hAnsiTheme="majorBidi" w:cstheme="majorBidi"/>
                <w:i w:val="0"/>
                <w:iCs w:val="0"/>
                <w:noProof/>
                <w:color w:val="000000" w:themeColor="text1"/>
                <w:lang w:eastAsia="en-GB"/>
              </w:rPr>
              <w:t>Introduction</w:t>
            </w:r>
            <w:r w:rsidRPr="00BC6E0C">
              <w:rPr>
                <w:rFonts w:asciiTheme="majorBidi" w:hAnsiTheme="majorBidi" w:cstheme="majorBidi"/>
                <w:i w:val="0"/>
                <w:iCs w:val="0"/>
                <w:noProof/>
                <w:webHidden/>
                <w:color w:val="000000" w:themeColor="text1"/>
              </w:rPr>
              <w:tab/>
            </w:r>
            <w:r w:rsidRPr="00BC6E0C">
              <w:rPr>
                <w:rFonts w:asciiTheme="majorBidi" w:hAnsiTheme="majorBidi" w:cstheme="majorBidi"/>
                <w:i w:val="0"/>
                <w:iCs w:val="0"/>
                <w:noProof/>
                <w:webHidden/>
                <w:color w:val="000000" w:themeColor="text1"/>
              </w:rPr>
              <w:fldChar w:fldCharType="begin"/>
            </w:r>
            <w:r w:rsidRPr="00BC6E0C">
              <w:rPr>
                <w:rFonts w:asciiTheme="majorBidi" w:hAnsiTheme="majorBidi" w:cstheme="majorBidi"/>
                <w:i w:val="0"/>
                <w:iCs w:val="0"/>
                <w:noProof/>
                <w:webHidden/>
                <w:color w:val="000000" w:themeColor="text1"/>
              </w:rPr>
              <w:instrText xml:space="preserve"> PAGEREF _Toc138344901 \h </w:instrText>
            </w:r>
            <w:r w:rsidRPr="00BC6E0C">
              <w:rPr>
                <w:rFonts w:asciiTheme="majorBidi" w:hAnsiTheme="majorBidi" w:cstheme="majorBidi"/>
                <w:i w:val="0"/>
                <w:iCs w:val="0"/>
                <w:noProof/>
                <w:webHidden/>
                <w:color w:val="000000" w:themeColor="text1"/>
              </w:rPr>
            </w:r>
            <w:r w:rsidRPr="00BC6E0C">
              <w:rPr>
                <w:rFonts w:asciiTheme="majorBidi" w:hAnsiTheme="majorBidi" w:cstheme="majorBidi"/>
                <w:i w:val="0"/>
                <w:iCs w:val="0"/>
                <w:noProof/>
                <w:webHidden/>
                <w:color w:val="000000" w:themeColor="text1"/>
              </w:rPr>
              <w:fldChar w:fldCharType="separate"/>
            </w:r>
            <w:r w:rsidRPr="00BC6E0C">
              <w:rPr>
                <w:rFonts w:asciiTheme="majorBidi" w:hAnsiTheme="majorBidi" w:cstheme="majorBidi"/>
                <w:i w:val="0"/>
                <w:iCs w:val="0"/>
                <w:noProof/>
                <w:webHidden/>
                <w:color w:val="000000" w:themeColor="text1"/>
              </w:rPr>
              <w:t>1</w:t>
            </w:r>
            <w:r w:rsidRPr="00BC6E0C">
              <w:rPr>
                <w:rFonts w:asciiTheme="majorBidi" w:hAnsiTheme="majorBidi" w:cstheme="majorBidi"/>
                <w:i w:val="0"/>
                <w:iCs w:val="0"/>
                <w:noProof/>
                <w:webHidden/>
                <w:color w:val="000000" w:themeColor="text1"/>
              </w:rPr>
              <w:fldChar w:fldCharType="end"/>
            </w:r>
          </w:hyperlink>
        </w:p>
        <w:p w14:paraId="171318CC" w14:textId="5F6F005E"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02" w:history="1">
            <w:r w:rsidR="00BC6E0C" w:rsidRPr="00BC6E0C">
              <w:rPr>
                <w:rStyle w:val="Hyperlink"/>
                <w:rFonts w:asciiTheme="majorBidi" w:hAnsiTheme="majorBidi" w:cstheme="majorBidi"/>
                <w:i w:val="0"/>
                <w:iCs w:val="0"/>
                <w:noProof/>
                <w:color w:val="000000" w:themeColor="text1"/>
                <w:lang w:eastAsia="en-GB"/>
              </w:rPr>
              <w:t>HR in the private sector differ from HR in the public sector</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_Toc138344902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w:t>
            </w:r>
            <w:r w:rsidR="00BC6E0C" w:rsidRPr="00BC6E0C">
              <w:rPr>
                <w:rFonts w:asciiTheme="majorBidi" w:hAnsiTheme="majorBidi" w:cstheme="majorBidi"/>
                <w:i w:val="0"/>
                <w:iCs w:val="0"/>
                <w:noProof/>
                <w:webHidden/>
                <w:color w:val="000000" w:themeColor="text1"/>
              </w:rPr>
              <w:fldChar w:fldCharType="end"/>
            </w:r>
          </w:hyperlink>
        </w:p>
        <w:p w14:paraId="52AB17CF" w14:textId="46186666"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3" w:history="1">
            <w:r w:rsidR="00BC6E0C" w:rsidRPr="00BC6E0C">
              <w:rPr>
                <w:rStyle w:val="Hyperlink"/>
                <w:rFonts w:asciiTheme="majorBidi" w:hAnsiTheme="majorBidi" w:cstheme="majorBidi"/>
                <w:noProof/>
                <w:color w:val="000000" w:themeColor="text1"/>
                <w:lang w:val="en-US"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Organizational Objectives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08BD47E7" w14:textId="0A464B01"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4"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Regulatory Environment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607C2B61" w14:textId="332CE247"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5"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Funding and Budget Constraints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16990680" w14:textId="4CF497F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6"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Motivation and Engagement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_Toc138344906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3</w:t>
            </w:r>
            <w:r w:rsidR="00BC6E0C" w:rsidRPr="00BC6E0C">
              <w:rPr>
                <w:rFonts w:asciiTheme="majorBidi" w:hAnsiTheme="majorBidi" w:cstheme="majorBidi"/>
                <w:noProof/>
                <w:webHidden/>
                <w:color w:val="000000" w:themeColor="text1"/>
              </w:rPr>
              <w:fldChar w:fldCharType="end"/>
            </w:r>
          </w:hyperlink>
        </w:p>
        <w:p w14:paraId="079B2350" w14:textId="5F828B31"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07" w:history="1">
            <w:r w:rsidR="00BC6E0C" w:rsidRPr="00BC6E0C">
              <w:rPr>
                <w:rStyle w:val="Hyperlink"/>
                <w:rFonts w:asciiTheme="majorBidi" w:hAnsiTheme="majorBidi" w:cstheme="majorBidi"/>
                <w:i w:val="0"/>
                <w:iCs w:val="0"/>
                <w:noProof/>
                <w:color w:val="000000" w:themeColor="text1"/>
                <w:lang w:eastAsia="en-GB"/>
              </w:rPr>
              <w:t>Effectiveness of HR strategy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_Toc138344907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4</w:t>
            </w:r>
            <w:r w:rsidR="00BC6E0C" w:rsidRPr="00BC6E0C">
              <w:rPr>
                <w:rFonts w:asciiTheme="majorBidi" w:hAnsiTheme="majorBidi" w:cstheme="majorBidi"/>
                <w:i w:val="0"/>
                <w:iCs w:val="0"/>
                <w:noProof/>
                <w:webHidden/>
                <w:color w:val="000000" w:themeColor="text1"/>
              </w:rPr>
              <w:fldChar w:fldCharType="end"/>
            </w:r>
          </w:hyperlink>
        </w:p>
        <w:p w14:paraId="65A65A20" w14:textId="25E96C68"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8"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Alignment with Organizational Goals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_Toc138344908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4</w:t>
            </w:r>
            <w:r w:rsidR="00BC6E0C" w:rsidRPr="00BC6E0C">
              <w:rPr>
                <w:rFonts w:asciiTheme="majorBidi" w:hAnsiTheme="majorBidi" w:cstheme="majorBidi"/>
                <w:noProof/>
                <w:webHidden/>
                <w:color w:val="000000" w:themeColor="text1"/>
              </w:rPr>
              <w:fldChar w:fldCharType="end"/>
            </w:r>
          </w:hyperlink>
        </w:p>
        <w:p w14:paraId="39DC61F4" w14:textId="45DE187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09"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Stakeholder Satisfaction</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_Toc138344909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4</w:t>
            </w:r>
            <w:r w:rsidR="00BC6E0C" w:rsidRPr="00BC6E0C">
              <w:rPr>
                <w:rFonts w:asciiTheme="majorBidi" w:hAnsiTheme="majorBidi" w:cstheme="majorBidi"/>
                <w:noProof/>
                <w:webHidden/>
                <w:color w:val="000000" w:themeColor="text1"/>
              </w:rPr>
              <w:fldChar w:fldCharType="end"/>
            </w:r>
          </w:hyperlink>
        </w:p>
        <w:p w14:paraId="56A6AFCC" w14:textId="515FF30E"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0"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Compliance and Regulatory Requirements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_Toc138344910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5</w:t>
            </w:r>
            <w:r w:rsidR="00BC6E0C" w:rsidRPr="00BC6E0C">
              <w:rPr>
                <w:rFonts w:asciiTheme="majorBidi" w:hAnsiTheme="majorBidi" w:cstheme="majorBidi"/>
                <w:noProof/>
                <w:webHidden/>
                <w:color w:val="000000" w:themeColor="text1"/>
              </w:rPr>
              <w:fldChar w:fldCharType="end"/>
            </w:r>
          </w:hyperlink>
        </w:p>
        <w:p w14:paraId="53B2FD00" w14:textId="35D59E09"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1"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Development and Retention</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_Toc138344911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5</w:t>
            </w:r>
            <w:r w:rsidR="00BC6E0C" w:rsidRPr="00BC6E0C">
              <w:rPr>
                <w:rFonts w:asciiTheme="majorBidi" w:hAnsiTheme="majorBidi" w:cstheme="majorBidi"/>
                <w:noProof/>
                <w:webHidden/>
                <w:color w:val="000000" w:themeColor="text1"/>
              </w:rPr>
              <w:fldChar w:fldCharType="end"/>
            </w:r>
          </w:hyperlink>
        </w:p>
        <w:p w14:paraId="14A0C551" w14:textId="0F776435"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12" w:history="1">
            <w:r w:rsidR="00BC6E0C" w:rsidRPr="00BC6E0C">
              <w:rPr>
                <w:rStyle w:val="Hyperlink"/>
                <w:rFonts w:asciiTheme="majorBidi" w:hAnsiTheme="majorBidi" w:cstheme="majorBidi"/>
                <w:i w:val="0"/>
                <w:iCs w:val="0"/>
                <w:noProof/>
                <w:color w:val="000000" w:themeColor="text1"/>
                <w:lang w:eastAsia="en-GB"/>
              </w:rPr>
              <w:t>HR develop employees to achieve strategic goals</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_Toc138344912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6</w:t>
            </w:r>
            <w:r w:rsidR="00BC6E0C" w:rsidRPr="00BC6E0C">
              <w:rPr>
                <w:rFonts w:asciiTheme="majorBidi" w:hAnsiTheme="majorBidi" w:cstheme="majorBidi"/>
                <w:i w:val="0"/>
                <w:iCs w:val="0"/>
                <w:noProof/>
                <w:webHidden/>
                <w:color w:val="000000" w:themeColor="text1"/>
              </w:rPr>
              <w:fldChar w:fldCharType="end"/>
            </w:r>
          </w:hyperlink>
        </w:p>
        <w:p w14:paraId="76BE5F82" w14:textId="64448F73"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3"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Training and Development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0062E914" w14:textId="2BA5D516"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4"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Performance Management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6D94587D" w14:textId="118AC4C4"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5"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Succession Planning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6F13A467" w14:textId="2B4DDE9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6"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Career Development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_Toc138344916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5F96E858" w14:textId="2328CF52"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7" w:history="1">
            <w:r w:rsidR="00BC6E0C" w:rsidRPr="00BC6E0C">
              <w:rPr>
                <w:rStyle w:val="Hyperlink"/>
                <w:rFonts w:asciiTheme="majorBidi" w:hAnsiTheme="majorBidi" w:cstheme="majorBidi"/>
                <w:noProof/>
                <w:color w:val="000000" w:themeColor="text1"/>
                <w:lang w:eastAsia="en-GB"/>
              </w:rPr>
              <w:t>e)</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Coaching and Mentoring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_Toc138344917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3B5C6B95" w14:textId="0957501E"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18" w:history="1">
            <w:r w:rsidR="00BC6E0C" w:rsidRPr="00BC6E0C">
              <w:rPr>
                <w:rStyle w:val="Hyperlink"/>
                <w:rFonts w:asciiTheme="majorBidi" w:hAnsiTheme="majorBidi" w:cstheme="majorBidi"/>
                <w:noProof/>
                <w:color w:val="000000" w:themeColor="text1"/>
                <w:lang w:eastAsia="en-GB"/>
              </w:rPr>
              <w:t>f)</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Continuous Learning and Knowledge Sharing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_Toc138344918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63981762" w14:textId="4A2FF680"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19" w:history="1">
            <w:r w:rsidR="00BC6E0C" w:rsidRPr="00BC6E0C">
              <w:rPr>
                <w:rStyle w:val="Hyperlink"/>
                <w:rFonts w:asciiTheme="majorBidi" w:hAnsiTheme="majorBidi" w:cstheme="majorBidi"/>
                <w:i w:val="0"/>
                <w:iCs w:val="0"/>
                <w:noProof/>
                <w:color w:val="000000" w:themeColor="text1"/>
                <w:lang w:eastAsia="en-GB"/>
              </w:rPr>
              <w:t>Organizational climate factors affect the effectiveness of HR strategy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_Toc138344919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8</w:t>
            </w:r>
            <w:r w:rsidR="00BC6E0C" w:rsidRPr="00BC6E0C">
              <w:rPr>
                <w:rFonts w:asciiTheme="majorBidi" w:hAnsiTheme="majorBidi" w:cstheme="majorBidi"/>
                <w:i w:val="0"/>
                <w:iCs w:val="0"/>
                <w:noProof/>
                <w:webHidden/>
                <w:color w:val="000000" w:themeColor="text1"/>
              </w:rPr>
              <w:fldChar w:fldCharType="end"/>
            </w:r>
          </w:hyperlink>
        </w:p>
        <w:p w14:paraId="5CC5E5CA" w14:textId="1FBC3BBA"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0"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Leadership Support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_Toc138344920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2F0D5265" w14:textId="25C640C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1"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Communication and Transparency</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_Toc138344921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2D1EC8A1" w14:textId="092B0720"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2"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Organizational Culture</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_Toc138344922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11039D76" w14:textId="685AE780"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3"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Involvement and Empowerment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52BC6A98" w14:textId="7D876D3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4" w:history="1">
            <w:r w:rsidR="00BC6E0C" w:rsidRPr="00BC6E0C">
              <w:rPr>
                <w:rStyle w:val="Hyperlink"/>
                <w:rFonts w:asciiTheme="majorBidi" w:hAnsiTheme="majorBidi" w:cstheme="majorBidi"/>
                <w:noProof/>
                <w:color w:val="000000" w:themeColor="text1"/>
                <w:lang w:eastAsia="en-GB"/>
              </w:rPr>
              <w:t>e)</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Performance Recognition and Reward Systems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215221F0" w14:textId="7FC2597D" w:rsidR="00BC6E0C" w:rsidRPr="00BC6E0C" w:rsidRDefault="00A64599">
          <w:pPr>
            <w:pStyle w:val="TOC2"/>
            <w:tabs>
              <w:tab w:val="left" w:pos="720"/>
              <w:tab w:val="right" w:leader="dot" w:pos="9016"/>
            </w:tabs>
            <w:rPr>
              <w:rFonts w:asciiTheme="majorBidi" w:hAnsiTheme="majorBidi" w:cstheme="majorBidi"/>
              <w:noProof/>
              <w:color w:val="000000" w:themeColor="text1"/>
            </w:rPr>
          </w:pPr>
          <w:hyperlink w:anchor="_Toc138344925" w:history="1">
            <w:r w:rsidR="00BC6E0C" w:rsidRPr="00BC6E0C">
              <w:rPr>
                <w:rStyle w:val="Hyperlink"/>
                <w:rFonts w:asciiTheme="majorBidi" w:hAnsiTheme="majorBidi" w:cstheme="majorBidi"/>
                <w:noProof/>
                <w:color w:val="000000" w:themeColor="text1"/>
                <w:lang w:eastAsia="en-GB"/>
              </w:rPr>
              <w:t>f)</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Change Management Capabilities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66ECAA0F" w14:textId="3820E803"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26" w:history="1">
            <w:r w:rsidR="00BC6E0C" w:rsidRPr="00BC6E0C">
              <w:rPr>
                <w:rStyle w:val="Hyperlink"/>
                <w:rFonts w:asciiTheme="majorBidi" w:hAnsiTheme="majorBidi" w:cstheme="majorBidi"/>
                <w:i w:val="0"/>
                <w:iCs w:val="0"/>
                <w:noProof/>
                <w:color w:val="000000" w:themeColor="text1"/>
                <w:lang w:eastAsia="en-GB"/>
              </w:rPr>
              <w:t>Summary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_Toc138344926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10</w:t>
            </w:r>
            <w:r w:rsidR="00BC6E0C" w:rsidRPr="00BC6E0C">
              <w:rPr>
                <w:rFonts w:asciiTheme="majorBidi" w:hAnsiTheme="majorBidi" w:cstheme="majorBidi"/>
                <w:i w:val="0"/>
                <w:iCs w:val="0"/>
                <w:noProof/>
                <w:webHidden/>
                <w:color w:val="000000" w:themeColor="text1"/>
              </w:rPr>
              <w:fldChar w:fldCharType="end"/>
            </w:r>
          </w:hyperlink>
        </w:p>
        <w:p w14:paraId="2044F24B" w14:textId="3594BFB6" w:rsidR="00BC6E0C" w:rsidRPr="00BC6E0C" w:rsidRDefault="00A64599">
          <w:pPr>
            <w:pStyle w:val="TOC1"/>
            <w:tabs>
              <w:tab w:val="right" w:leader="dot" w:pos="9016"/>
            </w:tabs>
            <w:rPr>
              <w:rFonts w:asciiTheme="majorBidi" w:hAnsiTheme="majorBidi" w:cstheme="majorBidi"/>
              <w:i w:val="0"/>
              <w:iCs w:val="0"/>
              <w:noProof/>
              <w:color w:val="000000" w:themeColor="text1"/>
            </w:rPr>
          </w:pPr>
          <w:hyperlink w:anchor="_Toc138344927" w:history="1">
            <w:r w:rsidR="00BC6E0C" w:rsidRPr="00BC6E0C">
              <w:rPr>
                <w:rStyle w:val="Hyperlink"/>
                <w:rFonts w:asciiTheme="majorBidi" w:hAnsiTheme="majorBidi" w:cstheme="majorBidi"/>
                <w:i w:val="0"/>
                <w:iCs w:val="0"/>
                <w:noProof/>
                <w:color w:val="000000" w:themeColor="text1"/>
                <w:lang w:eastAsia="en-GB"/>
              </w:rPr>
              <w:t>References</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_Toc138344927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10</w:t>
            </w:r>
            <w:r w:rsidR="00BC6E0C" w:rsidRPr="00BC6E0C">
              <w:rPr>
                <w:rFonts w:asciiTheme="majorBidi" w:hAnsiTheme="majorBidi" w:cstheme="majorBidi"/>
                <w:i w:val="0"/>
                <w:iCs w:val="0"/>
                <w:noProof/>
                <w:webHidden/>
                <w:color w:val="000000" w:themeColor="text1"/>
              </w:rPr>
              <w:fldChar w:fldCharType="end"/>
            </w:r>
          </w:hyperlink>
        </w:p>
        <w:p w14:paraId="3472B045" w14:textId="268B709A" w:rsidR="00BC6E0C" w:rsidRPr="00BC6E0C" w:rsidRDefault="00BC6E0C">
          <w:pPr>
            <w:rPr>
              <w:rFonts w:asciiTheme="majorBidi" w:hAnsiTheme="majorBidi" w:cstheme="majorBidi"/>
            </w:rPr>
          </w:pPr>
          <w:r w:rsidRPr="00BC6E0C">
            <w:rPr>
              <w:rFonts w:asciiTheme="majorBidi" w:hAnsiTheme="majorBidi" w:cstheme="majorBidi"/>
              <w:b/>
              <w:bCs/>
              <w:noProof/>
              <w:color w:val="000000" w:themeColor="text1"/>
            </w:rPr>
            <w:fldChar w:fldCharType="end"/>
          </w:r>
        </w:p>
      </w:sdtContent>
    </w:sdt>
    <w:p w14:paraId="1AAE1DEC" w14:textId="77777777" w:rsidR="00BC6E0C" w:rsidRDefault="00BC6E0C" w:rsidP="00AF7B7D">
      <w:pPr>
        <w:pStyle w:val="Heading1"/>
        <w:spacing w:line="360" w:lineRule="auto"/>
        <w:rPr>
          <w:rFonts w:asciiTheme="majorBidi" w:hAnsiTheme="majorBidi"/>
          <w:b/>
          <w:bCs/>
          <w:color w:val="000000" w:themeColor="text1"/>
          <w:sz w:val="28"/>
          <w:szCs w:val="28"/>
          <w:lang w:eastAsia="en-GB"/>
        </w:rPr>
      </w:pPr>
    </w:p>
    <w:p w14:paraId="7F8B035B" w14:textId="77777777" w:rsidR="00BC6E0C" w:rsidRPr="00BC6E0C" w:rsidRDefault="00BC6E0C" w:rsidP="00BC6E0C">
      <w:pPr>
        <w:rPr>
          <w:lang w:eastAsia="en-GB"/>
        </w:rPr>
      </w:pPr>
    </w:p>
    <w:p w14:paraId="3AFCFB19" w14:textId="0E241E61" w:rsidR="00990BBF" w:rsidRPr="00BC6E0C" w:rsidRDefault="00A05277" w:rsidP="00AF7B7D">
      <w:pPr>
        <w:pStyle w:val="Heading1"/>
        <w:spacing w:line="360" w:lineRule="auto"/>
        <w:rPr>
          <w:rFonts w:asciiTheme="majorBidi" w:hAnsiTheme="majorBidi"/>
          <w:b/>
          <w:bCs/>
          <w:color w:val="000000" w:themeColor="text1"/>
          <w:sz w:val="28"/>
          <w:szCs w:val="28"/>
          <w:lang w:eastAsia="en-GB"/>
        </w:rPr>
      </w:pPr>
      <w:bookmarkStart w:id="0" w:name="_Toc138344901"/>
      <w:r w:rsidRPr="00BC6E0C">
        <w:rPr>
          <w:rFonts w:asciiTheme="majorBidi" w:hAnsiTheme="majorBidi"/>
          <w:b/>
          <w:bCs/>
          <w:color w:val="000000" w:themeColor="text1"/>
          <w:sz w:val="28"/>
          <w:szCs w:val="28"/>
          <w:lang w:eastAsia="en-GB"/>
        </w:rPr>
        <w:lastRenderedPageBreak/>
        <w:t>Introduction</w:t>
      </w:r>
      <w:bookmarkEnd w:id="0"/>
    </w:p>
    <w:p w14:paraId="591B3A30" w14:textId="77777777" w:rsidR="00385423" w:rsidRDefault="00A05277" w:rsidP="00385423">
      <w:pPr>
        <w:spacing w:before="240" w:line="360" w:lineRule="auto"/>
        <w:jc w:val="both"/>
        <w:rPr>
          <w:rFonts w:asciiTheme="majorBidi" w:hAnsiTheme="majorBidi" w:cstheme="majorBidi"/>
          <w:color w:val="000000" w:themeColor="text1"/>
          <w:lang w:val="en-US" w:eastAsia="en-GB"/>
        </w:rPr>
      </w:pPr>
      <w:r w:rsidRPr="00BC6E0C">
        <w:rPr>
          <w:rFonts w:asciiTheme="majorBidi" w:hAnsiTheme="majorBidi" w:cstheme="majorBidi"/>
          <w:color w:val="000000" w:themeColor="text1"/>
          <w:lang w:eastAsia="en-GB"/>
        </w:rPr>
        <w:t>Human resources (HR) play a critical role in organizations, whether in the private or public sector, by managing the workforce and aligning it with the organization's strategic goals. However, there are distinct differences between HR in the private sector and HR in the public sector, driven by variations in objectives, structures, and environments. Additionally, the effectiveness of HR strategy is a key determinant of an organization's success. Whether in the private or public sector, HR strategies must align with organizational goals, engage stakeholders, comply with regulations, and foster employee development. By developing employees to achieve strategic goals, HR professionals can contribute to organizational growth and performance.</w:t>
      </w:r>
      <w:r w:rsidR="00744539" w:rsidRPr="00BC6E0C">
        <w:rPr>
          <w:rFonts w:asciiTheme="majorBidi" w:hAnsiTheme="majorBidi" w:cstheme="majorBidi"/>
          <w:color w:val="000000" w:themeColor="text1"/>
          <w:lang w:val="en-US" w:eastAsia="en-GB"/>
        </w:rPr>
        <w:t xml:space="preserve"> </w:t>
      </w:r>
    </w:p>
    <w:p w14:paraId="695B5A6D" w14:textId="018B53D1" w:rsidR="00A05277" w:rsidRPr="00BC6E0C" w:rsidRDefault="00A05277" w:rsidP="00385423">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Furthermore, the effectiveness of HR strategies is influenced by various organizational climate factors. Factors such as leadership support, communication and transparency, organizational culture, employee involvement and empowerment, performance recognition and reward systems, and change management capabilities significantly impact the success of HR initiatives.</w:t>
      </w:r>
      <w:r w:rsidR="00385423">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 xml:space="preserve">This critical analysis will delve into the differences between HR in the private and public sectors, explore how the effectiveness of HR strategies is determined, examine strategies to develop employees to achieve strategic goals, and identify organizational climate factors that affect the effectiveness of HR strategy. </w:t>
      </w:r>
    </w:p>
    <w:p w14:paraId="2A4C9ECD" w14:textId="22281C3D" w:rsidR="005A0519" w:rsidRPr="00BC6E0C" w:rsidRDefault="005A0519" w:rsidP="00AF7B7D">
      <w:pPr>
        <w:pStyle w:val="Heading1"/>
        <w:spacing w:line="360" w:lineRule="auto"/>
        <w:rPr>
          <w:rFonts w:asciiTheme="majorBidi" w:hAnsiTheme="majorBidi"/>
          <w:b/>
          <w:bCs/>
          <w:color w:val="000000" w:themeColor="text1"/>
          <w:sz w:val="28"/>
          <w:szCs w:val="28"/>
          <w:lang w:eastAsia="en-GB"/>
        </w:rPr>
      </w:pPr>
      <w:bookmarkStart w:id="1" w:name="_Toc138344902"/>
      <w:r w:rsidRPr="00BC6E0C">
        <w:rPr>
          <w:rFonts w:asciiTheme="majorBidi" w:hAnsiTheme="majorBidi"/>
          <w:b/>
          <w:bCs/>
          <w:color w:val="000000" w:themeColor="text1"/>
          <w:sz w:val="28"/>
          <w:szCs w:val="28"/>
          <w:lang w:eastAsia="en-GB"/>
        </w:rPr>
        <w:t>HR in the private sector differ from HR in the public sector</w:t>
      </w:r>
      <w:bookmarkEnd w:id="1"/>
    </w:p>
    <w:p w14:paraId="5874E4E7"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HR in the private sector and HR in the public sector have several differences due to variations in organizational objectives, structures, and environments. Here are some key differences:</w:t>
      </w:r>
    </w:p>
    <w:p w14:paraId="432D9707" w14:textId="64CBFB01"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val="en-US" w:eastAsia="en-GB"/>
        </w:rPr>
      </w:pPr>
      <w:bookmarkStart w:id="2" w:name="_Toc138344903"/>
      <w:r w:rsidRPr="00BC6E0C">
        <w:rPr>
          <w:rFonts w:asciiTheme="majorBidi" w:hAnsiTheme="majorBidi"/>
          <w:b/>
          <w:bCs/>
          <w:color w:val="000000" w:themeColor="text1"/>
          <w:sz w:val="28"/>
          <w:szCs w:val="28"/>
          <w:lang w:eastAsia="en-GB"/>
        </w:rPr>
        <w:t>Organizational Objectives</w:t>
      </w:r>
      <w:bookmarkEnd w:id="2"/>
    </w:p>
    <w:p w14:paraId="2C5D8B72" w14:textId="5689C9F3"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the private sector, organizations operate in competitive markets with a profit-driven motive. HR practices in this sector are aligned with maximizing financial performance and shareholder value. HR professionals in the private sector focus on attracting and retaining talent that can contribute to the organization's growth, innovation, and profitability</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Al-Alawi, et al., 2023)</w:t>
      </w:r>
      <w:r w:rsidRPr="00BC6E0C">
        <w:rPr>
          <w:rFonts w:asciiTheme="majorBidi" w:hAnsiTheme="majorBidi" w:cstheme="majorBidi"/>
          <w:color w:val="000000" w:themeColor="text1"/>
        </w:rPr>
        <w:t>.</w:t>
      </w:r>
    </w:p>
    <w:p w14:paraId="69565799" w14:textId="306B7B39"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3" w:name="_Toc138344904"/>
      <w:r w:rsidRPr="00BC6E0C">
        <w:rPr>
          <w:rFonts w:asciiTheme="majorBidi" w:hAnsiTheme="majorBidi"/>
          <w:b/>
          <w:bCs/>
          <w:color w:val="000000" w:themeColor="text1"/>
          <w:sz w:val="28"/>
          <w:szCs w:val="28"/>
          <w:lang w:eastAsia="en-GB"/>
        </w:rPr>
        <w:lastRenderedPageBreak/>
        <w:t>Regulatory Environment</w:t>
      </w:r>
      <w:bookmarkEnd w:id="3"/>
    </w:p>
    <w:p w14:paraId="4559D1F3" w14:textId="7851942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The private sector operates within a more flexible regulatory environment compared to the public sector. Private organizations have greater autonomy in decision-making processes, including hiring, performance management, and compensation structures. They can tailor HR practices to meet specific organizational needs and respond quickly to market changes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Duggan, et al., 2023)</w:t>
      </w:r>
      <w:r w:rsidRPr="00BC6E0C">
        <w:rPr>
          <w:rFonts w:asciiTheme="majorBidi" w:hAnsiTheme="majorBidi" w:cstheme="majorBidi"/>
          <w:color w:val="000000" w:themeColor="text1"/>
        </w:rPr>
        <w:t>.</w:t>
      </w:r>
    </w:p>
    <w:p w14:paraId="21D81E29"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HR practices are subject to government regulations, civil service rules, and compliance requirements. These regulations aim to ensure fairness, equal opportunity, and transparency in recruitment, selection, and promotions. Public sector HR professionals must navigate complex bureaucratic processes, adhere to standardized procedures, and maintain compliance with legal and regulatory frameworks.</w:t>
      </w:r>
    </w:p>
    <w:p w14:paraId="74DA196D" w14:textId="6E0E6F98"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4" w:name="_Toc138344905"/>
      <w:r w:rsidRPr="00BC6E0C">
        <w:rPr>
          <w:rFonts w:asciiTheme="majorBidi" w:hAnsiTheme="majorBidi"/>
          <w:b/>
          <w:bCs/>
          <w:color w:val="000000" w:themeColor="text1"/>
          <w:sz w:val="28"/>
          <w:szCs w:val="28"/>
          <w:lang w:eastAsia="en-GB"/>
        </w:rPr>
        <w:t>Funding and Budget Constraints</w:t>
      </w:r>
      <w:bookmarkEnd w:id="4"/>
    </w:p>
    <w:p w14:paraId="72D9AA68" w14:textId="77D123F6"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Private sector organizations generate revenue from their products or services, allowing them more autonomy in allocating resources, including HR budgets. HR strategies in the private sector are often driven by financial considerations and investments that support business growth and profitability. Private organizations can allocate funds to attract top talent, invest in training and development programs, and implement performance-based reward systems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Zhang, &amp; Chen, 2023)</w:t>
      </w:r>
      <w:r w:rsidRPr="00BC6E0C">
        <w:rPr>
          <w:rFonts w:asciiTheme="majorBidi" w:hAnsiTheme="majorBidi" w:cstheme="majorBidi"/>
          <w:color w:val="000000" w:themeColor="text1"/>
        </w:rPr>
        <w:t>.</w:t>
      </w:r>
    </w:p>
    <w:p w14:paraId="04EF987F" w14:textId="5BDACCE3"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organizations rely on public funds allocated through budgets approved by government entities. HR strategies in the public sector need to align with budgetary limitations and political priorities. Public sector HR professionals face challenges in managing HR budgets efficiently while meeting the needs of a diverse workforce and delivering effective public services within resource constraints.</w:t>
      </w:r>
    </w:p>
    <w:p w14:paraId="07300E64" w14:textId="59A4CD25"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5" w:name="_Toc138344906"/>
      <w:r w:rsidRPr="00BC6E0C">
        <w:rPr>
          <w:rFonts w:asciiTheme="majorBidi" w:hAnsiTheme="majorBidi"/>
          <w:b/>
          <w:bCs/>
          <w:color w:val="000000" w:themeColor="text1"/>
          <w:sz w:val="28"/>
          <w:szCs w:val="28"/>
          <w:lang w:eastAsia="en-GB"/>
        </w:rPr>
        <w:t>Employee Motivation and Engagement</w:t>
      </w:r>
      <w:bookmarkEnd w:id="5"/>
    </w:p>
    <w:p w14:paraId="00E59FAC" w14:textId="4FCCB07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Private sector organizations often leverage financial incentives, stock options, performance bonuses, and other rewards to motivate and retain employees. The competitive nature of the private sector drives a focus on individual performance and merit-based advancement. Employee motivation in the private sector is often tied to financial gains and opportunities for career advancement</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Trieu, et al., 2023)</w:t>
      </w:r>
    </w:p>
    <w:p w14:paraId="042B2ECD" w14:textId="23786C70"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lastRenderedPageBreak/>
        <w:t>In the public sector, compensation structures are typically based on standardized pay scales that reflect job classifications and seniority. While financial incentives may exist to some extent, motivation in the public sector is driven more by a sense of public service, job security, and the opportunity to make a positive impact on society. HR professionals in the public sector focus on fostering employee engagement by highlighting the meaningfulness of their work and creating a sense of pride in serving the public interest</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Zhang, &amp; Chen, 2023)</w:t>
      </w:r>
      <w:r w:rsidRPr="00BC6E0C">
        <w:rPr>
          <w:rFonts w:asciiTheme="majorBidi" w:hAnsiTheme="majorBidi" w:cstheme="majorBidi"/>
          <w:color w:val="000000" w:themeColor="text1"/>
        </w:rPr>
        <w:t>.</w:t>
      </w:r>
    </w:p>
    <w:p w14:paraId="07AF337D" w14:textId="4CE33F46" w:rsidR="005A0519" w:rsidRPr="00BC6E0C" w:rsidRDefault="00194E87"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E</w:t>
      </w:r>
      <w:r w:rsidR="005A0519" w:rsidRPr="00BC6E0C">
        <w:rPr>
          <w:rFonts w:asciiTheme="majorBidi" w:hAnsiTheme="majorBidi" w:cstheme="majorBidi"/>
          <w:color w:val="000000" w:themeColor="text1"/>
        </w:rPr>
        <w:t xml:space="preserve">) Unionization and Collective Bargaining: Union representation and collective bargaining are more prevalent in the public sector compared to the private sector. Public sector HR professionals often deal with </w:t>
      </w:r>
      <w:proofErr w:type="spellStart"/>
      <w:r w:rsidR="005A0519" w:rsidRPr="00BC6E0C">
        <w:rPr>
          <w:rFonts w:asciiTheme="majorBidi" w:hAnsiTheme="majorBidi" w:cstheme="majorBidi"/>
          <w:color w:val="000000" w:themeColor="text1"/>
        </w:rPr>
        <w:t>labor</w:t>
      </w:r>
      <w:proofErr w:type="spellEnd"/>
      <w:r w:rsidR="005A0519" w:rsidRPr="00BC6E0C">
        <w:rPr>
          <w:rFonts w:asciiTheme="majorBidi" w:hAnsiTheme="majorBidi" w:cstheme="majorBidi"/>
          <w:color w:val="000000" w:themeColor="text1"/>
        </w:rPr>
        <w:t xml:space="preserve"> relations, negotiations with unions, and the administration of collective bargaining agreements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Al-Alawi, et al., 2023)</w:t>
      </w:r>
      <w:r w:rsidR="005A0519" w:rsidRPr="00BC6E0C">
        <w:rPr>
          <w:rFonts w:asciiTheme="majorBidi" w:hAnsiTheme="majorBidi" w:cstheme="majorBidi"/>
          <w:color w:val="000000" w:themeColor="text1"/>
        </w:rPr>
        <w:t xml:space="preserve">. Unionized environments in the public sector introduce additional complexities and considerations in HR practices, such as handling grievances, managing </w:t>
      </w:r>
      <w:proofErr w:type="spellStart"/>
      <w:r w:rsidR="005A0519" w:rsidRPr="00BC6E0C">
        <w:rPr>
          <w:rFonts w:asciiTheme="majorBidi" w:hAnsiTheme="majorBidi" w:cstheme="majorBidi"/>
          <w:color w:val="000000" w:themeColor="text1"/>
        </w:rPr>
        <w:t>labor</w:t>
      </w:r>
      <w:proofErr w:type="spellEnd"/>
      <w:r w:rsidR="005A0519" w:rsidRPr="00BC6E0C">
        <w:rPr>
          <w:rFonts w:asciiTheme="majorBidi" w:hAnsiTheme="majorBidi" w:cstheme="majorBidi"/>
          <w:color w:val="000000" w:themeColor="text1"/>
        </w:rPr>
        <w:t xml:space="preserve"> disputes, and ensuring compliance with negotiated terms and conditions of employment.</w:t>
      </w:r>
    </w:p>
    <w:p w14:paraId="1491E00F" w14:textId="4C5A3D2C" w:rsidR="005A0519"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6" w:name="_Toc138344907"/>
      <w:r w:rsidRPr="00BC6E0C">
        <w:rPr>
          <w:rFonts w:asciiTheme="majorBidi" w:hAnsiTheme="majorBidi"/>
          <w:b/>
          <w:bCs/>
          <w:color w:val="000000" w:themeColor="text1"/>
          <w:sz w:val="28"/>
          <w:szCs w:val="28"/>
          <w:lang w:eastAsia="en-GB"/>
        </w:rPr>
        <w:t>E</w:t>
      </w:r>
      <w:r w:rsidR="005A0519" w:rsidRPr="00BC6E0C">
        <w:rPr>
          <w:rFonts w:asciiTheme="majorBidi" w:hAnsiTheme="majorBidi"/>
          <w:b/>
          <w:bCs/>
          <w:color w:val="000000" w:themeColor="text1"/>
          <w:sz w:val="28"/>
          <w:szCs w:val="28"/>
          <w:lang w:eastAsia="en-GB"/>
        </w:rPr>
        <w:t>ffectiveness of HR strategy</w:t>
      </w:r>
      <w:bookmarkEnd w:id="6"/>
    </w:p>
    <w:p w14:paraId="1A2E6232" w14:textId="79776511"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lang w:eastAsia="en-GB"/>
        </w:rPr>
        <w:t>The effectiveness of HR strategy can be determined by various factors that differ based on the sector. Here are some key considerations:</w:t>
      </w:r>
    </w:p>
    <w:p w14:paraId="026C15F4" w14:textId="30243E51"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7" w:name="_Toc138344908"/>
      <w:r w:rsidRPr="00BC6E0C">
        <w:rPr>
          <w:rFonts w:asciiTheme="majorBidi" w:hAnsiTheme="majorBidi"/>
          <w:b/>
          <w:bCs/>
          <w:color w:val="000000" w:themeColor="text1"/>
          <w:sz w:val="28"/>
          <w:szCs w:val="28"/>
          <w:lang w:eastAsia="en-GB"/>
        </w:rPr>
        <w:t>Alignment with Organizational Goals</w:t>
      </w:r>
      <w:bookmarkEnd w:id="7"/>
    </w:p>
    <w:p w14:paraId="0A2EC541" w14:textId="3AC56A8B" w:rsidR="005A0519" w:rsidRPr="00BC6E0C" w:rsidRDefault="005A0519" w:rsidP="00AF7B7D">
      <w:pPr>
        <w:spacing w:before="240" w:line="360" w:lineRule="auto"/>
        <w:jc w:val="both"/>
        <w:rPr>
          <w:rFonts w:asciiTheme="majorBidi" w:hAnsiTheme="majorBidi" w:cstheme="majorBidi"/>
        </w:rPr>
      </w:pPr>
      <w:r w:rsidRPr="00BC6E0C">
        <w:rPr>
          <w:rFonts w:asciiTheme="majorBidi" w:hAnsiTheme="majorBidi" w:cstheme="majorBidi"/>
          <w:color w:val="000000" w:themeColor="text1"/>
        </w:rPr>
        <w:t>In both the private and public sectors, the effectiveness of HR strategy is determined by its alignment with the overall goals and objectives of the organization. In the private sector, this alignment is often measured through financial performance indicators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Lu, et al., 2023)</w:t>
      </w:r>
      <w:r w:rsidRPr="00BC6E0C">
        <w:rPr>
          <w:rFonts w:asciiTheme="majorBidi" w:hAnsiTheme="majorBidi" w:cstheme="majorBidi"/>
          <w:color w:val="000000" w:themeColor="text1"/>
        </w:rPr>
        <w:t>. HR strategies that contribute to revenue growth, profitability, and return on investment are considered effective</w:t>
      </w:r>
      <w:r w:rsidR="00AF7B7D" w:rsidRPr="00BC6E0C">
        <w:rPr>
          <w:rFonts w:asciiTheme="majorBidi" w:hAnsiTheme="majorBidi" w:cstheme="majorBidi"/>
          <w:color w:val="000000" w:themeColor="text1"/>
        </w:rPr>
        <w:t xml:space="preserve"> (</w:t>
      </w:r>
      <w:proofErr w:type="spellStart"/>
      <w:r w:rsidR="00AF7B7D" w:rsidRPr="00BC6E0C">
        <w:rPr>
          <w:rFonts w:asciiTheme="majorBidi" w:hAnsiTheme="majorBidi" w:cstheme="majorBidi"/>
          <w:color w:val="222222"/>
          <w:shd w:val="clear" w:color="auto" w:fill="FFFFFF"/>
        </w:rPr>
        <w:t>Elshaer</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rPr>
        <w:t>. For example, if a company's HR strategy focuses on talent acquisition and retention, resulting in a highly skilled workforce that drives innovation and market competitiveness, it would be seen as effective.</w:t>
      </w:r>
    </w:p>
    <w:p w14:paraId="3F520097"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effectiveness is assessed based on the achievement of broader organizational goals such as service delivery, citizen satisfaction, and the accomplishment of public policy objectives. For instance, if an HR strategy in a government agency focuses on recruiting and developing employees with the necessary skills to improve service quality and meet citizen needs, it would be considered effective if those goals are successfully achieved.</w:t>
      </w:r>
    </w:p>
    <w:p w14:paraId="093E6B3E"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8" w:name="_Toc138344909"/>
      <w:r w:rsidRPr="00BC6E0C">
        <w:rPr>
          <w:rFonts w:asciiTheme="majorBidi" w:hAnsiTheme="majorBidi"/>
          <w:b/>
          <w:bCs/>
          <w:color w:val="000000" w:themeColor="text1"/>
          <w:sz w:val="28"/>
          <w:szCs w:val="28"/>
          <w:lang w:eastAsia="en-GB"/>
        </w:rPr>
        <w:lastRenderedPageBreak/>
        <w:t>Stakeholder Satisfaction</w:t>
      </w:r>
      <w:bookmarkEnd w:id="8"/>
    </w:p>
    <w:p w14:paraId="47ED809D" w14:textId="441D0CF9"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Both sectors evaluate HR strategy effectiveness by considering stakeholder satisfaction. In the private sector, stakeholders typically include shareholders, customers, and employees. Satisfaction levels can be assessed through various means, such as surveys, feedback mechanisms, and performance indicators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Pham, et al., 2023)</w:t>
      </w:r>
      <w:r w:rsidRPr="00BC6E0C">
        <w:rPr>
          <w:rFonts w:asciiTheme="majorBidi" w:hAnsiTheme="majorBidi" w:cstheme="majorBidi"/>
          <w:color w:val="000000" w:themeColor="text1"/>
        </w:rPr>
        <w:t>. For example, if an HR strategy in a private company results in improved customer satisfaction, increased shareholder value, and positive feedback from employees regarding their working conditions and development opportunities, it would be seen as effective.</w:t>
      </w:r>
    </w:p>
    <w:p w14:paraId="7D6BE61E" w14:textId="764C1854"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the public sector, stakeholders extend beyond the traditional private sector stakeholders. They include citizens, government agencies, elected officials, and community groups. Public sector HR strategy effectiveness is often measured through public opinion surveys, service quality evaluations, and policy outcomes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Meng, et al., 2023)</w:t>
      </w:r>
      <w:r w:rsidRPr="00BC6E0C">
        <w:rPr>
          <w:rFonts w:asciiTheme="majorBidi" w:hAnsiTheme="majorBidi" w:cstheme="majorBidi"/>
          <w:color w:val="000000" w:themeColor="text1"/>
        </w:rPr>
        <w:t>. For instance, if an HR strategy in a public sector organization leads to increased citizen satisfaction with public services, positive feedback from government agencies on HR practices, and successful implementation of diversity and inclusion initiatives, it would be considered effective.</w:t>
      </w:r>
    </w:p>
    <w:p w14:paraId="208E62B5"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9" w:name="_Toc138344910"/>
      <w:r w:rsidRPr="00BC6E0C">
        <w:rPr>
          <w:rFonts w:asciiTheme="majorBidi" w:hAnsiTheme="majorBidi"/>
          <w:b/>
          <w:bCs/>
          <w:color w:val="000000" w:themeColor="text1"/>
          <w:sz w:val="28"/>
          <w:szCs w:val="28"/>
          <w:lang w:eastAsia="en-GB"/>
        </w:rPr>
        <w:t>Compliance and Regulatory Requirements</w:t>
      </w:r>
      <w:bookmarkEnd w:id="9"/>
    </w:p>
    <w:p w14:paraId="2F67F9FF" w14:textId="53E9DC5C"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Effectiveness in the public sector is closely tied to adherence to legal and regulatory frameworks governing HR practices. Compliance with regulations ensures fairness, equity, and non-discrimination in HR processes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 xml:space="preserve">Van den </w:t>
      </w:r>
      <w:proofErr w:type="spellStart"/>
      <w:r w:rsidR="00AF7B7D" w:rsidRPr="00BC6E0C">
        <w:rPr>
          <w:rFonts w:asciiTheme="majorBidi" w:hAnsiTheme="majorBidi" w:cstheme="majorBidi"/>
          <w:color w:val="222222"/>
          <w:shd w:val="clear" w:color="auto" w:fill="FFFFFF"/>
        </w:rPr>
        <w:t>Groenendaal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rPr>
        <w:t>. Public sector organizations evaluate the effectiveness of HR strategies by assessing their alignment with these requirements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Lu, et al., 2023)</w:t>
      </w:r>
      <w:r w:rsidRPr="00BC6E0C">
        <w:rPr>
          <w:rFonts w:asciiTheme="majorBidi" w:hAnsiTheme="majorBidi" w:cstheme="majorBidi"/>
          <w:color w:val="000000" w:themeColor="text1"/>
        </w:rPr>
        <w:t>. For example, if an HR strategy in a government agency successfully ensures compliance with equal employment opportunity regulations, fosters diversity and inclusion, and maintains transparency in recruitment and promotion processes, it would be considered effective.</w:t>
      </w:r>
    </w:p>
    <w:p w14:paraId="604582A4"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10" w:name="_Toc138344911"/>
      <w:r w:rsidRPr="00BC6E0C">
        <w:rPr>
          <w:rFonts w:asciiTheme="majorBidi" w:hAnsiTheme="majorBidi"/>
          <w:b/>
          <w:bCs/>
          <w:color w:val="000000" w:themeColor="text1"/>
          <w:sz w:val="28"/>
          <w:szCs w:val="28"/>
          <w:lang w:eastAsia="en-GB"/>
        </w:rPr>
        <w:t>Employee Development and Retention</w:t>
      </w:r>
      <w:bookmarkEnd w:id="10"/>
    </w:p>
    <w:p w14:paraId="42EE7118" w14:textId="68A21FB8"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Both sectors recognize the importance of employee development and retention as indicators of HR strategy effectiveness. In the private sector, organizations assess the effectiveness of their HR strategies by measuring employee satisfaction, engagement, and retention rates. Positive outcomes such as high employee satisfaction scores, low turnover rates, and increased employee productivity indicate effective HR strategies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Beck, et al., 2023)</w:t>
      </w:r>
      <w:r w:rsidRPr="00BC6E0C">
        <w:rPr>
          <w:rFonts w:asciiTheme="majorBidi" w:hAnsiTheme="majorBidi" w:cstheme="majorBidi"/>
          <w:color w:val="000000" w:themeColor="text1"/>
        </w:rPr>
        <w:t xml:space="preserve">. For instance, if an </w:t>
      </w:r>
      <w:r w:rsidRPr="00BC6E0C">
        <w:rPr>
          <w:rFonts w:asciiTheme="majorBidi" w:hAnsiTheme="majorBidi" w:cstheme="majorBidi"/>
          <w:color w:val="000000" w:themeColor="text1"/>
        </w:rPr>
        <w:lastRenderedPageBreak/>
        <w:t>HR strategy in a private company focuses on providing ongoing learning and development opportunities, offers competitive compensation and benefits, and creates a positive work environment resulting in high employee engagement and retention, it would be considered effective.</w:t>
      </w:r>
    </w:p>
    <w:p w14:paraId="50758E2B" w14:textId="59503CE2"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Similarly, in the public sector, HR strategy effectiveness is assessed through metrics such as employee satisfaction surveys, turnover rates, training and development program outcomes, and career progression within the organization</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Beck, et al., 2023)</w:t>
      </w:r>
      <w:r w:rsidRPr="00BC6E0C">
        <w:rPr>
          <w:rFonts w:asciiTheme="majorBidi" w:hAnsiTheme="majorBidi" w:cstheme="majorBidi"/>
          <w:color w:val="000000" w:themeColor="text1"/>
        </w:rPr>
        <w:t>. If an HR strategy in a public sector entity successfully supports employee growth, provides opportunities for career advancement, and fosters a positive work environment, resulting in high employee satisfaction and retention, it would be considered effective.</w:t>
      </w:r>
    </w:p>
    <w:p w14:paraId="14459268" w14:textId="069532C3" w:rsidR="005A0519" w:rsidRPr="00BC6E0C" w:rsidRDefault="005A0519" w:rsidP="00AF7B7D">
      <w:pPr>
        <w:pStyle w:val="Heading1"/>
        <w:spacing w:line="360" w:lineRule="auto"/>
        <w:rPr>
          <w:rFonts w:asciiTheme="majorBidi" w:hAnsiTheme="majorBidi"/>
          <w:b/>
          <w:bCs/>
          <w:color w:val="000000" w:themeColor="text1"/>
          <w:sz w:val="28"/>
          <w:szCs w:val="28"/>
          <w:lang w:eastAsia="en-GB"/>
        </w:rPr>
      </w:pPr>
      <w:bookmarkStart w:id="11" w:name="_Toc138344912"/>
      <w:r w:rsidRPr="00BC6E0C">
        <w:rPr>
          <w:rFonts w:asciiTheme="majorBidi" w:hAnsiTheme="majorBidi"/>
          <w:b/>
          <w:bCs/>
          <w:color w:val="000000" w:themeColor="text1"/>
          <w:sz w:val="28"/>
          <w:szCs w:val="28"/>
          <w:lang w:eastAsia="en-GB"/>
        </w:rPr>
        <w:t>HR develop employees to achieve strategic goals</w:t>
      </w:r>
      <w:bookmarkEnd w:id="11"/>
    </w:p>
    <w:p w14:paraId="4E051CB1"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lang w:eastAsia="en-GB"/>
        </w:rPr>
        <w:t>To develop employees and help them achieve strategic goals, HR can implement the following practices:</w:t>
      </w:r>
    </w:p>
    <w:p w14:paraId="65D3F335" w14:textId="4C347398"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2" w:name="_Toc138344913"/>
      <w:r w:rsidRPr="00BC6E0C">
        <w:rPr>
          <w:rFonts w:asciiTheme="majorBidi" w:hAnsiTheme="majorBidi"/>
          <w:b/>
          <w:bCs/>
          <w:color w:val="000000" w:themeColor="text1"/>
          <w:sz w:val="28"/>
          <w:szCs w:val="28"/>
          <w:lang w:eastAsia="en-GB"/>
        </w:rPr>
        <w:t>Training and Development</w:t>
      </w:r>
      <w:bookmarkEnd w:id="12"/>
    </w:p>
    <w:p w14:paraId="57E11A3D" w14:textId="58B07A5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play a crucial role in designing and implementing training and development programs that enhance employees' skills and capabilities aligned with strategic goals. This can involve identifying competency gaps, providing targeted training workshops or seminars, offering online learning platforms, and encouraging employees to pursue relevant certifications or educational opportunities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Tu, et al., 2023)</w:t>
      </w:r>
      <w:r w:rsidRPr="00BC6E0C">
        <w:rPr>
          <w:rFonts w:asciiTheme="majorBidi" w:hAnsiTheme="majorBidi" w:cstheme="majorBidi"/>
          <w:color w:val="000000" w:themeColor="text1"/>
          <w:lang w:eastAsia="en-GB"/>
        </w:rPr>
        <w:t>. By investing in employee development, HR enables individuals to acquire the knowledge and skills necessary to contribute effectively to the organization's strategic objectives.</w:t>
      </w:r>
    </w:p>
    <w:p w14:paraId="109CFB17"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3" w:name="_Toc138344914"/>
      <w:r w:rsidRPr="00BC6E0C">
        <w:rPr>
          <w:rFonts w:asciiTheme="majorBidi" w:hAnsiTheme="majorBidi"/>
          <w:b/>
          <w:bCs/>
          <w:color w:val="000000" w:themeColor="text1"/>
          <w:sz w:val="28"/>
          <w:szCs w:val="28"/>
          <w:lang w:eastAsia="en-GB"/>
        </w:rPr>
        <w:t>Performance Management</w:t>
      </w:r>
      <w:bookmarkEnd w:id="13"/>
    </w:p>
    <w:p w14:paraId="71B86967" w14:textId="57880B22"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Effective performance management systems can contribute to employees' development and alignment with strategic goals. HR can establish a performance management framework that includes clear goal-setting processes, regular feedback and coaching sessions, performance evaluations, and recognition programs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Tu, et al., 2023)</w:t>
      </w:r>
      <w:r w:rsidRPr="00BC6E0C">
        <w:rPr>
          <w:rFonts w:asciiTheme="majorBidi" w:hAnsiTheme="majorBidi" w:cstheme="majorBidi"/>
          <w:color w:val="000000" w:themeColor="text1"/>
          <w:lang w:eastAsia="en-GB"/>
        </w:rPr>
        <w:t>. By setting SMART (Specific, Measurable, Achievable, Relevant, and Time-bound) goals and providing ongoing feedback, HR helps employees understand expectations, identify areas for improvement, and align their efforts with strategic priorities.</w:t>
      </w:r>
    </w:p>
    <w:p w14:paraId="58E09E50"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4" w:name="_Toc138344915"/>
      <w:r w:rsidRPr="00BC6E0C">
        <w:rPr>
          <w:rFonts w:asciiTheme="majorBidi" w:hAnsiTheme="majorBidi"/>
          <w:b/>
          <w:bCs/>
          <w:color w:val="000000" w:themeColor="text1"/>
          <w:sz w:val="28"/>
          <w:szCs w:val="28"/>
          <w:lang w:eastAsia="en-GB"/>
        </w:rPr>
        <w:lastRenderedPageBreak/>
        <w:t>Succession Planning</w:t>
      </w:r>
      <w:bookmarkEnd w:id="14"/>
    </w:p>
    <w:p w14:paraId="4AB09884" w14:textId="0FF6C3F8"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identify high-potential employees within the organization and create succession plans that outline development opportunities and career paths for these individuals. Succession planning ensures a talent pipeline for key roles and allows HR to proactively develop and groom future leaders. By providing targeted development experiences, mentoring, and exposure to strategic initiatives, HR helps employees acquire the skills and experiences needed to fill critical positions in the future</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Alzghoul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lang w:eastAsia="en-GB"/>
        </w:rPr>
        <w:t>.</w:t>
      </w:r>
    </w:p>
    <w:p w14:paraId="1B36315F"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5" w:name="_Toc138344916"/>
      <w:r w:rsidRPr="00BC6E0C">
        <w:rPr>
          <w:rFonts w:asciiTheme="majorBidi" w:hAnsiTheme="majorBidi"/>
          <w:b/>
          <w:bCs/>
          <w:color w:val="000000" w:themeColor="text1"/>
          <w:sz w:val="28"/>
          <w:szCs w:val="28"/>
          <w:lang w:eastAsia="en-GB"/>
        </w:rPr>
        <w:t>Career Development</w:t>
      </w:r>
      <w:bookmarkEnd w:id="15"/>
    </w:p>
    <w:p w14:paraId="73D7E2C8" w14:textId="1CB5AFB7"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facilitate career development opportunities that align employees' aspirations with strategic goals. This can involve creating career paths, providing job rotation programs, offering special assignments or projects, and supporting employees in pursuing professional growth opportunities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Alavi</w:t>
      </w:r>
      <w:proofErr w:type="spellEnd"/>
      <w:r w:rsidR="00AF7B7D" w:rsidRPr="00BC6E0C">
        <w:rPr>
          <w:rFonts w:asciiTheme="majorBidi" w:hAnsiTheme="majorBidi" w:cstheme="majorBidi"/>
          <w:color w:val="222222"/>
          <w:shd w:val="clear" w:color="auto" w:fill="FFFFFF"/>
        </w:rPr>
        <w:t xml:space="preserve">, &amp; </w:t>
      </w:r>
      <w:proofErr w:type="spellStart"/>
      <w:r w:rsidR="00AF7B7D" w:rsidRPr="00BC6E0C">
        <w:rPr>
          <w:rFonts w:asciiTheme="majorBidi" w:hAnsiTheme="majorBidi" w:cstheme="majorBidi"/>
          <w:color w:val="222222"/>
          <w:shd w:val="clear" w:color="auto" w:fill="FFFFFF"/>
        </w:rPr>
        <w:t>Aghakhani</w:t>
      </w:r>
      <w:proofErr w:type="spellEnd"/>
      <w:r w:rsidR="00AF7B7D" w:rsidRPr="00BC6E0C">
        <w:rPr>
          <w:rFonts w:asciiTheme="majorBidi" w:hAnsiTheme="majorBidi" w:cstheme="majorBidi"/>
          <w:color w:val="222222"/>
          <w:shd w:val="clear" w:color="auto" w:fill="FFFFFF"/>
        </w:rPr>
        <w:t>, 2023)</w:t>
      </w:r>
      <w:r w:rsidRPr="00BC6E0C">
        <w:rPr>
          <w:rFonts w:asciiTheme="majorBidi" w:hAnsiTheme="majorBidi" w:cstheme="majorBidi"/>
          <w:color w:val="000000" w:themeColor="text1"/>
          <w:lang w:eastAsia="en-GB"/>
        </w:rPr>
        <w:t>. By expanding employees' horizons and offering diverse experiences, HR helps individuals develop a broader skill set, gain a deeper understanding of the organization, and contribute effectively to strategic initiatives.</w:t>
      </w:r>
    </w:p>
    <w:p w14:paraId="58325CC3"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6" w:name="_Toc138344917"/>
      <w:r w:rsidRPr="00BC6E0C">
        <w:rPr>
          <w:rFonts w:asciiTheme="majorBidi" w:hAnsiTheme="majorBidi"/>
          <w:b/>
          <w:bCs/>
          <w:color w:val="000000" w:themeColor="text1"/>
          <w:sz w:val="28"/>
          <w:szCs w:val="28"/>
          <w:lang w:eastAsia="en-GB"/>
        </w:rPr>
        <w:t>Coaching and Mentoring</w:t>
      </w:r>
      <w:bookmarkEnd w:id="16"/>
    </w:p>
    <w:p w14:paraId="3C2402E6" w14:textId="58CB9779"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implement coaching and mentoring programs that pair experienced professionals with employees seeking guidance and support in their career development. Mentors can provide valuable insights, share their experiences, and offer advice on navigating challenges and opportunities. Through one-on-one coaching and mentoring relationships, HR enables employees to enhance their skills, develop professionally, and gain valuable perspectives aligned with strategic goals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Alzghoul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lang w:eastAsia="en-GB"/>
        </w:rPr>
        <w:t>.</w:t>
      </w:r>
    </w:p>
    <w:p w14:paraId="34F832F3"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7" w:name="_Toc138344918"/>
      <w:r w:rsidRPr="00BC6E0C">
        <w:rPr>
          <w:rFonts w:asciiTheme="majorBidi" w:hAnsiTheme="majorBidi"/>
          <w:b/>
          <w:bCs/>
          <w:color w:val="000000" w:themeColor="text1"/>
          <w:sz w:val="28"/>
          <w:szCs w:val="28"/>
          <w:lang w:eastAsia="en-GB"/>
        </w:rPr>
        <w:t>Continuous Learning and Knowledge Sharing</w:t>
      </w:r>
      <w:bookmarkEnd w:id="17"/>
    </w:p>
    <w:p w14:paraId="4C900F24" w14:textId="19A8F1F3"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foster a culture of continuous learning and knowledge sharing within the organization. This can involve creating learning platforms, providing access to online resources and educational materials, organizing knowledge-sharing sessions or communities of practice, and encouraging employees to participate in conferences or industry events. By promoting a learning mindset and facilitating the exchange of knowledge and best practices, HR ensures that employees stay updated with industry trends, acquire new skills, and contribute innovative ideas that support strategic goals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Jiang, et al., 2023)</w:t>
      </w:r>
      <w:r w:rsidRPr="00BC6E0C">
        <w:rPr>
          <w:rFonts w:asciiTheme="majorBidi" w:hAnsiTheme="majorBidi" w:cstheme="majorBidi"/>
          <w:color w:val="000000" w:themeColor="text1"/>
          <w:lang w:eastAsia="en-GB"/>
        </w:rPr>
        <w:t>.</w:t>
      </w:r>
    </w:p>
    <w:p w14:paraId="2525CE66" w14:textId="2DDB6704" w:rsidR="005A0519"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18" w:name="_Toc138344919"/>
      <w:r w:rsidRPr="00BC6E0C">
        <w:rPr>
          <w:rFonts w:asciiTheme="majorBidi" w:hAnsiTheme="majorBidi"/>
          <w:b/>
          <w:bCs/>
          <w:color w:val="000000" w:themeColor="text1"/>
          <w:sz w:val="28"/>
          <w:szCs w:val="28"/>
          <w:lang w:eastAsia="en-GB"/>
        </w:rPr>
        <w:lastRenderedPageBreak/>
        <w:t xml:space="preserve">Organizational </w:t>
      </w:r>
      <w:r w:rsidR="005A0519" w:rsidRPr="00BC6E0C">
        <w:rPr>
          <w:rFonts w:asciiTheme="majorBidi" w:hAnsiTheme="majorBidi"/>
          <w:b/>
          <w:bCs/>
          <w:color w:val="000000" w:themeColor="text1"/>
          <w:sz w:val="28"/>
          <w:szCs w:val="28"/>
          <w:lang w:eastAsia="en-GB"/>
        </w:rPr>
        <w:t>climate factors affect the effectiveness of HR strategy</w:t>
      </w:r>
      <w:bookmarkEnd w:id="18"/>
    </w:p>
    <w:p w14:paraId="366BEEEE"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Several organizational climate factors can impact the effectiveness of HR strategy. These include:</w:t>
      </w:r>
    </w:p>
    <w:p w14:paraId="188B771A" w14:textId="07F70E0B"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19" w:name="_Toc138344920"/>
      <w:r w:rsidRPr="00BC6E0C">
        <w:rPr>
          <w:rFonts w:asciiTheme="majorBidi" w:hAnsiTheme="majorBidi"/>
          <w:b/>
          <w:bCs/>
          <w:color w:val="000000" w:themeColor="text1"/>
          <w:sz w:val="28"/>
          <w:szCs w:val="28"/>
          <w:lang w:eastAsia="en-GB"/>
        </w:rPr>
        <w:t>Leadership Support</w:t>
      </w:r>
      <w:bookmarkEnd w:id="19"/>
    </w:p>
    <w:p w14:paraId="6D6C2589" w14:textId="7E2CBF2A"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The support and commitment of top leadership are critical for the success of HR strategies. When leaders actively endorse and champion HR initiatives, it sends a powerful message to the entire organization about the importance of those strategies. Leadership support can be demonstrated through clear communication of strategic goals, provision of necessary resources, participation in HR-related activities, and role-modeling desired behaviors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Jiang, et al., 2023)</w:t>
      </w:r>
      <w:r w:rsidRPr="00BC6E0C">
        <w:rPr>
          <w:rFonts w:asciiTheme="majorBidi" w:hAnsiTheme="majorBidi" w:cstheme="majorBidi"/>
          <w:color w:val="000000" w:themeColor="text1"/>
          <w:lang w:eastAsia="en-GB"/>
        </w:rPr>
        <w:t>. When leaders actively engage with HR initiatives, it creates a positive climate that encourages employee participation and commitment.</w:t>
      </w:r>
    </w:p>
    <w:p w14:paraId="0E9BCA4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0" w:name="_Toc138344921"/>
      <w:r w:rsidRPr="00BC6E0C">
        <w:rPr>
          <w:rFonts w:asciiTheme="majorBidi" w:hAnsiTheme="majorBidi"/>
          <w:b/>
          <w:bCs/>
          <w:color w:val="000000" w:themeColor="text1"/>
          <w:sz w:val="28"/>
          <w:szCs w:val="28"/>
          <w:lang w:eastAsia="en-GB"/>
        </w:rPr>
        <w:t>Communication and Transparency</w:t>
      </w:r>
      <w:bookmarkEnd w:id="20"/>
    </w:p>
    <w:p w14:paraId="68E8F526" w14:textId="22FDC4DE"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Open and transparent communication channels play a significant role in the effectiveness of HR strategies. When employees are well-informed about the purpose, goals, and expected outcomes of HR initiatives, it enhances their understanding and reduces uncertainty</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Zada, et al., 2023)</w:t>
      </w:r>
      <w:r w:rsidRPr="00BC6E0C">
        <w:rPr>
          <w:rFonts w:asciiTheme="majorBidi" w:hAnsiTheme="majorBidi" w:cstheme="majorBidi"/>
          <w:color w:val="000000" w:themeColor="text1"/>
          <w:lang w:eastAsia="en-GB"/>
        </w:rPr>
        <w:t>. Clear communication fosters trust, increases employee engagement, and encourages collaboration. Transparency in decision-making processes related to HR practices, such as performance evaluations, promotions, and compensation, contributes to a positive climate and ensures fairness.</w:t>
      </w:r>
    </w:p>
    <w:p w14:paraId="56E6CAE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1" w:name="_Toc138344922"/>
      <w:r w:rsidRPr="00BC6E0C">
        <w:rPr>
          <w:rFonts w:asciiTheme="majorBidi" w:hAnsiTheme="majorBidi"/>
          <w:b/>
          <w:bCs/>
          <w:color w:val="000000" w:themeColor="text1"/>
          <w:sz w:val="28"/>
          <w:szCs w:val="28"/>
          <w:lang w:eastAsia="en-GB"/>
        </w:rPr>
        <w:t>Organizational Culture</w:t>
      </w:r>
      <w:bookmarkEnd w:id="21"/>
    </w:p>
    <w:p w14:paraId="4C11A0B9" w14:textId="4E43A08A"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The prevailing culture within the organization can greatly influence the effectiveness of HR strategies. An organization with a culture that values collaboration, innovation, and continuous improvement provides a conducive environment for HR initiatives. When employees perceive that the organization values and supports their development, they are more likely to embrace HR programs aimed at enhancing their skills, knowledge, and career growth</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Azam, 2023)</w:t>
      </w:r>
      <w:r w:rsidRPr="00BC6E0C">
        <w:rPr>
          <w:rFonts w:asciiTheme="majorBidi" w:hAnsiTheme="majorBidi" w:cstheme="majorBidi"/>
          <w:color w:val="000000" w:themeColor="text1"/>
          <w:lang w:eastAsia="en-GB"/>
        </w:rPr>
        <w:t>. A culture that promotes learning, recognizes achievements, and encourages creativity strengthens the impact of HR strategies.</w:t>
      </w:r>
    </w:p>
    <w:p w14:paraId="686D847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2" w:name="_Toc138344923"/>
      <w:r w:rsidRPr="00BC6E0C">
        <w:rPr>
          <w:rFonts w:asciiTheme="majorBidi" w:hAnsiTheme="majorBidi"/>
          <w:b/>
          <w:bCs/>
          <w:color w:val="000000" w:themeColor="text1"/>
          <w:sz w:val="28"/>
          <w:szCs w:val="28"/>
          <w:lang w:eastAsia="en-GB"/>
        </w:rPr>
        <w:lastRenderedPageBreak/>
        <w:t>Employee Involvement and Empowerment</w:t>
      </w:r>
      <w:bookmarkEnd w:id="22"/>
    </w:p>
    <w:p w14:paraId="5B4FC4F4" w14:textId="72CDBE0D"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Organizations that empower employees by involving them in decision-making processes and providing autonomy in their work tend to have more effective HR strategies. When employees are given opportunities to participate in the design and implementation of HR initiatives, they feel a sense of ownership and are more likely to be engaged and committed to achieving strategic goals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Yasin, et al., 2023)</w:t>
      </w:r>
      <w:r w:rsidRPr="00BC6E0C">
        <w:rPr>
          <w:rFonts w:asciiTheme="majorBidi" w:hAnsiTheme="majorBidi" w:cstheme="majorBidi"/>
          <w:color w:val="000000" w:themeColor="text1"/>
          <w:lang w:eastAsia="en-GB"/>
        </w:rPr>
        <w:t>. Empowered employees are more willing to take initiative, contribute their ideas, and adapt to changes driven by HR strategies.</w:t>
      </w:r>
    </w:p>
    <w:p w14:paraId="788D3FEE" w14:textId="77777777" w:rsidR="00194E87" w:rsidRPr="00BC6E0C" w:rsidRDefault="005A0519" w:rsidP="00AF7B7D">
      <w:pPr>
        <w:pStyle w:val="Heading2"/>
        <w:numPr>
          <w:ilvl w:val="0"/>
          <w:numId w:val="10"/>
        </w:numPr>
        <w:spacing w:before="240" w:line="360" w:lineRule="auto"/>
        <w:rPr>
          <w:rFonts w:asciiTheme="majorBidi" w:hAnsiTheme="majorBidi"/>
          <w:color w:val="000000" w:themeColor="text1"/>
          <w:lang w:eastAsia="en-GB"/>
        </w:rPr>
      </w:pPr>
      <w:bookmarkStart w:id="23" w:name="_Toc138344924"/>
      <w:r w:rsidRPr="00BC6E0C">
        <w:rPr>
          <w:rFonts w:asciiTheme="majorBidi" w:hAnsiTheme="majorBidi"/>
          <w:b/>
          <w:bCs/>
          <w:color w:val="000000" w:themeColor="text1"/>
          <w:sz w:val="28"/>
          <w:szCs w:val="28"/>
          <w:lang w:eastAsia="en-GB"/>
        </w:rPr>
        <w:t>Performance Recognition and Reward Systems</w:t>
      </w:r>
      <w:bookmarkEnd w:id="23"/>
    </w:p>
    <w:p w14:paraId="1E43A620" w14:textId="783CFEAD"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A fair and equitable performance recognition and reward system is vital for HR strategy effectiveness. When HR strategies include mechanisms for recognizing and rewarding high performance, it motivates employees to align their efforts with strategic objectives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Alavi</w:t>
      </w:r>
      <w:proofErr w:type="spellEnd"/>
      <w:r w:rsidR="00AF7B7D" w:rsidRPr="00BC6E0C">
        <w:rPr>
          <w:rFonts w:asciiTheme="majorBidi" w:hAnsiTheme="majorBidi" w:cstheme="majorBidi"/>
          <w:color w:val="222222"/>
          <w:shd w:val="clear" w:color="auto" w:fill="FFFFFF"/>
        </w:rPr>
        <w:t xml:space="preserve">, &amp; </w:t>
      </w:r>
      <w:proofErr w:type="spellStart"/>
      <w:r w:rsidR="00AF7B7D" w:rsidRPr="00BC6E0C">
        <w:rPr>
          <w:rFonts w:asciiTheme="majorBidi" w:hAnsiTheme="majorBidi" w:cstheme="majorBidi"/>
          <w:color w:val="222222"/>
          <w:shd w:val="clear" w:color="auto" w:fill="FFFFFF"/>
        </w:rPr>
        <w:t>Aghakhani</w:t>
      </w:r>
      <w:proofErr w:type="spellEnd"/>
      <w:r w:rsidR="00AF7B7D" w:rsidRPr="00BC6E0C">
        <w:rPr>
          <w:rFonts w:asciiTheme="majorBidi" w:hAnsiTheme="majorBidi" w:cstheme="majorBidi"/>
          <w:color w:val="222222"/>
          <w:shd w:val="clear" w:color="auto" w:fill="FFFFFF"/>
        </w:rPr>
        <w:t>, 2023)</w:t>
      </w:r>
      <w:r w:rsidRPr="00BC6E0C">
        <w:rPr>
          <w:rFonts w:asciiTheme="majorBidi" w:hAnsiTheme="majorBidi" w:cstheme="majorBidi"/>
          <w:color w:val="000000" w:themeColor="text1"/>
          <w:lang w:eastAsia="en-GB"/>
        </w:rPr>
        <w:t>. Effective performance management practices, such as regular feedback, objective performance evaluations, and appropriate rewards and recognition, foster a positive climate and reinforce desired behaviors. Employees feel valued and motivated to contribute their best, enhancing the effectiveness of HR strategies.</w:t>
      </w:r>
    </w:p>
    <w:p w14:paraId="3CE3E29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4" w:name="_Toc138344925"/>
      <w:r w:rsidRPr="00BC6E0C">
        <w:rPr>
          <w:rFonts w:asciiTheme="majorBidi" w:hAnsiTheme="majorBidi"/>
          <w:b/>
          <w:bCs/>
          <w:color w:val="000000" w:themeColor="text1"/>
          <w:sz w:val="28"/>
          <w:szCs w:val="28"/>
          <w:lang w:eastAsia="en-GB"/>
        </w:rPr>
        <w:t>Change Management Capabilities</w:t>
      </w:r>
      <w:bookmarkEnd w:id="24"/>
    </w:p>
    <w:p w14:paraId="2448D92B" w14:textId="6E59B1D6"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The organization's ability to manage change and adapt to evolving needs and circumstances can significantly impact the effectiveness of HR strategies. A climate that supports flexibility, agility, and resilience enables HR initiatives to be more responsive to organizational requirements. HR strategies often involve changes in processes, systems, and behaviors, and a climate that embraces change and provides support for employees during transitions enhances the effectiveness of those strategies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Ly, 2023)</w:t>
      </w:r>
      <w:r w:rsidRPr="00BC6E0C">
        <w:rPr>
          <w:rFonts w:asciiTheme="majorBidi" w:hAnsiTheme="majorBidi" w:cstheme="majorBidi"/>
          <w:color w:val="000000" w:themeColor="text1"/>
          <w:lang w:eastAsia="en-GB"/>
        </w:rPr>
        <w:t>. Effective change management practices, such as clear communication, stakeholder engagement, and addressing employee concerns, create a climate of trust and reduce resistance to HR initiatives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Yasin, et al., 2023)</w:t>
      </w:r>
      <w:r w:rsidRPr="00BC6E0C">
        <w:rPr>
          <w:rFonts w:asciiTheme="majorBidi" w:hAnsiTheme="majorBidi" w:cstheme="majorBidi"/>
          <w:color w:val="000000" w:themeColor="text1"/>
          <w:lang w:eastAsia="en-GB"/>
        </w:rPr>
        <w:t>.</w:t>
      </w:r>
    </w:p>
    <w:p w14:paraId="5C70FEF7" w14:textId="6BD53E4F" w:rsidR="007D63D3"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25" w:name="_Toc138344926"/>
      <w:r w:rsidRPr="00BC6E0C">
        <w:rPr>
          <w:rFonts w:asciiTheme="majorBidi" w:hAnsiTheme="majorBidi"/>
          <w:b/>
          <w:bCs/>
          <w:color w:val="000000" w:themeColor="text1"/>
          <w:sz w:val="28"/>
          <w:szCs w:val="28"/>
          <w:lang w:eastAsia="en-GB"/>
        </w:rPr>
        <w:t>S</w:t>
      </w:r>
      <w:r w:rsidR="005A0519" w:rsidRPr="00BC6E0C">
        <w:rPr>
          <w:rFonts w:asciiTheme="majorBidi" w:hAnsiTheme="majorBidi"/>
          <w:b/>
          <w:bCs/>
          <w:color w:val="000000" w:themeColor="text1"/>
          <w:sz w:val="28"/>
          <w:szCs w:val="28"/>
          <w:lang w:eastAsia="en-GB"/>
        </w:rPr>
        <w:t>ummary</w:t>
      </w:r>
      <w:bookmarkEnd w:id="25"/>
    </w:p>
    <w:p w14:paraId="668EC8ED" w14:textId="0DE9C4FB" w:rsidR="005A0519" w:rsidRPr="00BC6E0C" w:rsidRDefault="005A0519" w:rsidP="00385423">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 xml:space="preserve">In summary, HR in the private sector differs from HR in the public sector due to variations in organizational objectives, structures, regulatory environment, funding constraints, and employee motivation factors. Private sector HR focuses on profitability, efficiency, and competitive advantage, while public sector HR emphasizes delivering public services and </w:t>
      </w:r>
      <w:r w:rsidRPr="00BC6E0C">
        <w:rPr>
          <w:rFonts w:asciiTheme="majorBidi" w:hAnsiTheme="majorBidi" w:cstheme="majorBidi"/>
          <w:color w:val="000000" w:themeColor="text1"/>
          <w:lang w:eastAsia="en-GB"/>
        </w:rPr>
        <w:lastRenderedPageBreak/>
        <w:t>adhering to government policies.</w:t>
      </w:r>
      <w:r w:rsidR="00194E87" w:rsidRPr="00BC6E0C">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 xml:space="preserve">The effectiveness of HR strategy is determined by factors such as alignment with organizational goals, stakeholder satisfaction, compliance with regulations, and employee development and retention. </w:t>
      </w:r>
    </w:p>
    <w:p w14:paraId="6A8ECB4B" w14:textId="1BFEC1BA" w:rsidR="00BC6E0C" w:rsidRPr="00BC6E0C" w:rsidRDefault="005A0519" w:rsidP="00385423">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HR can develop employees to achieve strategic goals by implementing practices such as training and development, performance management, succession planning, career development, coaching and mentoring, and fostering a culture of continuous learning and knowledge sharing.</w:t>
      </w:r>
      <w:r w:rsidR="00194E87" w:rsidRPr="00BC6E0C">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Organizational climate factors that affect the effectiveness of HR strategy include leadership support, communication and transparency, organizational culture, employee involvement and empowerment, performance recognition and reward systems, and change management capabilities. These factors influence employee engagement, commitment, and alignment with strategic goals.</w:t>
      </w:r>
    </w:p>
    <w:p w14:paraId="53D10DDC" w14:textId="77777777" w:rsidR="00AF7B7D" w:rsidRPr="00BC6E0C" w:rsidRDefault="00AF7B7D" w:rsidP="00AF7B7D">
      <w:pPr>
        <w:spacing w:before="240" w:line="360" w:lineRule="auto"/>
        <w:jc w:val="both"/>
        <w:rPr>
          <w:rFonts w:asciiTheme="majorBidi" w:hAnsiTheme="majorBidi" w:cstheme="majorBidi"/>
          <w:color w:val="000000" w:themeColor="text1"/>
          <w:lang w:eastAsia="en-GB"/>
        </w:rPr>
      </w:pPr>
    </w:p>
    <w:p w14:paraId="5DA4DF92" w14:textId="60473FE2" w:rsidR="00AF7B7D" w:rsidRPr="00BC6E0C" w:rsidRDefault="00744539" w:rsidP="00AF7B7D">
      <w:pPr>
        <w:pStyle w:val="Heading1"/>
        <w:spacing w:line="360" w:lineRule="auto"/>
        <w:rPr>
          <w:rFonts w:asciiTheme="majorBidi" w:hAnsiTheme="majorBidi"/>
          <w:b/>
          <w:bCs/>
          <w:color w:val="000000" w:themeColor="text1"/>
          <w:sz w:val="28"/>
          <w:szCs w:val="28"/>
          <w:lang w:eastAsia="en-GB"/>
        </w:rPr>
      </w:pPr>
      <w:bookmarkStart w:id="26" w:name="_Toc138344927"/>
      <w:r w:rsidRPr="00BC6E0C">
        <w:rPr>
          <w:rFonts w:asciiTheme="majorBidi" w:hAnsiTheme="majorBidi"/>
          <w:b/>
          <w:bCs/>
          <w:color w:val="000000" w:themeColor="text1"/>
          <w:sz w:val="28"/>
          <w:szCs w:val="28"/>
          <w:lang w:eastAsia="en-GB"/>
        </w:rPr>
        <w:t>References</w:t>
      </w:r>
      <w:bookmarkEnd w:id="26"/>
    </w:p>
    <w:p w14:paraId="1921CD2B"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Al-Alawi, A. I., </w:t>
      </w:r>
      <w:proofErr w:type="spellStart"/>
      <w:r w:rsidRPr="00BC6E0C">
        <w:rPr>
          <w:rFonts w:asciiTheme="majorBidi" w:hAnsiTheme="majorBidi" w:cstheme="majorBidi"/>
          <w:color w:val="222222"/>
          <w:shd w:val="clear" w:color="auto" w:fill="FFFFFF"/>
        </w:rPr>
        <w:t>Messaadia</w:t>
      </w:r>
      <w:proofErr w:type="spellEnd"/>
      <w:r w:rsidRPr="00BC6E0C">
        <w:rPr>
          <w:rFonts w:asciiTheme="majorBidi" w:hAnsiTheme="majorBidi" w:cstheme="majorBidi"/>
          <w:color w:val="222222"/>
          <w:shd w:val="clear" w:color="auto" w:fill="FFFFFF"/>
        </w:rPr>
        <w:t xml:space="preserve">, M., Mehrotra, A., </w:t>
      </w:r>
      <w:proofErr w:type="spellStart"/>
      <w:r w:rsidRPr="00BC6E0C">
        <w:rPr>
          <w:rFonts w:asciiTheme="majorBidi" w:hAnsiTheme="majorBidi" w:cstheme="majorBidi"/>
          <w:color w:val="222222"/>
          <w:shd w:val="clear" w:color="auto" w:fill="FFFFFF"/>
        </w:rPr>
        <w:t>Sanosi</w:t>
      </w:r>
      <w:proofErr w:type="spellEnd"/>
      <w:r w:rsidRPr="00BC6E0C">
        <w:rPr>
          <w:rFonts w:asciiTheme="majorBidi" w:hAnsiTheme="majorBidi" w:cstheme="majorBidi"/>
          <w:color w:val="222222"/>
          <w:shd w:val="clear" w:color="auto" w:fill="FFFFFF"/>
        </w:rPr>
        <w:t xml:space="preserve">, S. K., Elias, H., &amp; </w:t>
      </w:r>
      <w:proofErr w:type="spellStart"/>
      <w:r w:rsidRPr="00BC6E0C">
        <w:rPr>
          <w:rFonts w:asciiTheme="majorBidi" w:hAnsiTheme="majorBidi" w:cstheme="majorBidi"/>
          <w:color w:val="222222"/>
          <w:shd w:val="clear" w:color="auto" w:fill="FFFFFF"/>
        </w:rPr>
        <w:t>Althawadi</w:t>
      </w:r>
      <w:proofErr w:type="spellEnd"/>
      <w:r w:rsidRPr="00BC6E0C">
        <w:rPr>
          <w:rFonts w:asciiTheme="majorBidi" w:hAnsiTheme="majorBidi" w:cstheme="majorBidi"/>
          <w:color w:val="222222"/>
          <w:shd w:val="clear" w:color="auto" w:fill="FFFFFF"/>
        </w:rPr>
        <w:t>, A. H. (2023). Digital transformation adoption in human resources management during COVID-19. </w:t>
      </w:r>
      <w:r w:rsidRPr="00BC6E0C">
        <w:rPr>
          <w:rFonts w:asciiTheme="majorBidi" w:hAnsiTheme="majorBidi" w:cstheme="majorBidi"/>
          <w:i/>
          <w:iCs/>
          <w:color w:val="222222"/>
          <w:shd w:val="clear" w:color="auto" w:fill="FFFFFF"/>
        </w:rPr>
        <w:t>Arab Gulf Journal of Scientific Research</w:t>
      </w:r>
      <w:r w:rsidRPr="00BC6E0C">
        <w:rPr>
          <w:rFonts w:asciiTheme="majorBidi" w:hAnsiTheme="majorBidi" w:cstheme="majorBidi"/>
          <w:color w:val="222222"/>
          <w:shd w:val="clear" w:color="auto" w:fill="FFFFFF"/>
        </w:rPr>
        <w:t>, (ahead-of-print).</w:t>
      </w:r>
    </w:p>
    <w:p w14:paraId="40C89807"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Alavi</w:t>
      </w:r>
      <w:proofErr w:type="spellEnd"/>
      <w:r w:rsidRPr="00BC6E0C">
        <w:rPr>
          <w:rFonts w:asciiTheme="majorBidi" w:hAnsiTheme="majorBidi" w:cstheme="majorBidi"/>
          <w:color w:val="222222"/>
          <w:shd w:val="clear" w:color="auto" w:fill="FFFFFF"/>
        </w:rPr>
        <w:t xml:space="preserve">, S., &amp; </w:t>
      </w:r>
      <w:proofErr w:type="spellStart"/>
      <w:r w:rsidRPr="00BC6E0C">
        <w:rPr>
          <w:rFonts w:asciiTheme="majorBidi" w:hAnsiTheme="majorBidi" w:cstheme="majorBidi"/>
          <w:color w:val="222222"/>
          <w:shd w:val="clear" w:color="auto" w:fill="FFFFFF"/>
        </w:rPr>
        <w:t>Aghakhani</w:t>
      </w:r>
      <w:proofErr w:type="spellEnd"/>
      <w:r w:rsidRPr="00BC6E0C">
        <w:rPr>
          <w:rFonts w:asciiTheme="majorBidi" w:hAnsiTheme="majorBidi" w:cstheme="majorBidi"/>
          <w:color w:val="222222"/>
          <w:shd w:val="clear" w:color="auto" w:fill="FFFFFF"/>
        </w:rPr>
        <w:t>, H. (2023). Identifying the effect of green human resource management practices on lean-agile (LEAGILE) and prioritizing its practices. </w:t>
      </w:r>
      <w:r w:rsidRPr="00BC6E0C">
        <w:rPr>
          <w:rFonts w:asciiTheme="majorBidi" w:hAnsiTheme="majorBidi" w:cstheme="majorBidi"/>
          <w:i/>
          <w:iCs/>
          <w:color w:val="222222"/>
          <w:shd w:val="clear" w:color="auto" w:fill="FFFFFF"/>
        </w:rPr>
        <w:t>International journal of productivity and performance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72</w:t>
      </w:r>
      <w:r w:rsidRPr="00BC6E0C">
        <w:rPr>
          <w:rFonts w:asciiTheme="majorBidi" w:hAnsiTheme="majorBidi" w:cstheme="majorBidi"/>
          <w:color w:val="222222"/>
          <w:shd w:val="clear" w:color="auto" w:fill="FFFFFF"/>
        </w:rPr>
        <w:t>(3), 599-624.</w:t>
      </w:r>
    </w:p>
    <w:p w14:paraId="6A7D213A"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Alzghoul</w:t>
      </w:r>
      <w:proofErr w:type="spellEnd"/>
      <w:r w:rsidRPr="00BC6E0C">
        <w:rPr>
          <w:rFonts w:asciiTheme="majorBidi" w:hAnsiTheme="majorBidi" w:cstheme="majorBidi"/>
          <w:color w:val="222222"/>
          <w:shd w:val="clear" w:color="auto" w:fill="FFFFFF"/>
        </w:rPr>
        <w:t xml:space="preserve">, A., </w:t>
      </w:r>
      <w:proofErr w:type="spellStart"/>
      <w:r w:rsidRPr="00BC6E0C">
        <w:rPr>
          <w:rFonts w:asciiTheme="majorBidi" w:hAnsiTheme="majorBidi" w:cstheme="majorBidi"/>
          <w:color w:val="222222"/>
          <w:shd w:val="clear" w:color="auto" w:fill="FFFFFF"/>
        </w:rPr>
        <w:t>Algraibeh</w:t>
      </w:r>
      <w:proofErr w:type="spellEnd"/>
      <w:r w:rsidRPr="00BC6E0C">
        <w:rPr>
          <w:rFonts w:asciiTheme="majorBidi" w:hAnsiTheme="majorBidi" w:cstheme="majorBidi"/>
          <w:color w:val="222222"/>
          <w:shd w:val="clear" w:color="auto" w:fill="FFFFFF"/>
        </w:rPr>
        <w:t xml:space="preserve">, K. M., </w:t>
      </w:r>
      <w:proofErr w:type="spellStart"/>
      <w:r w:rsidRPr="00BC6E0C">
        <w:rPr>
          <w:rFonts w:asciiTheme="majorBidi" w:hAnsiTheme="majorBidi" w:cstheme="majorBidi"/>
          <w:color w:val="222222"/>
          <w:shd w:val="clear" w:color="auto" w:fill="FFFFFF"/>
        </w:rPr>
        <w:t>Khawaldeh</w:t>
      </w:r>
      <w:proofErr w:type="spellEnd"/>
      <w:r w:rsidRPr="00BC6E0C">
        <w:rPr>
          <w:rFonts w:asciiTheme="majorBidi" w:hAnsiTheme="majorBidi" w:cstheme="majorBidi"/>
          <w:color w:val="222222"/>
          <w:shd w:val="clear" w:color="auto" w:fill="FFFFFF"/>
        </w:rPr>
        <w:t xml:space="preserve">, K., </w:t>
      </w:r>
      <w:proofErr w:type="spellStart"/>
      <w:r w:rsidRPr="00BC6E0C">
        <w:rPr>
          <w:rFonts w:asciiTheme="majorBidi" w:hAnsiTheme="majorBidi" w:cstheme="majorBidi"/>
          <w:color w:val="222222"/>
          <w:shd w:val="clear" w:color="auto" w:fill="FFFFFF"/>
        </w:rPr>
        <w:t>Khaddam</w:t>
      </w:r>
      <w:proofErr w:type="spellEnd"/>
      <w:r w:rsidRPr="00BC6E0C">
        <w:rPr>
          <w:rFonts w:asciiTheme="majorBidi" w:hAnsiTheme="majorBidi" w:cstheme="majorBidi"/>
          <w:color w:val="222222"/>
          <w:shd w:val="clear" w:color="auto" w:fill="FFFFFF"/>
        </w:rPr>
        <w:t>, A. A., &amp; Al-</w:t>
      </w:r>
      <w:proofErr w:type="spellStart"/>
      <w:r w:rsidRPr="00BC6E0C">
        <w:rPr>
          <w:rFonts w:asciiTheme="majorBidi" w:hAnsiTheme="majorBidi" w:cstheme="majorBidi"/>
          <w:color w:val="222222"/>
          <w:shd w:val="clear" w:color="auto" w:fill="FFFFFF"/>
        </w:rPr>
        <w:t>Kasasbeh</w:t>
      </w:r>
      <w:proofErr w:type="spellEnd"/>
      <w:r w:rsidRPr="00BC6E0C">
        <w:rPr>
          <w:rFonts w:asciiTheme="majorBidi" w:hAnsiTheme="majorBidi" w:cstheme="majorBidi"/>
          <w:color w:val="222222"/>
          <w:shd w:val="clear" w:color="auto" w:fill="FFFFFF"/>
        </w:rPr>
        <w:t>, O. (2023). Nexus of Strategic Thinking, Knowledge-Oriented Leadership, and Employee Creativity in Higher Education Institutes. </w:t>
      </w:r>
      <w:r w:rsidRPr="00BC6E0C">
        <w:rPr>
          <w:rFonts w:asciiTheme="majorBidi" w:hAnsiTheme="majorBidi" w:cstheme="majorBidi"/>
          <w:i/>
          <w:iCs/>
          <w:color w:val="222222"/>
          <w:shd w:val="clear" w:color="auto" w:fill="FFFFFF"/>
        </w:rPr>
        <w:t>International Journal of Professional Business Review</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8</w:t>
      </w:r>
      <w:r w:rsidRPr="00BC6E0C">
        <w:rPr>
          <w:rFonts w:asciiTheme="majorBidi" w:hAnsiTheme="majorBidi" w:cstheme="majorBidi"/>
          <w:color w:val="222222"/>
          <w:shd w:val="clear" w:color="auto" w:fill="FFFFFF"/>
        </w:rPr>
        <w:t>(4), e01107-e01107.</w:t>
      </w:r>
    </w:p>
    <w:p w14:paraId="5D70A25C"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Atmaja, D. S., </w:t>
      </w:r>
      <w:proofErr w:type="spellStart"/>
      <w:r w:rsidRPr="00BC6E0C">
        <w:rPr>
          <w:rFonts w:asciiTheme="majorBidi" w:hAnsiTheme="majorBidi" w:cstheme="majorBidi"/>
          <w:color w:val="222222"/>
          <w:shd w:val="clear" w:color="auto" w:fill="FFFFFF"/>
        </w:rPr>
        <w:t>Zaroni</w:t>
      </w:r>
      <w:proofErr w:type="spellEnd"/>
      <w:r w:rsidRPr="00BC6E0C">
        <w:rPr>
          <w:rFonts w:asciiTheme="majorBidi" w:hAnsiTheme="majorBidi" w:cstheme="majorBidi"/>
          <w:color w:val="222222"/>
          <w:shd w:val="clear" w:color="auto" w:fill="FFFFFF"/>
        </w:rPr>
        <w:t xml:space="preserve">, A. N., &amp; Yusuf, M. (2023). Actualization Of Performance Management Models </w:t>
      </w:r>
      <w:proofErr w:type="gramStart"/>
      <w:r w:rsidRPr="00BC6E0C">
        <w:rPr>
          <w:rFonts w:asciiTheme="majorBidi" w:hAnsiTheme="majorBidi" w:cstheme="majorBidi"/>
          <w:color w:val="222222"/>
          <w:shd w:val="clear" w:color="auto" w:fill="FFFFFF"/>
        </w:rPr>
        <w:t>For</w:t>
      </w:r>
      <w:proofErr w:type="gramEnd"/>
      <w:r w:rsidRPr="00BC6E0C">
        <w:rPr>
          <w:rFonts w:asciiTheme="majorBidi" w:hAnsiTheme="majorBidi" w:cstheme="majorBidi"/>
          <w:color w:val="222222"/>
          <w:shd w:val="clear" w:color="auto" w:fill="FFFFFF"/>
        </w:rPr>
        <w:t xml:space="preserve"> The Development Of Human Resources Quality, Economic Potential, And Financial Governance Policy In Indonesia Ministry Of Education. </w:t>
      </w:r>
      <w:r w:rsidRPr="00BC6E0C">
        <w:rPr>
          <w:rFonts w:asciiTheme="majorBidi" w:hAnsiTheme="majorBidi" w:cstheme="majorBidi"/>
          <w:i/>
          <w:iCs/>
          <w:color w:val="222222"/>
          <w:shd w:val="clear" w:color="auto" w:fill="FFFFFF"/>
        </w:rPr>
        <w:t>Multicultural Education</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9</w:t>
      </w:r>
      <w:r w:rsidRPr="00BC6E0C">
        <w:rPr>
          <w:rFonts w:asciiTheme="majorBidi" w:hAnsiTheme="majorBidi" w:cstheme="majorBidi"/>
          <w:color w:val="222222"/>
          <w:shd w:val="clear" w:color="auto" w:fill="FFFFFF"/>
        </w:rPr>
        <w:t>(01), 1-15.</w:t>
      </w:r>
    </w:p>
    <w:p w14:paraId="451179AA"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lastRenderedPageBreak/>
        <w:t>Azam, M. S. (2023). How can we build human resources (HR) that deliver value? A systematic literature review of traditional and transformational HR roles. </w:t>
      </w:r>
      <w:r w:rsidRPr="00BC6E0C">
        <w:rPr>
          <w:rFonts w:asciiTheme="majorBidi" w:hAnsiTheme="majorBidi" w:cstheme="majorBidi"/>
          <w:i/>
          <w:iCs/>
          <w:color w:val="222222"/>
          <w:shd w:val="clear" w:color="auto" w:fill="FFFFFF"/>
        </w:rPr>
        <w:t>Global Business and Organizational Excellence</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42</w:t>
      </w:r>
      <w:r w:rsidRPr="00BC6E0C">
        <w:rPr>
          <w:rFonts w:asciiTheme="majorBidi" w:hAnsiTheme="majorBidi" w:cstheme="majorBidi"/>
          <w:color w:val="222222"/>
          <w:shd w:val="clear" w:color="auto" w:fill="FFFFFF"/>
        </w:rPr>
        <w:t>(4), 81-92.</w:t>
      </w:r>
    </w:p>
    <w:p w14:paraId="4A754B38"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Beck, D., </w:t>
      </w:r>
      <w:proofErr w:type="spellStart"/>
      <w:r w:rsidRPr="00BC6E0C">
        <w:rPr>
          <w:rFonts w:asciiTheme="majorBidi" w:hAnsiTheme="majorBidi" w:cstheme="majorBidi"/>
          <w:color w:val="222222"/>
          <w:shd w:val="clear" w:color="auto" w:fill="FFFFFF"/>
        </w:rPr>
        <w:t>Storopoli</w:t>
      </w:r>
      <w:proofErr w:type="spellEnd"/>
      <w:r w:rsidRPr="00BC6E0C">
        <w:rPr>
          <w:rFonts w:asciiTheme="majorBidi" w:hAnsiTheme="majorBidi" w:cstheme="majorBidi"/>
          <w:color w:val="222222"/>
          <w:shd w:val="clear" w:color="auto" w:fill="FFFFFF"/>
        </w:rPr>
        <w:t>, J., Cunha, J. C. D., &amp; Vigoda-Gadot, E. (2023). Strategic resource management in private, public, and mixed-owned organisations in cities: the power of strategic urban networks. </w:t>
      </w:r>
      <w:r w:rsidRPr="00BC6E0C">
        <w:rPr>
          <w:rFonts w:asciiTheme="majorBidi" w:hAnsiTheme="majorBidi" w:cstheme="majorBidi"/>
          <w:i/>
          <w:iCs/>
          <w:color w:val="222222"/>
          <w:shd w:val="clear" w:color="auto" w:fill="FFFFFF"/>
        </w:rPr>
        <w:t>International Journal of Services, Economics and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14</w:t>
      </w:r>
      <w:r w:rsidRPr="00BC6E0C">
        <w:rPr>
          <w:rFonts w:asciiTheme="majorBidi" w:hAnsiTheme="majorBidi" w:cstheme="majorBidi"/>
          <w:color w:val="222222"/>
          <w:shd w:val="clear" w:color="auto" w:fill="FFFFFF"/>
        </w:rPr>
        <w:t>(2), 198-223.</w:t>
      </w:r>
    </w:p>
    <w:p w14:paraId="10D382BB"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Duggan, J., Carbery, R., McDonnell, A., &amp; Sherman, U. (2023). Algorithmic HRM control in the gig economy: The app‐worker perspective.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w:t>
      </w:r>
    </w:p>
    <w:p w14:paraId="1D4AFC2E"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Elshaer</w:t>
      </w:r>
      <w:proofErr w:type="spellEnd"/>
      <w:r w:rsidRPr="00BC6E0C">
        <w:rPr>
          <w:rFonts w:asciiTheme="majorBidi" w:hAnsiTheme="majorBidi" w:cstheme="majorBidi"/>
          <w:color w:val="222222"/>
          <w:shd w:val="clear" w:color="auto" w:fill="FFFFFF"/>
        </w:rPr>
        <w:t xml:space="preserve">, I. A., </w:t>
      </w:r>
      <w:proofErr w:type="spellStart"/>
      <w:r w:rsidRPr="00BC6E0C">
        <w:rPr>
          <w:rFonts w:asciiTheme="majorBidi" w:hAnsiTheme="majorBidi" w:cstheme="majorBidi"/>
          <w:color w:val="222222"/>
          <w:shd w:val="clear" w:color="auto" w:fill="FFFFFF"/>
        </w:rPr>
        <w:t>Azazz</w:t>
      </w:r>
      <w:proofErr w:type="spellEnd"/>
      <w:r w:rsidRPr="00BC6E0C">
        <w:rPr>
          <w:rFonts w:asciiTheme="majorBidi" w:hAnsiTheme="majorBidi" w:cstheme="majorBidi"/>
          <w:color w:val="222222"/>
          <w:shd w:val="clear" w:color="auto" w:fill="FFFFFF"/>
        </w:rPr>
        <w:t>, A. M., &amp; Fayyad, S. (2023). Green human resources and innovative performance in small-and medium-sized tourism enterprises: a mediation model using PLS-SEM data analysis. </w:t>
      </w:r>
      <w:r w:rsidRPr="00BC6E0C">
        <w:rPr>
          <w:rFonts w:asciiTheme="majorBidi" w:hAnsiTheme="majorBidi" w:cstheme="majorBidi"/>
          <w:i/>
          <w:iCs/>
          <w:color w:val="222222"/>
          <w:shd w:val="clear" w:color="auto" w:fill="FFFFFF"/>
        </w:rPr>
        <w:t>Mathematics</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11</w:t>
      </w:r>
      <w:r w:rsidRPr="00BC6E0C">
        <w:rPr>
          <w:rFonts w:asciiTheme="majorBidi" w:hAnsiTheme="majorBidi" w:cstheme="majorBidi"/>
          <w:color w:val="222222"/>
          <w:shd w:val="clear" w:color="auto" w:fill="FFFFFF"/>
        </w:rPr>
        <w:t>(3), 711.</w:t>
      </w:r>
    </w:p>
    <w:p w14:paraId="60B925AF" w14:textId="175AB54B"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Jiang, Y., Zaman, S. I., Jamil, S., Khan, S. A., &amp; Kun, L. (2023). A triple theory approach to link corporate social </w:t>
      </w:r>
      <w:proofErr w:type="spellStart"/>
      <w:r w:rsidRPr="00BC6E0C">
        <w:rPr>
          <w:rFonts w:asciiTheme="majorBidi" w:hAnsiTheme="majorBidi" w:cstheme="majorBidi"/>
          <w:color w:val="222222"/>
          <w:shd w:val="clear" w:color="auto" w:fill="FFFFFF"/>
        </w:rPr>
        <w:t>perforance</w:t>
      </w:r>
      <w:proofErr w:type="spellEnd"/>
      <w:r w:rsidRPr="00BC6E0C">
        <w:rPr>
          <w:rFonts w:asciiTheme="majorBidi" w:hAnsiTheme="majorBidi" w:cstheme="majorBidi"/>
          <w:color w:val="222222"/>
          <w:shd w:val="clear" w:color="auto" w:fill="FFFFFF"/>
        </w:rPr>
        <w:t xml:space="preserve"> and green human resource management. </w:t>
      </w:r>
      <w:r w:rsidRPr="00BC6E0C">
        <w:rPr>
          <w:rFonts w:asciiTheme="majorBidi" w:hAnsiTheme="majorBidi" w:cstheme="majorBidi"/>
          <w:i/>
          <w:iCs/>
          <w:color w:val="222222"/>
          <w:shd w:val="clear" w:color="auto" w:fill="FFFFFF"/>
        </w:rPr>
        <w:t>Environment, Development and Sustainability</w:t>
      </w:r>
      <w:r w:rsidRPr="00BC6E0C">
        <w:rPr>
          <w:rFonts w:asciiTheme="majorBidi" w:hAnsiTheme="majorBidi" w:cstheme="majorBidi"/>
          <w:color w:val="222222"/>
          <w:shd w:val="clear" w:color="auto" w:fill="FFFFFF"/>
        </w:rPr>
        <w:t>, 1-44.</w:t>
      </w:r>
    </w:p>
    <w:p w14:paraId="39E79486"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Lu, Y., Zhang, M. M., Yang, M. M., &amp; Wang, Y. (2023). Sustainable human resource management practices, employee resilience, and employee outcomes: Toward common good values.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62</w:t>
      </w:r>
      <w:r w:rsidRPr="00BC6E0C">
        <w:rPr>
          <w:rFonts w:asciiTheme="majorBidi" w:hAnsiTheme="majorBidi" w:cstheme="majorBidi"/>
          <w:color w:val="222222"/>
          <w:shd w:val="clear" w:color="auto" w:fill="FFFFFF"/>
        </w:rPr>
        <w:t>(3), 331-353.</w:t>
      </w:r>
    </w:p>
    <w:p w14:paraId="0439AC61"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Ly, B. (2023). Green HRM and eco-friendly behavior in Cambodian public organizations: The mediation of organizational commitment. </w:t>
      </w:r>
      <w:r w:rsidRPr="00BC6E0C">
        <w:rPr>
          <w:rFonts w:asciiTheme="majorBidi" w:hAnsiTheme="majorBidi" w:cstheme="majorBidi"/>
          <w:i/>
          <w:iCs/>
          <w:color w:val="222222"/>
          <w:shd w:val="clear" w:color="auto" w:fill="FFFFFF"/>
        </w:rPr>
        <w:t>Environmental Challenges</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10</w:t>
      </w:r>
      <w:r w:rsidRPr="00BC6E0C">
        <w:rPr>
          <w:rFonts w:asciiTheme="majorBidi" w:hAnsiTheme="majorBidi" w:cstheme="majorBidi"/>
          <w:color w:val="222222"/>
          <w:shd w:val="clear" w:color="auto" w:fill="FFFFFF"/>
        </w:rPr>
        <w:t>, 100674.</w:t>
      </w:r>
    </w:p>
    <w:p w14:paraId="3396B498"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Meng, J., Murad, M., Li, C., Bakhtawar, A., &amp; Ashraf, S. F. (2023). Green Lifestyle: A Tie between Green Human Resource Management Practices and Green Organizational Citizenship Behavior. </w:t>
      </w:r>
      <w:r w:rsidRPr="00BC6E0C">
        <w:rPr>
          <w:rFonts w:asciiTheme="majorBidi" w:hAnsiTheme="majorBidi" w:cstheme="majorBidi"/>
          <w:i/>
          <w:iCs/>
          <w:color w:val="222222"/>
          <w:shd w:val="clear" w:color="auto" w:fill="FFFFFF"/>
        </w:rPr>
        <w:t>Sustainability</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15</w:t>
      </w:r>
      <w:r w:rsidRPr="00BC6E0C">
        <w:rPr>
          <w:rFonts w:asciiTheme="majorBidi" w:hAnsiTheme="majorBidi" w:cstheme="majorBidi"/>
          <w:color w:val="222222"/>
          <w:shd w:val="clear" w:color="auto" w:fill="FFFFFF"/>
        </w:rPr>
        <w:t>(1), 44.</w:t>
      </w:r>
    </w:p>
    <w:p w14:paraId="379AFD44" w14:textId="77777777" w:rsidR="00AF7B7D" w:rsidRPr="00BC6E0C" w:rsidRDefault="00AF7B7D" w:rsidP="00AF7B7D">
      <w:pPr>
        <w:spacing w:before="240" w:line="360" w:lineRule="auto"/>
        <w:jc w:val="both"/>
        <w:rPr>
          <w:rFonts w:asciiTheme="majorBidi" w:hAnsiTheme="majorBidi" w:cstheme="majorBidi"/>
        </w:rPr>
      </w:pPr>
      <w:r w:rsidRPr="00BC6E0C">
        <w:rPr>
          <w:rFonts w:asciiTheme="majorBidi" w:hAnsiTheme="majorBidi" w:cstheme="majorBidi"/>
          <w:color w:val="222222"/>
          <w:shd w:val="clear" w:color="auto" w:fill="FFFFFF"/>
        </w:rPr>
        <w:t xml:space="preserve">Pham, N. T., </w:t>
      </w:r>
      <w:proofErr w:type="spellStart"/>
      <w:r w:rsidRPr="00BC6E0C">
        <w:rPr>
          <w:rFonts w:asciiTheme="majorBidi" w:hAnsiTheme="majorBidi" w:cstheme="majorBidi"/>
          <w:color w:val="222222"/>
          <w:shd w:val="clear" w:color="auto" w:fill="FFFFFF"/>
        </w:rPr>
        <w:t>Jabbour</w:t>
      </w:r>
      <w:proofErr w:type="spellEnd"/>
      <w:r w:rsidRPr="00BC6E0C">
        <w:rPr>
          <w:rFonts w:asciiTheme="majorBidi" w:hAnsiTheme="majorBidi" w:cstheme="majorBidi"/>
          <w:color w:val="222222"/>
          <w:shd w:val="clear" w:color="auto" w:fill="FFFFFF"/>
        </w:rPr>
        <w:t xml:space="preserve">, C. J. C., Pereira, V., Usman, M., Ali, M., &amp; Vo‐Thanh, T. (2023). Common good human resource management, ethical employee </w:t>
      </w:r>
      <w:proofErr w:type="spellStart"/>
      <w:r w:rsidRPr="00BC6E0C">
        <w:rPr>
          <w:rFonts w:asciiTheme="majorBidi" w:hAnsiTheme="majorBidi" w:cstheme="majorBidi"/>
          <w:color w:val="222222"/>
          <w:shd w:val="clear" w:color="auto" w:fill="FFFFFF"/>
        </w:rPr>
        <w:t>behaviors</w:t>
      </w:r>
      <w:proofErr w:type="spellEnd"/>
      <w:r w:rsidRPr="00BC6E0C">
        <w:rPr>
          <w:rFonts w:asciiTheme="majorBidi" w:hAnsiTheme="majorBidi" w:cstheme="majorBidi"/>
          <w:color w:val="222222"/>
          <w:shd w:val="clear" w:color="auto" w:fill="FFFFFF"/>
        </w:rPr>
        <w:t xml:space="preserve">, and organizational citizenship </w:t>
      </w:r>
      <w:proofErr w:type="spellStart"/>
      <w:r w:rsidRPr="00BC6E0C">
        <w:rPr>
          <w:rFonts w:asciiTheme="majorBidi" w:hAnsiTheme="majorBidi" w:cstheme="majorBidi"/>
          <w:color w:val="222222"/>
          <w:shd w:val="clear" w:color="auto" w:fill="FFFFFF"/>
        </w:rPr>
        <w:t>behaviors</w:t>
      </w:r>
      <w:proofErr w:type="spellEnd"/>
      <w:r w:rsidRPr="00BC6E0C">
        <w:rPr>
          <w:rFonts w:asciiTheme="majorBidi" w:hAnsiTheme="majorBidi" w:cstheme="majorBidi"/>
          <w:color w:val="222222"/>
          <w:shd w:val="clear" w:color="auto" w:fill="FFFFFF"/>
        </w:rPr>
        <w:t xml:space="preserve"> toward the individual. </w:t>
      </w:r>
      <w:r w:rsidRPr="00BC6E0C">
        <w:rPr>
          <w:rFonts w:asciiTheme="majorBidi" w:hAnsiTheme="majorBidi" w:cstheme="majorBidi"/>
          <w:i/>
          <w:iCs/>
          <w:color w:val="222222"/>
          <w:shd w:val="clear" w:color="auto" w:fill="FFFFFF"/>
        </w:rPr>
        <w:t>Human Resource Management Journal</w:t>
      </w:r>
      <w:r w:rsidRPr="00BC6E0C">
        <w:rPr>
          <w:rFonts w:asciiTheme="majorBidi" w:hAnsiTheme="majorBidi" w:cstheme="majorBidi"/>
          <w:color w:val="222222"/>
          <w:shd w:val="clear" w:color="auto" w:fill="FFFFFF"/>
        </w:rPr>
        <w:t>.</w:t>
      </w:r>
    </w:p>
    <w:p w14:paraId="4FF2EF92"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lastRenderedPageBreak/>
        <w:t>Tamanna, M. U., Haque, M. A., Ali, M. S., &amp; Kabir, M. F. Capacity Needs of the Government Employees of Bangladesh to attain Vision-2041: A Study on Some Selected Government Sectors in Bangladesh.</w:t>
      </w:r>
    </w:p>
    <w:p w14:paraId="35DD9406" w14:textId="77777777" w:rsidR="00AF7B7D" w:rsidRPr="00BC6E0C" w:rsidRDefault="00AF7B7D" w:rsidP="00AF7B7D">
      <w:pPr>
        <w:spacing w:before="240" w:line="360" w:lineRule="auto"/>
        <w:jc w:val="both"/>
        <w:rPr>
          <w:rFonts w:asciiTheme="majorBidi" w:hAnsiTheme="majorBidi" w:cstheme="majorBidi"/>
        </w:rPr>
      </w:pPr>
      <w:r w:rsidRPr="00BC6E0C">
        <w:rPr>
          <w:rFonts w:asciiTheme="majorBidi" w:hAnsiTheme="majorBidi" w:cstheme="majorBidi"/>
          <w:color w:val="222222"/>
          <w:shd w:val="clear" w:color="auto" w:fill="FFFFFF"/>
        </w:rPr>
        <w:t>Trieu, H. D., Van Nguyen, P., Nguyen, T. T., Vu, H. M., &amp; Tran, K. (2023). Information technology capabilities and organizational ambidexterity facilitating organizational resilience and firm performance of SMEs. </w:t>
      </w:r>
      <w:r w:rsidRPr="00BC6E0C">
        <w:rPr>
          <w:rFonts w:asciiTheme="majorBidi" w:hAnsiTheme="majorBidi" w:cstheme="majorBidi"/>
          <w:i/>
          <w:iCs/>
          <w:color w:val="222222"/>
          <w:shd w:val="clear" w:color="auto" w:fill="FFFFFF"/>
        </w:rPr>
        <w:t>Asia Pacific Management Review</w:t>
      </w:r>
      <w:r w:rsidRPr="00BC6E0C">
        <w:rPr>
          <w:rFonts w:asciiTheme="majorBidi" w:hAnsiTheme="majorBidi" w:cstheme="majorBidi"/>
          <w:color w:val="222222"/>
          <w:shd w:val="clear" w:color="auto" w:fill="FFFFFF"/>
        </w:rPr>
        <w:t>.</w:t>
      </w:r>
    </w:p>
    <w:p w14:paraId="108477CF"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Tu, Y., Li, Y., &amp; </w:t>
      </w:r>
      <w:proofErr w:type="spellStart"/>
      <w:r w:rsidRPr="00BC6E0C">
        <w:rPr>
          <w:rFonts w:asciiTheme="majorBidi" w:hAnsiTheme="majorBidi" w:cstheme="majorBidi"/>
          <w:color w:val="222222"/>
          <w:shd w:val="clear" w:color="auto" w:fill="FFFFFF"/>
        </w:rPr>
        <w:t>Zuo</w:t>
      </w:r>
      <w:proofErr w:type="spellEnd"/>
      <w:r w:rsidRPr="00BC6E0C">
        <w:rPr>
          <w:rFonts w:asciiTheme="majorBidi" w:hAnsiTheme="majorBidi" w:cstheme="majorBidi"/>
          <w:color w:val="222222"/>
          <w:shd w:val="clear" w:color="auto" w:fill="FFFFFF"/>
        </w:rPr>
        <w:t>, W. (2023). Arousing employee pro‐environmental behavior: A synergy effect of environmentally specific transformational leadership and green human resource management.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62</w:t>
      </w:r>
      <w:r w:rsidRPr="00BC6E0C">
        <w:rPr>
          <w:rFonts w:asciiTheme="majorBidi" w:hAnsiTheme="majorBidi" w:cstheme="majorBidi"/>
          <w:color w:val="222222"/>
          <w:shd w:val="clear" w:color="auto" w:fill="FFFFFF"/>
        </w:rPr>
        <w:t>(2), 159-179.</w:t>
      </w:r>
    </w:p>
    <w:p w14:paraId="44F4FA92"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Van den </w:t>
      </w:r>
      <w:proofErr w:type="spellStart"/>
      <w:r w:rsidRPr="00BC6E0C">
        <w:rPr>
          <w:rFonts w:asciiTheme="majorBidi" w:hAnsiTheme="majorBidi" w:cstheme="majorBidi"/>
          <w:color w:val="222222"/>
          <w:shd w:val="clear" w:color="auto" w:fill="FFFFFF"/>
        </w:rPr>
        <w:t>Groenendaal</w:t>
      </w:r>
      <w:proofErr w:type="spellEnd"/>
      <w:r w:rsidRPr="00BC6E0C">
        <w:rPr>
          <w:rFonts w:asciiTheme="majorBidi" w:hAnsiTheme="majorBidi" w:cstheme="majorBidi"/>
          <w:color w:val="222222"/>
          <w:shd w:val="clear" w:color="auto" w:fill="FFFFFF"/>
        </w:rPr>
        <w:t xml:space="preserve">, S. M. E., Freese, C., </w:t>
      </w:r>
      <w:proofErr w:type="spellStart"/>
      <w:r w:rsidRPr="00BC6E0C">
        <w:rPr>
          <w:rFonts w:asciiTheme="majorBidi" w:hAnsiTheme="majorBidi" w:cstheme="majorBidi"/>
          <w:color w:val="222222"/>
          <w:shd w:val="clear" w:color="auto" w:fill="FFFFFF"/>
        </w:rPr>
        <w:t>Poell</w:t>
      </w:r>
      <w:proofErr w:type="spellEnd"/>
      <w:r w:rsidRPr="00BC6E0C">
        <w:rPr>
          <w:rFonts w:asciiTheme="majorBidi" w:hAnsiTheme="majorBidi" w:cstheme="majorBidi"/>
          <w:color w:val="222222"/>
          <w:shd w:val="clear" w:color="auto" w:fill="FFFFFF"/>
        </w:rPr>
        <w:t xml:space="preserve">, R. F., &amp; </w:t>
      </w:r>
      <w:proofErr w:type="spellStart"/>
      <w:r w:rsidRPr="00BC6E0C">
        <w:rPr>
          <w:rFonts w:asciiTheme="majorBidi" w:hAnsiTheme="majorBidi" w:cstheme="majorBidi"/>
          <w:color w:val="222222"/>
          <w:shd w:val="clear" w:color="auto" w:fill="FFFFFF"/>
        </w:rPr>
        <w:t>Kooij</w:t>
      </w:r>
      <w:proofErr w:type="spellEnd"/>
      <w:r w:rsidRPr="00BC6E0C">
        <w:rPr>
          <w:rFonts w:asciiTheme="majorBidi" w:hAnsiTheme="majorBidi" w:cstheme="majorBidi"/>
          <w:color w:val="222222"/>
          <w:shd w:val="clear" w:color="auto" w:fill="FFFFFF"/>
        </w:rPr>
        <w:t>, D. T. (2023). Inclusive human resource management in freelancers' employment relationships: The role of organizational needs and freelancers' psychological contracts. </w:t>
      </w:r>
      <w:r w:rsidRPr="00BC6E0C">
        <w:rPr>
          <w:rFonts w:asciiTheme="majorBidi" w:hAnsiTheme="majorBidi" w:cstheme="majorBidi"/>
          <w:i/>
          <w:iCs/>
          <w:color w:val="222222"/>
          <w:shd w:val="clear" w:color="auto" w:fill="FFFFFF"/>
        </w:rPr>
        <w:t>Human Resource Management Journal</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33</w:t>
      </w:r>
      <w:r w:rsidRPr="00BC6E0C">
        <w:rPr>
          <w:rFonts w:asciiTheme="majorBidi" w:hAnsiTheme="majorBidi" w:cstheme="majorBidi"/>
          <w:color w:val="222222"/>
          <w:shd w:val="clear" w:color="auto" w:fill="FFFFFF"/>
        </w:rPr>
        <w:t>(1), 224-240.</w:t>
      </w:r>
    </w:p>
    <w:p w14:paraId="053D79A0"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Yasin, R., </w:t>
      </w:r>
      <w:proofErr w:type="spellStart"/>
      <w:r w:rsidRPr="00BC6E0C">
        <w:rPr>
          <w:rFonts w:asciiTheme="majorBidi" w:hAnsiTheme="majorBidi" w:cstheme="majorBidi"/>
          <w:color w:val="222222"/>
          <w:shd w:val="clear" w:color="auto" w:fill="FFFFFF"/>
        </w:rPr>
        <w:t>Huseynova</w:t>
      </w:r>
      <w:proofErr w:type="spellEnd"/>
      <w:r w:rsidRPr="00BC6E0C">
        <w:rPr>
          <w:rFonts w:asciiTheme="majorBidi" w:hAnsiTheme="majorBidi" w:cstheme="majorBidi"/>
          <w:color w:val="222222"/>
          <w:shd w:val="clear" w:color="auto" w:fill="FFFFFF"/>
        </w:rPr>
        <w:t>, A., &amp; Atif, M. (2023). Green human resource management, a gateway to employer branding: Mediating role of corporate environmental sustainability and corporate social sustainability. </w:t>
      </w:r>
      <w:r w:rsidRPr="00BC6E0C">
        <w:rPr>
          <w:rFonts w:asciiTheme="majorBidi" w:hAnsiTheme="majorBidi" w:cstheme="majorBidi"/>
          <w:i/>
          <w:iCs/>
          <w:color w:val="222222"/>
          <w:shd w:val="clear" w:color="auto" w:fill="FFFFFF"/>
        </w:rPr>
        <w:t>Corporate Social Responsibility and Environmental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30</w:t>
      </w:r>
      <w:r w:rsidRPr="00BC6E0C">
        <w:rPr>
          <w:rFonts w:asciiTheme="majorBidi" w:hAnsiTheme="majorBidi" w:cstheme="majorBidi"/>
          <w:color w:val="222222"/>
          <w:shd w:val="clear" w:color="auto" w:fill="FFFFFF"/>
        </w:rPr>
        <w:t>(1), 369-383.</w:t>
      </w:r>
    </w:p>
    <w:p w14:paraId="226FA6A6"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Zada, M., Khan, J., Saeed, I., Zada, S., &amp; Jun, Z. Y. (2023). Linking public leadership with project management effectiveness: Mediating role of goal clarity and moderating role of top management support. </w:t>
      </w:r>
      <w:proofErr w:type="spellStart"/>
      <w:r w:rsidRPr="00BC6E0C">
        <w:rPr>
          <w:rFonts w:asciiTheme="majorBidi" w:hAnsiTheme="majorBidi" w:cstheme="majorBidi"/>
          <w:i/>
          <w:iCs/>
          <w:color w:val="222222"/>
          <w:shd w:val="clear" w:color="auto" w:fill="FFFFFF"/>
        </w:rPr>
        <w:t>Heliyon</w:t>
      </w:r>
      <w:proofErr w:type="spellEnd"/>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9</w:t>
      </w:r>
      <w:r w:rsidRPr="00BC6E0C">
        <w:rPr>
          <w:rFonts w:asciiTheme="majorBidi" w:hAnsiTheme="majorBidi" w:cstheme="majorBidi"/>
          <w:color w:val="222222"/>
          <w:shd w:val="clear" w:color="auto" w:fill="FFFFFF"/>
        </w:rPr>
        <w:t>(5).</w:t>
      </w:r>
    </w:p>
    <w:p w14:paraId="3058F8A3"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Zhang, J., &amp; Chen, Z. (2023). Exploring Human Resource Management Digital Transformation in the Digital Age. </w:t>
      </w:r>
      <w:r w:rsidRPr="00BC6E0C">
        <w:rPr>
          <w:rFonts w:asciiTheme="majorBidi" w:hAnsiTheme="majorBidi" w:cstheme="majorBidi"/>
          <w:i/>
          <w:iCs/>
          <w:color w:val="222222"/>
          <w:shd w:val="clear" w:color="auto" w:fill="FFFFFF"/>
        </w:rPr>
        <w:t>Journal of the Knowledge Economy</w:t>
      </w:r>
      <w:r w:rsidRPr="00BC6E0C">
        <w:rPr>
          <w:rFonts w:asciiTheme="majorBidi" w:hAnsiTheme="majorBidi" w:cstheme="majorBidi"/>
          <w:color w:val="222222"/>
          <w:shd w:val="clear" w:color="auto" w:fill="FFFFFF"/>
        </w:rPr>
        <w:t>, 1-17.</w:t>
      </w:r>
    </w:p>
    <w:sectPr w:rsidR="00AF7B7D" w:rsidRPr="00BC6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6267"/>
    <w:multiLevelType w:val="multilevel"/>
    <w:tmpl w:val="AC7EE7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73E08"/>
    <w:multiLevelType w:val="multilevel"/>
    <w:tmpl w:val="E60CE8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EA276A"/>
    <w:multiLevelType w:val="hybridMultilevel"/>
    <w:tmpl w:val="B7888F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A4266"/>
    <w:multiLevelType w:val="hybridMultilevel"/>
    <w:tmpl w:val="DF5206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933AA"/>
    <w:multiLevelType w:val="hybridMultilevel"/>
    <w:tmpl w:val="3B1608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B57BF3"/>
    <w:multiLevelType w:val="multilevel"/>
    <w:tmpl w:val="C41039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7E19CB"/>
    <w:multiLevelType w:val="hybridMultilevel"/>
    <w:tmpl w:val="E49AAB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9A6BAB"/>
    <w:multiLevelType w:val="multilevel"/>
    <w:tmpl w:val="83B06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650986"/>
    <w:multiLevelType w:val="hybridMultilevel"/>
    <w:tmpl w:val="179890B8"/>
    <w:lvl w:ilvl="0" w:tplc="48B470AC">
      <w:start w:val="1"/>
      <w:numFmt w:val="lowerLetter"/>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E70C82"/>
    <w:multiLevelType w:val="hybridMultilevel"/>
    <w:tmpl w:val="88603D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8440552">
    <w:abstractNumId w:val="7"/>
  </w:num>
  <w:num w:numId="2" w16cid:durableId="1953438676">
    <w:abstractNumId w:val="1"/>
  </w:num>
  <w:num w:numId="3" w16cid:durableId="1437794850">
    <w:abstractNumId w:val="5"/>
  </w:num>
  <w:num w:numId="4" w16cid:durableId="461845268">
    <w:abstractNumId w:val="0"/>
  </w:num>
  <w:num w:numId="5" w16cid:durableId="1372218895">
    <w:abstractNumId w:val="4"/>
  </w:num>
  <w:num w:numId="6" w16cid:durableId="980111710">
    <w:abstractNumId w:val="2"/>
  </w:num>
  <w:num w:numId="7" w16cid:durableId="1539079172">
    <w:abstractNumId w:val="6"/>
  </w:num>
  <w:num w:numId="8" w16cid:durableId="567304323">
    <w:abstractNumId w:val="9"/>
  </w:num>
  <w:num w:numId="9" w16cid:durableId="457769709">
    <w:abstractNumId w:val="3"/>
  </w:num>
  <w:num w:numId="10" w16cid:durableId="18827864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519"/>
    <w:rsid w:val="00194E87"/>
    <w:rsid w:val="002C2BF3"/>
    <w:rsid w:val="00385423"/>
    <w:rsid w:val="005A0519"/>
    <w:rsid w:val="00744539"/>
    <w:rsid w:val="007D63D3"/>
    <w:rsid w:val="00990BBF"/>
    <w:rsid w:val="00A05277"/>
    <w:rsid w:val="00A64599"/>
    <w:rsid w:val="00AF7B7D"/>
    <w:rsid w:val="00BC6E0C"/>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7746"/>
  <w15:chartTrackingRefBased/>
  <w15:docId w15:val="{B28C256E-8F10-CC42-87A4-2676BAF9E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94E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E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05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flex-grow">
    <w:name w:val="flex-grow"/>
    <w:basedOn w:val="DefaultParagraphFont"/>
    <w:rsid w:val="005A0519"/>
  </w:style>
  <w:style w:type="character" w:customStyle="1" w:styleId="Heading1Char">
    <w:name w:val="Heading 1 Char"/>
    <w:basedOn w:val="DefaultParagraphFont"/>
    <w:link w:val="Heading1"/>
    <w:uiPriority w:val="9"/>
    <w:rsid w:val="00194E87"/>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94E87"/>
    <w:pPr>
      <w:ind w:left="720"/>
      <w:contextualSpacing/>
    </w:pPr>
  </w:style>
  <w:style w:type="character" w:customStyle="1" w:styleId="Heading2Char">
    <w:name w:val="Heading 2 Char"/>
    <w:basedOn w:val="DefaultParagraphFont"/>
    <w:link w:val="Heading2"/>
    <w:uiPriority w:val="9"/>
    <w:rsid w:val="00194E87"/>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C6E0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C6E0C"/>
    <w:pPr>
      <w:spacing w:before="120"/>
    </w:pPr>
    <w:rPr>
      <w:rFonts w:cstheme="minorHAnsi"/>
      <w:b/>
      <w:bCs/>
      <w:i/>
      <w:iCs/>
      <w:szCs w:val="28"/>
    </w:rPr>
  </w:style>
  <w:style w:type="paragraph" w:styleId="TOC2">
    <w:name w:val="toc 2"/>
    <w:basedOn w:val="Normal"/>
    <w:next w:val="Normal"/>
    <w:autoRedefine/>
    <w:uiPriority w:val="39"/>
    <w:unhideWhenUsed/>
    <w:rsid w:val="00BC6E0C"/>
    <w:pPr>
      <w:spacing w:before="120"/>
      <w:ind w:left="240"/>
    </w:pPr>
    <w:rPr>
      <w:rFonts w:cstheme="minorHAnsi"/>
      <w:b/>
      <w:bCs/>
      <w:sz w:val="22"/>
      <w:szCs w:val="26"/>
    </w:rPr>
  </w:style>
  <w:style w:type="character" w:styleId="Hyperlink">
    <w:name w:val="Hyperlink"/>
    <w:basedOn w:val="DefaultParagraphFont"/>
    <w:uiPriority w:val="99"/>
    <w:unhideWhenUsed/>
    <w:rsid w:val="00BC6E0C"/>
    <w:rPr>
      <w:color w:val="0563C1" w:themeColor="hyperlink"/>
      <w:u w:val="single"/>
    </w:rPr>
  </w:style>
  <w:style w:type="paragraph" w:styleId="TOC3">
    <w:name w:val="toc 3"/>
    <w:basedOn w:val="Normal"/>
    <w:next w:val="Normal"/>
    <w:autoRedefine/>
    <w:uiPriority w:val="39"/>
    <w:semiHidden/>
    <w:unhideWhenUsed/>
    <w:rsid w:val="00BC6E0C"/>
    <w:pPr>
      <w:ind w:left="480"/>
    </w:pPr>
    <w:rPr>
      <w:rFonts w:cstheme="minorHAnsi"/>
      <w:sz w:val="20"/>
    </w:rPr>
  </w:style>
  <w:style w:type="paragraph" w:styleId="TOC4">
    <w:name w:val="toc 4"/>
    <w:basedOn w:val="Normal"/>
    <w:next w:val="Normal"/>
    <w:autoRedefine/>
    <w:uiPriority w:val="39"/>
    <w:semiHidden/>
    <w:unhideWhenUsed/>
    <w:rsid w:val="00BC6E0C"/>
    <w:pPr>
      <w:ind w:left="720"/>
    </w:pPr>
    <w:rPr>
      <w:rFonts w:cstheme="minorHAnsi"/>
      <w:sz w:val="20"/>
    </w:rPr>
  </w:style>
  <w:style w:type="paragraph" w:styleId="TOC5">
    <w:name w:val="toc 5"/>
    <w:basedOn w:val="Normal"/>
    <w:next w:val="Normal"/>
    <w:autoRedefine/>
    <w:uiPriority w:val="39"/>
    <w:semiHidden/>
    <w:unhideWhenUsed/>
    <w:rsid w:val="00BC6E0C"/>
    <w:pPr>
      <w:ind w:left="960"/>
    </w:pPr>
    <w:rPr>
      <w:rFonts w:cstheme="minorHAnsi"/>
      <w:sz w:val="20"/>
    </w:rPr>
  </w:style>
  <w:style w:type="paragraph" w:styleId="TOC6">
    <w:name w:val="toc 6"/>
    <w:basedOn w:val="Normal"/>
    <w:next w:val="Normal"/>
    <w:autoRedefine/>
    <w:uiPriority w:val="39"/>
    <w:semiHidden/>
    <w:unhideWhenUsed/>
    <w:rsid w:val="00BC6E0C"/>
    <w:pPr>
      <w:ind w:left="1200"/>
    </w:pPr>
    <w:rPr>
      <w:rFonts w:cstheme="minorHAnsi"/>
      <w:sz w:val="20"/>
    </w:rPr>
  </w:style>
  <w:style w:type="paragraph" w:styleId="TOC7">
    <w:name w:val="toc 7"/>
    <w:basedOn w:val="Normal"/>
    <w:next w:val="Normal"/>
    <w:autoRedefine/>
    <w:uiPriority w:val="39"/>
    <w:semiHidden/>
    <w:unhideWhenUsed/>
    <w:rsid w:val="00BC6E0C"/>
    <w:pPr>
      <w:ind w:left="1440"/>
    </w:pPr>
    <w:rPr>
      <w:rFonts w:cstheme="minorHAnsi"/>
      <w:sz w:val="20"/>
    </w:rPr>
  </w:style>
  <w:style w:type="paragraph" w:styleId="TOC8">
    <w:name w:val="toc 8"/>
    <w:basedOn w:val="Normal"/>
    <w:next w:val="Normal"/>
    <w:autoRedefine/>
    <w:uiPriority w:val="39"/>
    <w:semiHidden/>
    <w:unhideWhenUsed/>
    <w:rsid w:val="00BC6E0C"/>
    <w:pPr>
      <w:ind w:left="1680"/>
    </w:pPr>
    <w:rPr>
      <w:rFonts w:cstheme="minorHAnsi"/>
      <w:sz w:val="20"/>
    </w:rPr>
  </w:style>
  <w:style w:type="paragraph" w:styleId="TOC9">
    <w:name w:val="toc 9"/>
    <w:basedOn w:val="Normal"/>
    <w:next w:val="Normal"/>
    <w:autoRedefine/>
    <w:uiPriority w:val="39"/>
    <w:semiHidden/>
    <w:unhideWhenUsed/>
    <w:rsid w:val="00BC6E0C"/>
    <w:pPr>
      <w:ind w:left="1920"/>
    </w:pPr>
    <w:rPr>
      <w:rFonts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0486">
      <w:bodyDiv w:val="1"/>
      <w:marLeft w:val="0"/>
      <w:marRight w:val="0"/>
      <w:marTop w:val="0"/>
      <w:marBottom w:val="0"/>
      <w:divBdr>
        <w:top w:val="none" w:sz="0" w:space="0" w:color="auto"/>
        <w:left w:val="none" w:sz="0" w:space="0" w:color="auto"/>
        <w:bottom w:val="none" w:sz="0" w:space="0" w:color="auto"/>
        <w:right w:val="none" w:sz="0" w:space="0" w:color="auto"/>
      </w:divBdr>
      <w:divsChild>
        <w:div w:id="1266501163">
          <w:marLeft w:val="0"/>
          <w:marRight w:val="0"/>
          <w:marTop w:val="0"/>
          <w:marBottom w:val="0"/>
          <w:divBdr>
            <w:top w:val="single" w:sz="2" w:space="0" w:color="auto"/>
            <w:left w:val="single" w:sz="2" w:space="0" w:color="auto"/>
            <w:bottom w:val="single" w:sz="6" w:space="0" w:color="auto"/>
            <w:right w:val="single" w:sz="2" w:space="0" w:color="auto"/>
          </w:divBdr>
          <w:divsChild>
            <w:div w:id="6596245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5096892">
                  <w:marLeft w:val="0"/>
                  <w:marRight w:val="0"/>
                  <w:marTop w:val="0"/>
                  <w:marBottom w:val="0"/>
                  <w:divBdr>
                    <w:top w:val="single" w:sz="2" w:space="0" w:color="D9D9E3"/>
                    <w:left w:val="single" w:sz="2" w:space="0" w:color="D9D9E3"/>
                    <w:bottom w:val="single" w:sz="2" w:space="0" w:color="D9D9E3"/>
                    <w:right w:val="single" w:sz="2" w:space="0" w:color="D9D9E3"/>
                  </w:divBdr>
                  <w:divsChild>
                    <w:div w:id="1452240972">
                      <w:marLeft w:val="0"/>
                      <w:marRight w:val="0"/>
                      <w:marTop w:val="0"/>
                      <w:marBottom w:val="0"/>
                      <w:divBdr>
                        <w:top w:val="single" w:sz="2" w:space="0" w:color="D9D9E3"/>
                        <w:left w:val="single" w:sz="2" w:space="0" w:color="D9D9E3"/>
                        <w:bottom w:val="single" w:sz="2" w:space="0" w:color="D9D9E3"/>
                        <w:right w:val="single" w:sz="2" w:space="0" w:color="D9D9E3"/>
                      </w:divBdr>
                      <w:divsChild>
                        <w:div w:id="823159951">
                          <w:marLeft w:val="0"/>
                          <w:marRight w:val="0"/>
                          <w:marTop w:val="0"/>
                          <w:marBottom w:val="0"/>
                          <w:divBdr>
                            <w:top w:val="single" w:sz="2" w:space="0" w:color="D9D9E3"/>
                            <w:left w:val="single" w:sz="2" w:space="0" w:color="D9D9E3"/>
                            <w:bottom w:val="single" w:sz="2" w:space="0" w:color="D9D9E3"/>
                            <w:right w:val="single" w:sz="2" w:space="0" w:color="D9D9E3"/>
                          </w:divBdr>
                          <w:divsChild>
                            <w:div w:id="14477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0081459">
      <w:bodyDiv w:val="1"/>
      <w:marLeft w:val="0"/>
      <w:marRight w:val="0"/>
      <w:marTop w:val="0"/>
      <w:marBottom w:val="0"/>
      <w:divBdr>
        <w:top w:val="none" w:sz="0" w:space="0" w:color="auto"/>
        <w:left w:val="none" w:sz="0" w:space="0" w:color="auto"/>
        <w:bottom w:val="none" w:sz="0" w:space="0" w:color="auto"/>
        <w:right w:val="none" w:sz="0" w:space="0" w:color="auto"/>
      </w:divBdr>
    </w:div>
    <w:div w:id="132601785">
      <w:bodyDiv w:val="1"/>
      <w:marLeft w:val="0"/>
      <w:marRight w:val="0"/>
      <w:marTop w:val="0"/>
      <w:marBottom w:val="0"/>
      <w:divBdr>
        <w:top w:val="none" w:sz="0" w:space="0" w:color="auto"/>
        <w:left w:val="none" w:sz="0" w:space="0" w:color="auto"/>
        <w:bottom w:val="none" w:sz="0" w:space="0" w:color="auto"/>
        <w:right w:val="none" w:sz="0" w:space="0" w:color="auto"/>
      </w:divBdr>
    </w:div>
    <w:div w:id="320812157">
      <w:bodyDiv w:val="1"/>
      <w:marLeft w:val="0"/>
      <w:marRight w:val="0"/>
      <w:marTop w:val="0"/>
      <w:marBottom w:val="0"/>
      <w:divBdr>
        <w:top w:val="none" w:sz="0" w:space="0" w:color="auto"/>
        <w:left w:val="none" w:sz="0" w:space="0" w:color="auto"/>
        <w:bottom w:val="none" w:sz="0" w:space="0" w:color="auto"/>
        <w:right w:val="none" w:sz="0" w:space="0" w:color="auto"/>
      </w:divBdr>
    </w:div>
    <w:div w:id="520780067">
      <w:bodyDiv w:val="1"/>
      <w:marLeft w:val="0"/>
      <w:marRight w:val="0"/>
      <w:marTop w:val="0"/>
      <w:marBottom w:val="0"/>
      <w:divBdr>
        <w:top w:val="none" w:sz="0" w:space="0" w:color="auto"/>
        <w:left w:val="none" w:sz="0" w:space="0" w:color="auto"/>
        <w:bottom w:val="none" w:sz="0" w:space="0" w:color="auto"/>
        <w:right w:val="none" w:sz="0" w:space="0" w:color="auto"/>
      </w:divBdr>
      <w:divsChild>
        <w:div w:id="1789279741">
          <w:marLeft w:val="0"/>
          <w:marRight w:val="0"/>
          <w:marTop w:val="0"/>
          <w:marBottom w:val="0"/>
          <w:divBdr>
            <w:top w:val="single" w:sz="2" w:space="0" w:color="auto"/>
            <w:left w:val="single" w:sz="2" w:space="0" w:color="auto"/>
            <w:bottom w:val="single" w:sz="6" w:space="0" w:color="auto"/>
            <w:right w:val="single" w:sz="2" w:space="0" w:color="auto"/>
          </w:divBdr>
          <w:divsChild>
            <w:div w:id="350423410">
              <w:marLeft w:val="0"/>
              <w:marRight w:val="0"/>
              <w:marTop w:val="100"/>
              <w:marBottom w:val="100"/>
              <w:divBdr>
                <w:top w:val="single" w:sz="2" w:space="0" w:color="D9D9E3"/>
                <w:left w:val="single" w:sz="2" w:space="0" w:color="D9D9E3"/>
                <w:bottom w:val="single" w:sz="2" w:space="0" w:color="D9D9E3"/>
                <w:right w:val="single" w:sz="2" w:space="0" w:color="D9D9E3"/>
              </w:divBdr>
              <w:divsChild>
                <w:div w:id="449713704">
                  <w:marLeft w:val="0"/>
                  <w:marRight w:val="0"/>
                  <w:marTop w:val="0"/>
                  <w:marBottom w:val="0"/>
                  <w:divBdr>
                    <w:top w:val="single" w:sz="2" w:space="0" w:color="D9D9E3"/>
                    <w:left w:val="single" w:sz="2" w:space="0" w:color="D9D9E3"/>
                    <w:bottom w:val="single" w:sz="2" w:space="0" w:color="D9D9E3"/>
                    <w:right w:val="single" w:sz="2" w:space="0" w:color="D9D9E3"/>
                  </w:divBdr>
                  <w:divsChild>
                    <w:div w:id="1227493978">
                      <w:marLeft w:val="0"/>
                      <w:marRight w:val="0"/>
                      <w:marTop w:val="0"/>
                      <w:marBottom w:val="0"/>
                      <w:divBdr>
                        <w:top w:val="single" w:sz="2" w:space="0" w:color="D9D9E3"/>
                        <w:left w:val="single" w:sz="2" w:space="0" w:color="D9D9E3"/>
                        <w:bottom w:val="single" w:sz="2" w:space="0" w:color="D9D9E3"/>
                        <w:right w:val="single" w:sz="2" w:space="0" w:color="D9D9E3"/>
                      </w:divBdr>
                      <w:divsChild>
                        <w:div w:id="275136131">
                          <w:marLeft w:val="0"/>
                          <w:marRight w:val="0"/>
                          <w:marTop w:val="0"/>
                          <w:marBottom w:val="0"/>
                          <w:divBdr>
                            <w:top w:val="single" w:sz="2" w:space="0" w:color="D9D9E3"/>
                            <w:left w:val="single" w:sz="2" w:space="0" w:color="D9D9E3"/>
                            <w:bottom w:val="single" w:sz="2" w:space="0" w:color="D9D9E3"/>
                            <w:right w:val="single" w:sz="2" w:space="0" w:color="D9D9E3"/>
                          </w:divBdr>
                          <w:divsChild>
                            <w:div w:id="384184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0728870">
      <w:bodyDiv w:val="1"/>
      <w:marLeft w:val="0"/>
      <w:marRight w:val="0"/>
      <w:marTop w:val="0"/>
      <w:marBottom w:val="0"/>
      <w:divBdr>
        <w:top w:val="none" w:sz="0" w:space="0" w:color="auto"/>
        <w:left w:val="none" w:sz="0" w:space="0" w:color="auto"/>
        <w:bottom w:val="none" w:sz="0" w:space="0" w:color="auto"/>
        <w:right w:val="none" w:sz="0" w:space="0" w:color="auto"/>
      </w:divBdr>
    </w:div>
    <w:div w:id="1041706401">
      <w:bodyDiv w:val="1"/>
      <w:marLeft w:val="0"/>
      <w:marRight w:val="0"/>
      <w:marTop w:val="0"/>
      <w:marBottom w:val="0"/>
      <w:divBdr>
        <w:top w:val="none" w:sz="0" w:space="0" w:color="auto"/>
        <w:left w:val="none" w:sz="0" w:space="0" w:color="auto"/>
        <w:bottom w:val="none" w:sz="0" w:space="0" w:color="auto"/>
        <w:right w:val="none" w:sz="0" w:space="0" w:color="auto"/>
      </w:divBdr>
      <w:divsChild>
        <w:div w:id="1011564250">
          <w:marLeft w:val="0"/>
          <w:marRight w:val="0"/>
          <w:marTop w:val="0"/>
          <w:marBottom w:val="0"/>
          <w:divBdr>
            <w:top w:val="single" w:sz="2" w:space="0" w:color="auto"/>
            <w:left w:val="single" w:sz="2" w:space="0" w:color="auto"/>
            <w:bottom w:val="single" w:sz="6" w:space="0" w:color="auto"/>
            <w:right w:val="single" w:sz="2" w:space="0" w:color="auto"/>
          </w:divBdr>
          <w:divsChild>
            <w:div w:id="17005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47209">
                  <w:marLeft w:val="0"/>
                  <w:marRight w:val="0"/>
                  <w:marTop w:val="0"/>
                  <w:marBottom w:val="0"/>
                  <w:divBdr>
                    <w:top w:val="single" w:sz="2" w:space="0" w:color="D9D9E3"/>
                    <w:left w:val="single" w:sz="2" w:space="0" w:color="D9D9E3"/>
                    <w:bottom w:val="single" w:sz="2" w:space="0" w:color="D9D9E3"/>
                    <w:right w:val="single" w:sz="2" w:space="0" w:color="D9D9E3"/>
                  </w:divBdr>
                  <w:divsChild>
                    <w:div w:id="2147241001">
                      <w:marLeft w:val="0"/>
                      <w:marRight w:val="0"/>
                      <w:marTop w:val="0"/>
                      <w:marBottom w:val="0"/>
                      <w:divBdr>
                        <w:top w:val="single" w:sz="2" w:space="0" w:color="D9D9E3"/>
                        <w:left w:val="single" w:sz="2" w:space="0" w:color="D9D9E3"/>
                        <w:bottom w:val="single" w:sz="2" w:space="0" w:color="D9D9E3"/>
                        <w:right w:val="single" w:sz="2" w:space="0" w:color="D9D9E3"/>
                      </w:divBdr>
                      <w:divsChild>
                        <w:div w:id="1605722853">
                          <w:marLeft w:val="0"/>
                          <w:marRight w:val="0"/>
                          <w:marTop w:val="0"/>
                          <w:marBottom w:val="0"/>
                          <w:divBdr>
                            <w:top w:val="single" w:sz="2" w:space="0" w:color="D9D9E3"/>
                            <w:left w:val="single" w:sz="2" w:space="0" w:color="D9D9E3"/>
                            <w:bottom w:val="single" w:sz="2" w:space="0" w:color="D9D9E3"/>
                            <w:right w:val="single" w:sz="2" w:space="0" w:color="D9D9E3"/>
                          </w:divBdr>
                          <w:divsChild>
                            <w:div w:id="213928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5757078">
                      <w:marLeft w:val="0"/>
                      <w:marRight w:val="0"/>
                      <w:marTop w:val="0"/>
                      <w:marBottom w:val="0"/>
                      <w:divBdr>
                        <w:top w:val="single" w:sz="2" w:space="0" w:color="D9D9E3"/>
                        <w:left w:val="single" w:sz="2" w:space="0" w:color="D9D9E3"/>
                        <w:bottom w:val="single" w:sz="2" w:space="0" w:color="D9D9E3"/>
                        <w:right w:val="single" w:sz="2" w:space="0" w:color="D9D9E3"/>
                      </w:divBdr>
                      <w:divsChild>
                        <w:div w:id="1415590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5104342">
      <w:bodyDiv w:val="1"/>
      <w:marLeft w:val="0"/>
      <w:marRight w:val="0"/>
      <w:marTop w:val="0"/>
      <w:marBottom w:val="0"/>
      <w:divBdr>
        <w:top w:val="none" w:sz="0" w:space="0" w:color="auto"/>
        <w:left w:val="none" w:sz="0" w:space="0" w:color="auto"/>
        <w:bottom w:val="none" w:sz="0" w:space="0" w:color="auto"/>
        <w:right w:val="none" w:sz="0" w:space="0" w:color="auto"/>
      </w:divBdr>
    </w:div>
    <w:div w:id="1081875419">
      <w:bodyDiv w:val="1"/>
      <w:marLeft w:val="0"/>
      <w:marRight w:val="0"/>
      <w:marTop w:val="0"/>
      <w:marBottom w:val="0"/>
      <w:divBdr>
        <w:top w:val="none" w:sz="0" w:space="0" w:color="auto"/>
        <w:left w:val="none" w:sz="0" w:space="0" w:color="auto"/>
        <w:bottom w:val="none" w:sz="0" w:space="0" w:color="auto"/>
        <w:right w:val="none" w:sz="0" w:space="0" w:color="auto"/>
      </w:divBdr>
    </w:div>
    <w:div w:id="1361781948">
      <w:bodyDiv w:val="1"/>
      <w:marLeft w:val="0"/>
      <w:marRight w:val="0"/>
      <w:marTop w:val="0"/>
      <w:marBottom w:val="0"/>
      <w:divBdr>
        <w:top w:val="none" w:sz="0" w:space="0" w:color="auto"/>
        <w:left w:val="none" w:sz="0" w:space="0" w:color="auto"/>
        <w:bottom w:val="none" w:sz="0" w:space="0" w:color="auto"/>
        <w:right w:val="none" w:sz="0" w:space="0" w:color="auto"/>
      </w:divBdr>
      <w:divsChild>
        <w:div w:id="173610658">
          <w:marLeft w:val="0"/>
          <w:marRight w:val="0"/>
          <w:marTop w:val="0"/>
          <w:marBottom w:val="0"/>
          <w:divBdr>
            <w:top w:val="single" w:sz="2" w:space="0" w:color="auto"/>
            <w:left w:val="single" w:sz="2" w:space="0" w:color="auto"/>
            <w:bottom w:val="single" w:sz="6" w:space="0" w:color="auto"/>
            <w:right w:val="single" w:sz="2" w:space="0" w:color="auto"/>
          </w:divBdr>
          <w:divsChild>
            <w:div w:id="89307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422514">
                  <w:marLeft w:val="0"/>
                  <w:marRight w:val="0"/>
                  <w:marTop w:val="0"/>
                  <w:marBottom w:val="0"/>
                  <w:divBdr>
                    <w:top w:val="single" w:sz="2" w:space="0" w:color="D9D9E3"/>
                    <w:left w:val="single" w:sz="2" w:space="0" w:color="D9D9E3"/>
                    <w:bottom w:val="single" w:sz="2" w:space="0" w:color="D9D9E3"/>
                    <w:right w:val="single" w:sz="2" w:space="0" w:color="D9D9E3"/>
                  </w:divBdr>
                  <w:divsChild>
                    <w:div w:id="57215373">
                      <w:marLeft w:val="0"/>
                      <w:marRight w:val="0"/>
                      <w:marTop w:val="0"/>
                      <w:marBottom w:val="0"/>
                      <w:divBdr>
                        <w:top w:val="single" w:sz="2" w:space="0" w:color="D9D9E3"/>
                        <w:left w:val="single" w:sz="2" w:space="0" w:color="D9D9E3"/>
                        <w:bottom w:val="single" w:sz="2" w:space="0" w:color="D9D9E3"/>
                        <w:right w:val="single" w:sz="2" w:space="0" w:color="D9D9E3"/>
                      </w:divBdr>
                      <w:divsChild>
                        <w:div w:id="611476584">
                          <w:marLeft w:val="0"/>
                          <w:marRight w:val="0"/>
                          <w:marTop w:val="0"/>
                          <w:marBottom w:val="0"/>
                          <w:divBdr>
                            <w:top w:val="single" w:sz="2" w:space="0" w:color="D9D9E3"/>
                            <w:left w:val="single" w:sz="2" w:space="0" w:color="D9D9E3"/>
                            <w:bottom w:val="single" w:sz="2" w:space="0" w:color="D9D9E3"/>
                            <w:right w:val="single" w:sz="2" w:space="0" w:color="D9D9E3"/>
                          </w:divBdr>
                          <w:divsChild>
                            <w:div w:id="1889107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2025001">
      <w:bodyDiv w:val="1"/>
      <w:marLeft w:val="0"/>
      <w:marRight w:val="0"/>
      <w:marTop w:val="0"/>
      <w:marBottom w:val="0"/>
      <w:divBdr>
        <w:top w:val="none" w:sz="0" w:space="0" w:color="auto"/>
        <w:left w:val="none" w:sz="0" w:space="0" w:color="auto"/>
        <w:bottom w:val="none" w:sz="0" w:space="0" w:color="auto"/>
        <w:right w:val="none" w:sz="0" w:space="0" w:color="auto"/>
      </w:divBdr>
      <w:divsChild>
        <w:div w:id="1407073313">
          <w:marLeft w:val="0"/>
          <w:marRight w:val="0"/>
          <w:marTop w:val="0"/>
          <w:marBottom w:val="0"/>
          <w:divBdr>
            <w:top w:val="single" w:sz="2" w:space="0" w:color="auto"/>
            <w:left w:val="single" w:sz="2" w:space="0" w:color="auto"/>
            <w:bottom w:val="single" w:sz="6" w:space="0" w:color="auto"/>
            <w:right w:val="single" w:sz="2" w:space="0" w:color="auto"/>
          </w:divBdr>
          <w:divsChild>
            <w:div w:id="1361394030">
              <w:marLeft w:val="0"/>
              <w:marRight w:val="0"/>
              <w:marTop w:val="100"/>
              <w:marBottom w:val="100"/>
              <w:divBdr>
                <w:top w:val="single" w:sz="2" w:space="0" w:color="D9D9E3"/>
                <w:left w:val="single" w:sz="2" w:space="0" w:color="D9D9E3"/>
                <w:bottom w:val="single" w:sz="2" w:space="0" w:color="D9D9E3"/>
                <w:right w:val="single" w:sz="2" w:space="0" w:color="D9D9E3"/>
              </w:divBdr>
              <w:divsChild>
                <w:div w:id="1441217342">
                  <w:marLeft w:val="0"/>
                  <w:marRight w:val="0"/>
                  <w:marTop w:val="0"/>
                  <w:marBottom w:val="0"/>
                  <w:divBdr>
                    <w:top w:val="single" w:sz="2" w:space="0" w:color="D9D9E3"/>
                    <w:left w:val="single" w:sz="2" w:space="0" w:color="D9D9E3"/>
                    <w:bottom w:val="single" w:sz="2" w:space="0" w:color="D9D9E3"/>
                    <w:right w:val="single" w:sz="2" w:space="0" w:color="D9D9E3"/>
                  </w:divBdr>
                  <w:divsChild>
                    <w:div w:id="479930903">
                      <w:marLeft w:val="0"/>
                      <w:marRight w:val="0"/>
                      <w:marTop w:val="0"/>
                      <w:marBottom w:val="0"/>
                      <w:divBdr>
                        <w:top w:val="single" w:sz="2" w:space="0" w:color="D9D9E3"/>
                        <w:left w:val="single" w:sz="2" w:space="0" w:color="D9D9E3"/>
                        <w:bottom w:val="single" w:sz="2" w:space="0" w:color="D9D9E3"/>
                        <w:right w:val="single" w:sz="2" w:space="0" w:color="D9D9E3"/>
                      </w:divBdr>
                      <w:divsChild>
                        <w:div w:id="300158704">
                          <w:marLeft w:val="0"/>
                          <w:marRight w:val="0"/>
                          <w:marTop w:val="0"/>
                          <w:marBottom w:val="0"/>
                          <w:divBdr>
                            <w:top w:val="single" w:sz="2" w:space="0" w:color="D9D9E3"/>
                            <w:left w:val="single" w:sz="2" w:space="0" w:color="D9D9E3"/>
                            <w:bottom w:val="single" w:sz="2" w:space="0" w:color="D9D9E3"/>
                            <w:right w:val="single" w:sz="2" w:space="0" w:color="D9D9E3"/>
                          </w:divBdr>
                          <w:divsChild>
                            <w:div w:id="318920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0737730">
      <w:bodyDiv w:val="1"/>
      <w:marLeft w:val="0"/>
      <w:marRight w:val="0"/>
      <w:marTop w:val="0"/>
      <w:marBottom w:val="0"/>
      <w:divBdr>
        <w:top w:val="none" w:sz="0" w:space="0" w:color="auto"/>
        <w:left w:val="none" w:sz="0" w:space="0" w:color="auto"/>
        <w:bottom w:val="none" w:sz="0" w:space="0" w:color="auto"/>
        <w:right w:val="none" w:sz="0" w:space="0" w:color="auto"/>
      </w:divBdr>
    </w:div>
    <w:div w:id="192722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F0FAE-2C18-E741-BB43-B3CB247D0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3886</Words>
  <Characters>22154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Divya Solanki</cp:lastModifiedBy>
  <cp:revision>2</cp:revision>
  <dcterms:created xsi:type="dcterms:W3CDTF">2023-06-23T09:59:00Z</dcterms:created>
  <dcterms:modified xsi:type="dcterms:W3CDTF">2023-06-23T09:59:00Z</dcterms:modified>
</cp:coreProperties>
</file>