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436212A" w:rsidR="00EA41C7" w:rsidRPr="00600AC6" w:rsidRDefault="00414DD4" w:rsidP="25A9023B">
      <w:pPr>
        <w:jc w:val="center"/>
      </w:pPr>
      <w:r w:rsidRPr="00600AC6">
        <w:rPr>
          <w:b/>
          <w:bCs/>
        </w:rPr>
        <w:t>INTRODUCTION TO HEALTH AND SOCIAL CARE</w:t>
      </w:r>
    </w:p>
    <w:p w14:paraId="00000002" w14:textId="77777777" w:rsidR="00EA41C7" w:rsidRPr="00600AC6" w:rsidRDefault="00EA41C7" w:rsidP="25A9023B">
      <w:pPr>
        <w:jc w:val="center"/>
      </w:pPr>
    </w:p>
    <w:p w14:paraId="00000003" w14:textId="27A6E2E7" w:rsidR="00EA41C7" w:rsidRPr="00600AC6" w:rsidRDefault="008B7F13" w:rsidP="25A9023B">
      <w:pPr>
        <w:jc w:val="center"/>
      </w:pPr>
      <w:r w:rsidRPr="00600AC6">
        <w:t xml:space="preserve">Student Name: </w:t>
      </w:r>
      <w:r w:rsidR="001F411F" w:rsidRPr="00600AC6">
        <w:t>Efosa Omoruyi</w:t>
      </w:r>
    </w:p>
    <w:p w14:paraId="00000004" w14:textId="3C9C1E27" w:rsidR="00EA41C7" w:rsidRPr="00600AC6" w:rsidRDefault="008B7F13" w:rsidP="25A9023B">
      <w:pPr>
        <w:jc w:val="center"/>
      </w:pPr>
      <w:r w:rsidRPr="00600AC6">
        <w:t xml:space="preserve">Student Number: </w:t>
      </w:r>
      <w:r w:rsidR="001F411F" w:rsidRPr="00600AC6">
        <w:t>2515238</w:t>
      </w:r>
    </w:p>
    <w:p w14:paraId="2D5C6C95" w14:textId="5F3CD30C" w:rsidR="00414DD4" w:rsidRPr="00600AC6" w:rsidRDefault="008B7F13" w:rsidP="25A9023B">
      <w:pPr>
        <w:jc w:val="center"/>
      </w:pPr>
      <w:r w:rsidRPr="00600AC6">
        <w:t xml:space="preserve">Module Code and Title: </w:t>
      </w:r>
      <w:r w:rsidR="001F411F" w:rsidRPr="00600AC6">
        <w:t xml:space="preserve">Introduction to Health and Social </w:t>
      </w:r>
      <w:r w:rsidR="00414DD4" w:rsidRPr="00600AC6">
        <w:t>Care (</w:t>
      </w:r>
      <w:r w:rsidR="001F411F" w:rsidRPr="00600AC6">
        <w:t>LCHS4003_BIRM)</w:t>
      </w:r>
    </w:p>
    <w:p w14:paraId="00000006" w14:textId="6E2C1CDE" w:rsidR="00EA41C7" w:rsidRPr="00600AC6" w:rsidRDefault="008B7F13" w:rsidP="25A9023B">
      <w:pPr>
        <w:jc w:val="center"/>
      </w:pPr>
      <w:r w:rsidRPr="00600AC6">
        <w:t xml:space="preserve">Lecturer’s Name: </w:t>
      </w:r>
      <w:r w:rsidR="001F411F" w:rsidRPr="00600AC6">
        <w:t>Aishat Bakre</w:t>
      </w:r>
    </w:p>
    <w:p w14:paraId="387B8B7C" w14:textId="3004B4FB" w:rsidR="001F411F" w:rsidRPr="00600AC6" w:rsidRDefault="008B7F13" w:rsidP="25A9023B">
      <w:pPr>
        <w:jc w:val="center"/>
      </w:pPr>
      <w:r w:rsidRPr="00600AC6">
        <w:t xml:space="preserve">Assignment Title: </w:t>
      </w:r>
      <w:r w:rsidR="00414DD4" w:rsidRPr="00600AC6">
        <w:t>Mr.</w:t>
      </w:r>
      <w:r w:rsidRPr="00600AC6">
        <w:t xml:space="preserve"> Ahmed Cas</w:t>
      </w:r>
      <w:r w:rsidR="001F411F" w:rsidRPr="00600AC6">
        <w:t>e Study Report on Effective</w:t>
      </w:r>
    </w:p>
    <w:p w14:paraId="00000008" w14:textId="09E43E86" w:rsidR="00EA41C7" w:rsidRPr="00600AC6" w:rsidRDefault="00414DD4" w:rsidP="25A9023B">
      <w:pPr>
        <w:jc w:val="center"/>
      </w:pPr>
      <w:r w:rsidRPr="25A9023B">
        <w:rPr>
          <w:lang w:val="en-US"/>
        </w:rPr>
        <w:t>Communication, Administrative</w:t>
      </w:r>
      <w:r w:rsidR="001F411F" w:rsidRPr="25A9023B">
        <w:rPr>
          <w:lang w:val="en-US"/>
        </w:rPr>
        <w:t xml:space="preserve"> Practice</w:t>
      </w:r>
      <w:r w:rsidR="477CDB90" w:rsidRPr="25A9023B">
        <w:rPr>
          <w:lang w:val="en-US"/>
        </w:rPr>
        <w:t>,</w:t>
      </w:r>
      <w:r w:rsidR="001F411F" w:rsidRPr="25A9023B">
        <w:rPr>
          <w:lang w:val="en-US"/>
        </w:rPr>
        <w:t xml:space="preserve"> and Collaborative Working in Health and Social Care.</w:t>
      </w:r>
    </w:p>
    <w:p w14:paraId="00000009" w14:textId="72840FE2" w:rsidR="00EA41C7" w:rsidRPr="00600AC6" w:rsidRDefault="001F411F" w:rsidP="25A9023B">
      <w:pPr>
        <w:jc w:val="center"/>
      </w:pPr>
      <w:r w:rsidRPr="00600AC6">
        <w:t>Date of Submission:23</w:t>
      </w:r>
      <w:r w:rsidRPr="00600AC6">
        <w:rPr>
          <w:vertAlign w:val="superscript"/>
        </w:rPr>
        <w:t>rd</w:t>
      </w:r>
      <w:r w:rsidRPr="00600AC6">
        <w:t xml:space="preserve"> March 23, 2026</w:t>
      </w:r>
      <w:r w:rsidR="008B7F13" w:rsidRPr="00600AC6">
        <w:br w:type="page"/>
      </w:r>
    </w:p>
    <w:p w14:paraId="0000000A" w14:textId="77777777" w:rsidR="00EA41C7" w:rsidRPr="00600AC6" w:rsidRDefault="008B7F13" w:rsidP="00600AC6">
      <w:pPr>
        <w:pStyle w:val="Heading1"/>
        <w:rPr>
          <w:rFonts w:ascii="Arial" w:hAnsi="Arial" w:cs="Arial"/>
          <w:sz w:val="22"/>
          <w:szCs w:val="22"/>
        </w:rPr>
      </w:pPr>
      <w:r w:rsidRPr="00600AC6">
        <w:rPr>
          <w:rFonts w:ascii="Arial" w:hAnsi="Arial" w:cs="Arial"/>
          <w:sz w:val="22"/>
          <w:szCs w:val="22"/>
        </w:rPr>
        <w:lastRenderedPageBreak/>
        <w:t>Introduction</w:t>
      </w:r>
    </w:p>
    <w:p w14:paraId="0000000B" w14:textId="608F54BB" w:rsidR="00EA41C7" w:rsidRPr="00600AC6" w:rsidRDefault="008B7F13" w:rsidP="00600AC6">
      <w:r w:rsidRPr="25A9023B">
        <w:rPr>
          <w:lang w:val="en-US"/>
        </w:rPr>
        <w:t xml:space="preserve">High-quality health and social care </w:t>
      </w:r>
      <w:r w:rsidR="48AC3E28" w:rsidRPr="25A9023B">
        <w:rPr>
          <w:lang w:val="en-US"/>
        </w:rPr>
        <w:t>practices rely</w:t>
      </w:r>
      <w:r w:rsidRPr="25A9023B">
        <w:rPr>
          <w:lang w:val="en-US"/>
        </w:rPr>
        <w:t xml:space="preserve"> heavily on effective communication, accurate administrative processes</w:t>
      </w:r>
      <w:r w:rsidR="538A469B" w:rsidRPr="25A9023B">
        <w:rPr>
          <w:lang w:val="en-US"/>
        </w:rPr>
        <w:t>,</w:t>
      </w:r>
      <w:r w:rsidRPr="25A9023B">
        <w:rPr>
          <w:lang w:val="en-US"/>
        </w:rPr>
        <w:t xml:space="preserve"> and strong collaborative </w:t>
      </w:r>
      <w:r w:rsidR="00414DD4" w:rsidRPr="25A9023B">
        <w:rPr>
          <w:lang w:val="en-US"/>
        </w:rPr>
        <w:t>work</w:t>
      </w:r>
      <w:r w:rsidRPr="25A9023B">
        <w:rPr>
          <w:lang w:val="en-US"/>
        </w:rPr>
        <w:t xml:space="preserve"> among professionals. These elements ensure that service users receive safe, person</w:t>
      </w:r>
      <w:r w:rsidRPr="25A9023B">
        <w:rPr>
          <w:rFonts w:ascii="Cambria Math" w:hAnsi="Cambria Math" w:cs="Cambria Math"/>
          <w:lang w:val="en-US"/>
        </w:rPr>
        <w:t>‑</w:t>
      </w:r>
      <w:r w:rsidR="00414DD4" w:rsidRPr="25A9023B">
        <w:rPr>
          <w:lang w:val="en-US"/>
        </w:rPr>
        <w:t>centered</w:t>
      </w:r>
      <w:r w:rsidRPr="25A9023B">
        <w:rPr>
          <w:lang w:val="en-US"/>
        </w:rPr>
        <w:t xml:space="preserve"> and coordinated care that respects their individual needs and rights (NMC, 2018; Glasby and Dickinson, 2014). This report examines these principles within the context of the case study of </w:t>
      </w:r>
      <w:r w:rsidR="00414DD4" w:rsidRPr="25A9023B">
        <w:rPr>
          <w:lang w:val="en-US"/>
        </w:rPr>
        <w:t>Mr.</w:t>
      </w:r>
      <w:r w:rsidRPr="25A9023B">
        <w:rPr>
          <w:lang w:val="en-US"/>
        </w:rPr>
        <w:t xml:space="preserve"> Ahmed, a 68</w:t>
      </w:r>
      <w:r w:rsidRPr="25A9023B">
        <w:rPr>
          <w:rFonts w:ascii="Cambria Math" w:hAnsi="Cambria Math" w:cs="Cambria Math"/>
          <w:lang w:val="en-US"/>
        </w:rPr>
        <w:t>‑</w:t>
      </w:r>
      <w:r w:rsidRPr="25A9023B">
        <w:rPr>
          <w:lang w:val="en-US"/>
        </w:rPr>
        <w:t>year</w:t>
      </w:r>
      <w:r w:rsidRPr="25A9023B">
        <w:rPr>
          <w:rFonts w:ascii="Cambria Math" w:hAnsi="Cambria Math" w:cs="Cambria Math"/>
          <w:lang w:val="en-US"/>
        </w:rPr>
        <w:t>‑</w:t>
      </w:r>
      <w:r w:rsidRPr="25A9023B">
        <w:rPr>
          <w:lang w:val="en-US"/>
        </w:rPr>
        <w:t xml:space="preserve">old man recently discharged from hospital following a stroke. </w:t>
      </w:r>
      <w:r w:rsidR="00414DD4" w:rsidRPr="25A9023B">
        <w:rPr>
          <w:lang w:val="en-US"/>
        </w:rPr>
        <w:t>Mr.</w:t>
      </w:r>
      <w:r w:rsidRPr="25A9023B">
        <w:rPr>
          <w:lang w:val="en-US"/>
        </w:rPr>
        <w:t xml:space="preserve"> Ahmed receives domiciliary care three times daily and is supported by a multidisciplinary team including his GP, a district nurse</w:t>
      </w:r>
      <w:r w:rsidR="78F5D8ED" w:rsidRPr="25A9023B">
        <w:rPr>
          <w:lang w:val="en-US"/>
        </w:rPr>
        <w:t>,</w:t>
      </w:r>
      <w:r w:rsidRPr="25A9023B">
        <w:rPr>
          <w:lang w:val="en-US"/>
        </w:rPr>
        <w:t xml:space="preserve"> and a speech and language therapist. </w:t>
      </w:r>
      <w:r w:rsidR="00600AC6" w:rsidRPr="25A9023B">
        <w:rPr>
          <w:lang w:val="en-US"/>
        </w:rPr>
        <w:t>Because</w:t>
      </w:r>
      <w:r w:rsidRPr="25A9023B">
        <w:rPr>
          <w:lang w:val="en-US"/>
        </w:rPr>
        <w:t xml:space="preserve"> of stroke and language barriers—his first language being Bengali—effective communication with both </w:t>
      </w:r>
      <w:r w:rsidR="00414DD4" w:rsidRPr="25A9023B">
        <w:rPr>
          <w:lang w:val="en-US"/>
        </w:rPr>
        <w:t>Mr.</w:t>
      </w:r>
      <w:r w:rsidRPr="25A9023B">
        <w:rPr>
          <w:lang w:val="en-US"/>
        </w:rPr>
        <w:t xml:space="preserve"> Ahmed and his wife is essential for safe care delivery. Furthermore, the missed domiciliary care visit that resulted in delayed medication administration highlights the importance of accurate record keeping and administrative accountability. This report therefore explores the significance of communication, professional administrative practice</w:t>
      </w:r>
      <w:r w:rsidR="79E072A9" w:rsidRPr="25A9023B">
        <w:rPr>
          <w:lang w:val="en-US"/>
        </w:rPr>
        <w:t>,</w:t>
      </w:r>
      <w:r w:rsidRPr="25A9023B">
        <w:rPr>
          <w:lang w:val="en-US"/>
        </w:rPr>
        <w:t xml:space="preserve"> and interprofessional collaboration in ensuring high</w:t>
      </w:r>
      <w:r w:rsidRPr="25A9023B">
        <w:rPr>
          <w:rFonts w:ascii="Cambria Math" w:hAnsi="Cambria Math" w:cs="Cambria Math"/>
          <w:lang w:val="en-US"/>
        </w:rPr>
        <w:t>‑</w:t>
      </w:r>
      <w:r w:rsidRPr="25A9023B">
        <w:rPr>
          <w:lang w:val="en-US"/>
        </w:rPr>
        <w:t xml:space="preserve">quality care outcomes for </w:t>
      </w:r>
      <w:r w:rsidR="00414DD4" w:rsidRPr="25A9023B">
        <w:rPr>
          <w:lang w:val="en-US"/>
        </w:rPr>
        <w:t>Mr.</w:t>
      </w:r>
      <w:r w:rsidRPr="25A9023B">
        <w:rPr>
          <w:lang w:val="en-US"/>
        </w:rPr>
        <w:t xml:space="preserve"> Ahmed.</w:t>
      </w:r>
    </w:p>
    <w:p w14:paraId="0000000C" w14:textId="15892F58" w:rsidR="00EA41C7" w:rsidRPr="00600AC6" w:rsidRDefault="008B7F13" w:rsidP="00600AC6">
      <w:pPr>
        <w:pStyle w:val="Heading1"/>
        <w:rPr>
          <w:rFonts w:ascii="Arial" w:hAnsi="Arial" w:cs="Arial"/>
          <w:sz w:val="22"/>
          <w:szCs w:val="22"/>
        </w:rPr>
      </w:pPr>
      <w:r w:rsidRPr="00600AC6">
        <w:rPr>
          <w:rFonts w:ascii="Arial" w:hAnsi="Arial" w:cs="Arial"/>
          <w:sz w:val="22"/>
          <w:szCs w:val="22"/>
        </w:rPr>
        <w:t xml:space="preserve">1. Importance of Effective Communication in </w:t>
      </w:r>
      <w:r w:rsidR="00414DD4" w:rsidRPr="00600AC6">
        <w:rPr>
          <w:rFonts w:ascii="Arial" w:hAnsi="Arial" w:cs="Arial"/>
          <w:sz w:val="22"/>
          <w:szCs w:val="22"/>
        </w:rPr>
        <w:t>Mr.</w:t>
      </w:r>
      <w:r w:rsidRPr="00600AC6">
        <w:rPr>
          <w:rFonts w:ascii="Arial" w:hAnsi="Arial" w:cs="Arial"/>
          <w:sz w:val="22"/>
          <w:szCs w:val="22"/>
        </w:rPr>
        <w:t xml:space="preserve"> Ahmed’s Care</w:t>
      </w:r>
    </w:p>
    <w:p w14:paraId="0000000D" w14:textId="080D4EF6" w:rsidR="00EA41C7" w:rsidRPr="00600AC6" w:rsidRDefault="008B7F13" w:rsidP="00600AC6">
      <w:r w:rsidRPr="25A9023B">
        <w:rPr>
          <w:lang w:val="en-US"/>
        </w:rPr>
        <w:t>Effective communication is a cornerstone of safe and compassionate healthcare practice. It enables healthcare professionals to exchange information accurately, build trust with patients</w:t>
      </w:r>
      <w:r w:rsidR="40EB9551" w:rsidRPr="25A9023B">
        <w:rPr>
          <w:lang w:val="en-US"/>
        </w:rPr>
        <w:t>,</w:t>
      </w:r>
      <w:r w:rsidRPr="25A9023B">
        <w:rPr>
          <w:lang w:val="en-US"/>
        </w:rPr>
        <w:t xml:space="preserve"> and support informed decision</w:t>
      </w:r>
      <w:r w:rsidRPr="25A9023B">
        <w:rPr>
          <w:rFonts w:ascii="Cambria Math" w:hAnsi="Cambria Math" w:cs="Cambria Math"/>
          <w:lang w:val="en-US"/>
        </w:rPr>
        <w:t>‑</w:t>
      </w:r>
      <w:r w:rsidRPr="25A9023B">
        <w:rPr>
          <w:lang w:val="en-US"/>
        </w:rPr>
        <w:t xml:space="preserve">making (Arnold and Boggs, 2019). In </w:t>
      </w:r>
      <w:r w:rsidR="00600AC6" w:rsidRPr="25A9023B">
        <w:rPr>
          <w:lang w:val="en-US"/>
        </w:rPr>
        <w:t>Mr.</w:t>
      </w:r>
      <w:r w:rsidRPr="25A9023B">
        <w:rPr>
          <w:lang w:val="en-US"/>
        </w:rPr>
        <w:t xml:space="preserve"> Ahmed’s case, communication is particularly significant due to both language barriers and the communication difficulties that often occur following a stroke. Stroke can affect speech, comprehension and swallowing, which means that healthcare professionals must adapt their communication strategies to ensure that information about medication, treatment and daily care is clearly understood (Stroke Association, 2022).</w:t>
      </w:r>
    </w:p>
    <w:p w14:paraId="0000000E" w14:textId="1CC5E3EA" w:rsidR="00EA41C7" w:rsidRPr="00600AC6" w:rsidRDefault="008B7F13" w:rsidP="00600AC6">
      <w:r w:rsidRPr="25A9023B">
        <w:rPr>
          <w:lang w:val="en-US"/>
        </w:rPr>
        <w:t>The Equality Act 2010 provides a legal framework that protects individuals from discrimination and promotes equal access to services regardless of characteristics such as race, disability, age</w:t>
      </w:r>
      <w:r w:rsidR="0975AC15" w:rsidRPr="25A9023B">
        <w:rPr>
          <w:lang w:val="en-US"/>
        </w:rPr>
        <w:t>,</w:t>
      </w:r>
      <w:r w:rsidRPr="25A9023B">
        <w:rPr>
          <w:lang w:val="en-US"/>
        </w:rPr>
        <w:t xml:space="preserve"> or ethnicity (Equality Act, 2010). In the context of </w:t>
      </w:r>
      <w:r w:rsidR="00414DD4" w:rsidRPr="25A9023B">
        <w:rPr>
          <w:lang w:val="en-US"/>
        </w:rPr>
        <w:t>Mr.</w:t>
      </w:r>
      <w:r w:rsidRPr="25A9023B">
        <w:rPr>
          <w:lang w:val="en-US"/>
        </w:rPr>
        <w:t xml:space="preserve"> Ahmed’s care, healthcare professionals must ensure that language differences and stroke</w:t>
      </w:r>
      <w:r w:rsidRPr="25A9023B">
        <w:rPr>
          <w:rFonts w:ascii="Cambria Math" w:hAnsi="Cambria Math" w:cs="Cambria Math"/>
          <w:lang w:val="en-US"/>
        </w:rPr>
        <w:t>‑</w:t>
      </w:r>
      <w:r w:rsidRPr="25A9023B">
        <w:rPr>
          <w:lang w:val="en-US"/>
        </w:rPr>
        <w:t xml:space="preserve">related impairments do not prevent him from accessing appropriate care or participating in decisions about his treatment. Providing culturally sensitive communication and ensuring that information is delivered in an accessible format are therefore essential responsibilities for professionals working with </w:t>
      </w:r>
      <w:r w:rsidR="00414DD4" w:rsidRPr="25A9023B">
        <w:rPr>
          <w:lang w:val="en-US"/>
        </w:rPr>
        <w:t>Mr.</w:t>
      </w:r>
      <w:r w:rsidRPr="25A9023B">
        <w:rPr>
          <w:lang w:val="en-US"/>
        </w:rPr>
        <w:t xml:space="preserve"> Ahmed.</w:t>
      </w:r>
    </w:p>
    <w:p w14:paraId="0000000F" w14:textId="43A42D5B" w:rsidR="00EA41C7" w:rsidRPr="00600AC6" w:rsidRDefault="008B7F13" w:rsidP="00600AC6">
      <w:r w:rsidRPr="25A9023B">
        <w:rPr>
          <w:lang w:val="en-US"/>
        </w:rPr>
        <w:t>A useful framework for understanding communication within healthcare is the Shannon and Weaver Communication Model (Shannon and Weaver, 1949). This model explains communication as a process involving a sender, message, channel</w:t>
      </w:r>
      <w:r w:rsidR="0D83BB16" w:rsidRPr="25A9023B">
        <w:rPr>
          <w:lang w:val="en-US"/>
        </w:rPr>
        <w:t>,</w:t>
      </w:r>
      <w:r w:rsidRPr="25A9023B">
        <w:rPr>
          <w:lang w:val="en-US"/>
        </w:rPr>
        <w:t xml:space="preserve"> and receiver, while </w:t>
      </w:r>
      <w:r w:rsidR="00414DD4" w:rsidRPr="25A9023B">
        <w:rPr>
          <w:lang w:val="en-US"/>
        </w:rPr>
        <w:t>recognizing</w:t>
      </w:r>
      <w:r w:rsidRPr="25A9023B">
        <w:rPr>
          <w:lang w:val="en-US"/>
        </w:rPr>
        <w:t xml:space="preserve"> the presence of ‘noise’ that can distort the intended message. In </w:t>
      </w:r>
      <w:r w:rsidR="00414DD4" w:rsidRPr="25A9023B">
        <w:rPr>
          <w:lang w:val="en-US"/>
        </w:rPr>
        <w:t>Mr.</w:t>
      </w:r>
      <w:r w:rsidRPr="25A9023B">
        <w:rPr>
          <w:lang w:val="en-US"/>
        </w:rPr>
        <w:t xml:space="preserve"> Ahmed’s situation, several forms of ‘noise’ may affect communication, including limited English proficiency, stroke</w:t>
      </w:r>
      <w:r w:rsidRPr="25A9023B">
        <w:rPr>
          <w:rFonts w:ascii="Cambria Math" w:hAnsi="Cambria Math" w:cs="Cambria Math"/>
          <w:lang w:val="en-US"/>
        </w:rPr>
        <w:t>‑</w:t>
      </w:r>
      <w:r w:rsidRPr="25A9023B">
        <w:rPr>
          <w:lang w:val="en-US"/>
        </w:rPr>
        <w:t xml:space="preserve">related speech difficulties and emotional stress following hospital discharge. Healthcare professionals must therefore </w:t>
      </w:r>
      <w:r w:rsidR="00414DD4" w:rsidRPr="25A9023B">
        <w:rPr>
          <w:lang w:val="en-US"/>
        </w:rPr>
        <w:t>minimize</w:t>
      </w:r>
      <w:r w:rsidRPr="25A9023B">
        <w:rPr>
          <w:lang w:val="en-US"/>
        </w:rPr>
        <w:t xml:space="preserve"> these barriers by using clear language, avoiding medical jargon</w:t>
      </w:r>
      <w:r w:rsidR="406DF440" w:rsidRPr="25A9023B">
        <w:rPr>
          <w:lang w:val="en-US"/>
        </w:rPr>
        <w:t>,</w:t>
      </w:r>
      <w:r w:rsidRPr="25A9023B">
        <w:rPr>
          <w:lang w:val="en-US"/>
        </w:rPr>
        <w:t xml:space="preserve"> and confirming understanding through feedback (Arnold and Boggs, 2019).</w:t>
      </w:r>
    </w:p>
    <w:p w14:paraId="00000010" w14:textId="2B93BAE7" w:rsidR="00EA41C7" w:rsidRPr="00600AC6" w:rsidRDefault="008B7F13" w:rsidP="00600AC6">
      <w:r w:rsidRPr="25A9023B">
        <w:rPr>
          <w:lang w:val="en-US"/>
        </w:rPr>
        <w:t>Active listening and patient</w:t>
      </w:r>
      <w:r w:rsidRPr="25A9023B">
        <w:rPr>
          <w:rFonts w:ascii="Cambria Math" w:hAnsi="Cambria Math" w:cs="Cambria Math"/>
          <w:lang w:val="en-US"/>
        </w:rPr>
        <w:t>‑</w:t>
      </w:r>
      <w:r w:rsidR="00414DD4" w:rsidRPr="25A9023B">
        <w:rPr>
          <w:lang w:val="en-US"/>
        </w:rPr>
        <w:t>centered</w:t>
      </w:r>
      <w:r w:rsidRPr="25A9023B">
        <w:rPr>
          <w:lang w:val="en-US"/>
        </w:rPr>
        <w:t xml:space="preserve"> communication are also vital. Professionals should allow sufficient time for </w:t>
      </w:r>
      <w:r w:rsidR="00414DD4" w:rsidRPr="25A9023B">
        <w:rPr>
          <w:lang w:val="en-US"/>
        </w:rPr>
        <w:t>Mr.</w:t>
      </w:r>
      <w:r w:rsidRPr="25A9023B">
        <w:rPr>
          <w:lang w:val="en-US"/>
        </w:rPr>
        <w:t xml:space="preserve"> Ahmed to express himself, maintain eye contact</w:t>
      </w:r>
      <w:r w:rsidR="410D15AE" w:rsidRPr="25A9023B">
        <w:rPr>
          <w:lang w:val="en-US"/>
        </w:rPr>
        <w:t>,</w:t>
      </w:r>
      <w:r w:rsidRPr="25A9023B">
        <w:rPr>
          <w:lang w:val="en-US"/>
        </w:rPr>
        <w:t xml:space="preserve"> and demonstrate empathy. The involvement of a speech and language therapist is particularly important, as this specialist can provide strategies and exercises to improve </w:t>
      </w:r>
      <w:r w:rsidR="00414DD4" w:rsidRPr="25A9023B">
        <w:rPr>
          <w:lang w:val="en-US"/>
        </w:rPr>
        <w:t>Mr.</w:t>
      </w:r>
      <w:r w:rsidRPr="25A9023B">
        <w:rPr>
          <w:lang w:val="en-US"/>
        </w:rPr>
        <w:t xml:space="preserve"> Ahmed’s communication abilities and swallowing function. In addition, written instructions, visual aids</w:t>
      </w:r>
      <w:r w:rsidR="22EFE294" w:rsidRPr="25A9023B">
        <w:rPr>
          <w:lang w:val="en-US"/>
        </w:rPr>
        <w:t>,</w:t>
      </w:r>
      <w:r w:rsidRPr="25A9023B">
        <w:rPr>
          <w:lang w:val="en-US"/>
        </w:rPr>
        <w:t xml:space="preserve"> or translated information may assist in improving understanding.</w:t>
      </w:r>
    </w:p>
    <w:p w14:paraId="00000011" w14:textId="016BD550" w:rsidR="00EA41C7" w:rsidRPr="00600AC6" w:rsidRDefault="008B7F13" w:rsidP="00600AC6">
      <w:r w:rsidRPr="25A9023B">
        <w:rPr>
          <w:lang w:val="en-US"/>
        </w:rPr>
        <w:t xml:space="preserve">Family involvement is </w:t>
      </w:r>
      <w:bookmarkStart w:id="0" w:name="_Int_Bjf2A0iu"/>
      <w:r w:rsidRPr="25A9023B">
        <w:rPr>
          <w:lang w:val="en-US"/>
        </w:rPr>
        <w:t>another</w:t>
      </w:r>
      <w:bookmarkEnd w:id="0"/>
      <w:r w:rsidRPr="25A9023B">
        <w:rPr>
          <w:lang w:val="en-US"/>
        </w:rPr>
        <w:t xml:space="preserve"> important component of effective communication. </w:t>
      </w:r>
      <w:r w:rsidR="00414DD4" w:rsidRPr="25A9023B">
        <w:rPr>
          <w:lang w:val="en-US"/>
        </w:rPr>
        <w:t>Mr.</w:t>
      </w:r>
      <w:r w:rsidRPr="25A9023B">
        <w:rPr>
          <w:lang w:val="en-US"/>
        </w:rPr>
        <w:t xml:space="preserve"> Ahmed’s wife speaks fluent English and frequently communicates with healthcare professionals on his behalf. While this support is valuable, professionals must ensure that </w:t>
      </w:r>
      <w:r w:rsidR="00414DD4" w:rsidRPr="25A9023B">
        <w:rPr>
          <w:lang w:val="en-US"/>
        </w:rPr>
        <w:t>Mr.</w:t>
      </w:r>
      <w:r w:rsidRPr="25A9023B">
        <w:rPr>
          <w:lang w:val="en-US"/>
        </w:rPr>
        <w:t xml:space="preserve"> Ahmed remains central to discussions regarding his care to preserve his autonomy and dignity (Thompson, 2018). Ultimately, clear communication helps prevent medication errors, improves patient satisfaction</w:t>
      </w:r>
      <w:r w:rsidR="540B3F7C" w:rsidRPr="25A9023B">
        <w:rPr>
          <w:lang w:val="en-US"/>
        </w:rPr>
        <w:t>,</w:t>
      </w:r>
      <w:r w:rsidRPr="25A9023B">
        <w:rPr>
          <w:lang w:val="en-US"/>
        </w:rPr>
        <w:t xml:space="preserve"> and supports safer health outcomes.</w:t>
      </w:r>
    </w:p>
    <w:p w14:paraId="00000012" w14:textId="77777777" w:rsidR="00EA41C7" w:rsidRPr="00600AC6" w:rsidRDefault="008B7F13" w:rsidP="00600AC6">
      <w:pPr>
        <w:pStyle w:val="Heading1"/>
        <w:rPr>
          <w:rFonts w:ascii="Arial" w:hAnsi="Arial" w:cs="Arial"/>
          <w:sz w:val="22"/>
          <w:szCs w:val="22"/>
        </w:rPr>
      </w:pPr>
      <w:r w:rsidRPr="00600AC6">
        <w:rPr>
          <w:rFonts w:ascii="Arial" w:hAnsi="Arial" w:cs="Arial"/>
          <w:sz w:val="22"/>
          <w:szCs w:val="22"/>
        </w:rPr>
        <w:t xml:space="preserve">2. Administrative Skills and Record Keeping in Professional Practice </w:t>
      </w:r>
    </w:p>
    <w:p w14:paraId="00000013" w14:textId="3EC436C4" w:rsidR="00EA41C7" w:rsidRPr="00600AC6" w:rsidRDefault="008B7F13" w:rsidP="00600AC6">
      <w:r w:rsidRPr="25A9023B">
        <w:rPr>
          <w:lang w:val="en-US"/>
        </w:rPr>
        <w:t xml:space="preserve">Administrative competence is an essential professional skill in health and social care. Accurate documentation and effective record management support continuity of care, enable accountability and provide evidence of the care delivered (Dimond, 2020). In the case of </w:t>
      </w:r>
      <w:r w:rsidR="00414DD4" w:rsidRPr="25A9023B">
        <w:rPr>
          <w:lang w:val="en-US"/>
        </w:rPr>
        <w:t>Mr.</w:t>
      </w:r>
      <w:r w:rsidRPr="25A9023B">
        <w:rPr>
          <w:lang w:val="en-US"/>
        </w:rPr>
        <w:t xml:space="preserve"> Ahmed, administrative processes are particularly important because several professionals are involved in his care and information must be shared appropriately to maintain patient safety.</w:t>
      </w:r>
    </w:p>
    <w:p w14:paraId="00000014" w14:textId="6B7AEC21" w:rsidR="00EA41C7" w:rsidRPr="00600AC6" w:rsidRDefault="008B7F13" w:rsidP="00600AC6">
      <w:r w:rsidRPr="25A9023B">
        <w:rPr>
          <w:lang w:val="en-US"/>
        </w:rPr>
        <w:t xml:space="preserve">The Data Protection Act 2018 establishes the legal framework governing how personal data is collected, stored and processed within the United Kingdom. The Act incorporates principles from the UK General Data Protection Regulation (GDPR), which </w:t>
      </w:r>
      <w:r w:rsidR="00414DD4" w:rsidRPr="25A9023B">
        <w:rPr>
          <w:lang w:val="en-US"/>
        </w:rPr>
        <w:t>emphasize</w:t>
      </w:r>
      <w:r w:rsidRPr="25A9023B">
        <w:rPr>
          <w:lang w:val="en-US"/>
        </w:rPr>
        <w:t xml:space="preserve"> lawfulness, fairness, transparency, data </w:t>
      </w:r>
      <w:r w:rsidR="00414DD4" w:rsidRPr="25A9023B">
        <w:rPr>
          <w:lang w:val="en-US"/>
        </w:rPr>
        <w:t>minimization</w:t>
      </w:r>
      <w:r w:rsidR="1D4D9BF5" w:rsidRPr="25A9023B">
        <w:rPr>
          <w:lang w:val="en-US"/>
        </w:rPr>
        <w:t>,</w:t>
      </w:r>
      <w:r w:rsidRPr="25A9023B">
        <w:rPr>
          <w:lang w:val="en-US"/>
        </w:rPr>
        <w:t xml:space="preserve"> and confidentiality (ICO, 2023). Healthcare professionals involved in </w:t>
      </w:r>
      <w:r w:rsidR="00414DD4" w:rsidRPr="25A9023B">
        <w:rPr>
          <w:lang w:val="en-US"/>
        </w:rPr>
        <w:t>Mr.</w:t>
      </w:r>
      <w:r w:rsidRPr="25A9023B">
        <w:rPr>
          <w:lang w:val="en-US"/>
        </w:rPr>
        <w:t xml:space="preserve"> Ahmed’s care must therefore ensure that all personal information—such as medical history, medication records and care notes—is handled securely and shared only with </w:t>
      </w:r>
      <w:r w:rsidR="00414DD4" w:rsidRPr="25A9023B">
        <w:rPr>
          <w:lang w:val="en-US"/>
        </w:rPr>
        <w:t>authorized</w:t>
      </w:r>
      <w:r w:rsidRPr="25A9023B">
        <w:rPr>
          <w:lang w:val="en-US"/>
        </w:rPr>
        <w:t xml:space="preserve"> members of the multidisciplinary team.</w:t>
      </w:r>
    </w:p>
    <w:p w14:paraId="00000015" w14:textId="6B107CE9" w:rsidR="00EA41C7" w:rsidRPr="00600AC6" w:rsidRDefault="008B7F13" w:rsidP="00600AC6">
      <w:r w:rsidRPr="25A9023B">
        <w:rPr>
          <w:lang w:val="en-US"/>
        </w:rPr>
        <w:t xml:space="preserve">Record keeping is also </w:t>
      </w:r>
      <w:r w:rsidR="00414DD4" w:rsidRPr="25A9023B">
        <w:rPr>
          <w:lang w:val="en-US"/>
        </w:rPr>
        <w:t>emphasized</w:t>
      </w:r>
      <w:r w:rsidRPr="25A9023B">
        <w:rPr>
          <w:lang w:val="en-US"/>
        </w:rPr>
        <w:t xml:space="preserve"> in professional regulatory guidance such as the Nursing and Midwifery Council (NMC) Code. The Code requires professionals to maintain clear, accurate and timely records that reflect the care provided and any decisions made regarding treatment (NMC, 2018). In </w:t>
      </w:r>
      <w:r w:rsidR="00750F43" w:rsidRPr="25A9023B">
        <w:rPr>
          <w:lang w:val="en-US"/>
        </w:rPr>
        <w:t>Mr.</w:t>
      </w:r>
      <w:r w:rsidRPr="25A9023B">
        <w:rPr>
          <w:lang w:val="en-US"/>
        </w:rPr>
        <w:t xml:space="preserve"> Ahmed’s case, the missed domiciliary care visit that resulted in delayed medication administration must be documented thoroughly. This record should include the time the visit was missed, the reason if known, the potential risks to the patient</w:t>
      </w:r>
      <w:r w:rsidR="68047AD1" w:rsidRPr="25A9023B">
        <w:rPr>
          <w:lang w:val="en-US"/>
        </w:rPr>
        <w:t>,</w:t>
      </w:r>
      <w:r w:rsidRPr="25A9023B">
        <w:rPr>
          <w:lang w:val="en-US"/>
        </w:rPr>
        <w:t xml:space="preserve"> and the actions taken to resolve the situation. Such documentation supports investigations, promotes transparency</w:t>
      </w:r>
      <w:r w:rsidR="2FA50317" w:rsidRPr="25A9023B">
        <w:rPr>
          <w:lang w:val="en-US"/>
        </w:rPr>
        <w:t>,</w:t>
      </w:r>
      <w:r w:rsidRPr="25A9023B">
        <w:rPr>
          <w:lang w:val="en-US"/>
        </w:rPr>
        <w:t xml:space="preserve"> and enables services to identify areas for improvement.</w:t>
      </w:r>
    </w:p>
    <w:p w14:paraId="00000016" w14:textId="5B398D36" w:rsidR="00EA41C7" w:rsidRPr="00600AC6" w:rsidRDefault="008B7F13" w:rsidP="00600AC6">
      <w:r w:rsidRPr="25A9023B">
        <w:rPr>
          <w:lang w:val="en-US"/>
        </w:rPr>
        <w:t xml:space="preserve">Regulatory frameworks such as the Care Quality Commission (CQC) standards further </w:t>
      </w:r>
      <w:r w:rsidR="00750F43" w:rsidRPr="25A9023B">
        <w:rPr>
          <w:lang w:val="en-US"/>
        </w:rPr>
        <w:t>emphasize</w:t>
      </w:r>
      <w:r w:rsidRPr="25A9023B">
        <w:rPr>
          <w:lang w:val="en-US"/>
        </w:rPr>
        <w:t xml:space="preserve"> the importance of effective governance systems in care </w:t>
      </w:r>
      <w:r w:rsidR="00750F43" w:rsidRPr="25A9023B">
        <w:rPr>
          <w:lang w:val="en-US"/>
        </w:rPr>
        <w:t>organizations</w:t>
      </w:r>
      <w:r w:rsidRPr="25A9023B">
        <w:rPr>
          <w:lang w:val="en-US"/>
        </w:rPr>
        <w:t>. These standards require providers to maintain accurate care records and ensure that information is used to deliver safe and effective services (CQC, 2023). Accurate administrative processes also facilitate communication between professionals by ensuring that all members of the multidisciplinary team have access to up</w:t>
      </w:r>
      <w:r w:rsidRPr="25A9023B">
        <w:rPr>
          <w:rFonts w:ascii="Cambria Math" w:hAnsi="Cambria Math" w:cs="Cambria Math"/>
          <w:lang w:val="en-US"/>
        </w:rPr>
        <w:t>‑</w:t>
      </w:r>
      <w:r w:rsidRPr="25A9023B">
        <w:rPr>
          <w:lang w:val="en-US"/>
        </w:rPr>
        <w:t>to</w:t>
      </w:r>
      <w:r w:rsidRPr="25A9023B">
        <w:rPr>
          <w:rFonts w:ascii="Cambria Math" w:hAnsi="Cambria Math" w:cs="Cambria Math"/>
          <w:lang w:val="en-US"/>
        </w:rPr>
        <w:t>‑</w:t>
      </w:r>
      <w:r w:rsidRPr="25A9023B">
        <w:rPr>
          <w:lang w:val="en-US"/>
        </w:rPr>
        <w:t xml:space="preserve">date information regarding </w:t>
      </w:r>
      <w:r w:rsidR="00750F43" w:rsidRPr="25A9023B">
        <w:rPr>
          <w:lang w:val="en-US"/>
        </w:rPr>
        <w:t>Mr.</w:t>
      </w:r>
      <w:r w:rsidRPr="25A9023B">
        <w:rPr>
          <w:lang w:val="en-US"/>
        </w:rPr>
        <w:t xml:space="preserve"> Ahmed’s treatment plan.</w:t>
      </w:r>
    </w:p>
    <w:p w14:paraId="00000017" w14:textId="46B80A4C" w:rsidR="00EA41C7" w:rsidRPr="00600AC6" w:rsidRDefault="008B7F13" w:rsidP="00600AC6">
      <w:r w:rsidRPr="25A9023B">
        <w:rPr>
          <w:lang w:val="en-US"/>
        </w:rPr>
        <w:t>In addition to documentation, administrative skills include scheduling, medication management</w:t>
      </w:r>
      <w:r w:rsidR="5A3967AA" w:rsidRPr="25A9023B">
        <w:rPr>
          <w:lang w:val="en-US"/>
        </w:rPr>
        <w:t>,</w:t>
      </w:r>
      <w:r w:rsidRPr="25A9023B">
        <w:rPr>
          <w:lang w:val="en-US"/>
        </w:rPr>
        <w:t xml:space="preserve"> and coordination of care visits. Effective rostering systems could reduce the likelihood of missed domiciliary visits, while accurate medication administration records ensure that prescriptions are followed correctly. Ultimately, strong administrative practice supports patient safety, professional accountability</w:t>
      </w:r>
      <w:r w:rsidR="1025DAE6" w:rsidRPr="25A9023B">
        <w:rPr>
          <w:lang w:val="en-US"/>
        </w:rPr>
        <w:t>,</w:t>
      </w:r>
      <w:r w:rsidRPr="25A9023B">
        <w:rPr>
          <w:lang w:val="en-US"/>
        </w:rPr>
        <w:t xml:space="preserve"> and high</w:t>
      </w:r>
      <w:r w:rsidRPr="25A9023B">
        <w:rPr>
          <w:rFonts w:ascii="Cambria Math" w:hAnsi="Cambria Math" w:cs="Cambria Math"/>
          <w:lang w:val="en-US"/>
        </w:rPr>
        <w:t>‑</w:t>
      </w:r>
      <w:r w:rsidRPr="25A9023B">
        <w:rPr>
          <w:lang w:val="en-US"/>
        </w:rPr>
        <w:t>quality care delivery.</w:t>
      </w:r>
    </w:p>
    <w:p w14:paraId="00000018" w14:textId="77777777" w:rsidR="00EA41C7" w:rsidRPr="00600AC6" w:rsidRDefault="008B7F13" w:rsidP="00600AC6">
      <w:pPr>
        <w:pStyle w:val="Heading1"/>
        <w:rPr>
          <w:rFonts w:ascii="Arial" w:hAnsi="Arial" w:cs="Arial"/>
          <w:sz w:val="22"/>
          <w:szCs w:val="22"/>
        </w:rPr>
      </w:pPr>
      <w:r w:rsidRPr="00600AC6">
        <w:rPr>
          <w:rFonts w:ascii="Arial" w:hAnsi="Arial" w:cs="Arial"/>
          <w:sz w:val="22"/>
          <w:szCs w:val="22"/>
        </w:rPr>
        <w:t>3. Collaborative Working and Multi</w:t>
      </w:r>
      <w:r w:rsidRPr="00600AC6">
        <w:rPr>
          <w:rFonts w:ascii="Cambria Math" w:hAnsi="Cambria Math" w:cs="Cambria Math"/>
          <w:sz w:val="22"/>
          <w:szCs w:val="22"/>
        </w:rPr>
        <w:t>‑</w:t>
      </w:r>
      <w:r w:rsidRPr="00600AC6">
        <w:rPr>
          <w:rFonts w:ascii="Arial" w:hAnsi="Arial" w:cs="Arial"/>
          <w:sz w:val="22"/>
          <w:szCs w:val="22"/>
        </w:rPr>
        <w:t xml:space="preserve">Agency Practice </w:t>
      </w:r>
    </w:p>
    <w:p w14:paraId="00000019" w14:textId="7D610A5D" w:rsidR="00EA41C7" w:rsidRPr="00600AC6" w:rsidRDefault="008B7F13" w:rsidP="00600AC6">
      <w:r w:rsidRPr="25A9023B">
        <w:rPr>
          <w:lang w:val="en-US"/>
        </w:rPr>
        <w:t xml:space="preserve">Collaborative working between healthcare professionals is fundamental in situations where patients require support from multiple services. Interprofessional collaboration allows professionals with different areas of expertise to work together to deliver coordinated and holistic care (Reeves et al., 2017). In </w:t>
      </w:r>
      <w:r w:rsidR="00414DD4" w:rsidRPr="25A9023B">
        <w:rPr>
          <w:lang w:val="en-US"/>
        </w:rPr>
        <w:t>Mr.</w:t>
      </w:r>
      <w:r w:rsidRPr="25A9023B">
        <w:rPr>
          <w:lang w:val="en-US"/>
        </w:rPr>
        <w:t xml:space="preserve"> Ahmed’s case, the multidisciplinary team includes his GP, district nurse, domiciliary care workers and speech and language therapist, each contributing specialist knowledge to support his recovery.</w:t>
      </w:r>
    </w:p>
    <w:p w14:paraId="0000001A" w14:textId="254E156F" w:rsidR="00EA41C7" w:rsidRPr="00600AC6" w:rsidRDefault="008B7F13" w:rsidP="00600AC6">
      <w:r w:rsidRPr="25A9023B">
        <w:rPr>
          <w:lang w:val="en-US"/>
        </w:rPr>
        <w:t xml:space="preserve">The GP plays a central role in overseeing </w:t>
      </w:r>
      <w:r w:rsidR="00414DD4" w:rsidRPr="25A9023B">
        <w:rPr>
          <w:lang w:val="en-US"/>
        </w:rPr>
        <w:t>Mr.</w:t>
      </w:r>
      <w:r w:rsidRPr="25A9023B">
        <w:rPr>
          <w:lang w:val="en-US"/>
        </w:rPr>
        <w:t xml:space="preserve"> Ahmed’s overall medical management and prescribing medication. The district nurse monitors blood pressure and wound care, while domiciliary care workers assist with daily activities such as personal care and medication administration. The speech and language therapist focuses on improving communication and swallowing abilities following the stroke. Effective coordination among these professionals ensures that </w:t>
      </w:r>
      <w:r w:rsidR="00414DD4" w:rsidRPr="25A9023B">
        <w:rPr>
          <w:lang w:val="en-US"/>
        </w:rPr>
        <w:t>Mr.</w:t>
      </w:r>
      <w:r w:rsidRPr="25A9023B">
        <w:rPr>
          <w:lang w:val="en-US"/>
        </w:rPr>
        <w:t xml:space="preserve"> Ahmed’s physical, emotional</w:t>
      </w:r>
      <w:r w:rsidR="6551BB91" w:rsidRPr="25A9023B">
        <w:rPr>
          <w:lang w:val="en-US"/>
        </w:rPr>
        <w:t>,</w:t>
      </w:r>
      <w:r w:rsidRPr="25A9023B">
        <w:rPr>
          <w:lang w:val="en-US"/>
        </w:rPr>
        <w:t xml:space="preserve"> and communication needs are addressed comprehensively.</w:t>
      </w:r>
    </w:p>
    <w:p w14:paraId="0000001B" w14:textId="77777777" w:rsidR="00EA41C7" w:rsidRPr="00600AC6" w:rsidRDefault="008B7F13" w:rsidP="00600AC6">
      <w:r w:rsidRPr="25A9023B">
        <w:rPr>
          <w:lang w:val="en-US"/>
        </w:rPr>
        <w:t>One approach to promoting effective collaboration is regular multidisciplinary team meetings, where professionals share information about patient progress and update care plans. Shared electronic health records and clear communication channels can also enhance coordination (Glasby and Dickinson, 2014). However, challenges in multi</w:t>
      </w:r>
      <w:r w:rsidRPr="25A9023B">
        <w:rPr>
          <w:rFonts w:ascii="Cambria Math" w:hAnsi="Cambria Math" w:cs="Cambria Math"/>
          <w:lang w:val="en-US"/>
        </w:rPr>
        <w:t>‑</w:t>
      </w:r>
      <w:r w:rsidRPr="25A9023B">
        <w:rPr>
          <w:lang w:val="en-US"/>
        </w:rPr>
        <w:t>agency working may include communication breakdowns, differing professional priorities and unclear role responsibilities.</w:t>
      </w:r>
    </w:p>
    <w:p w14:paraId="0000001C" w14:textId="09A90E63" w:rsidR="00EA41C7" w:rsidRPr="00600AC6" w:rsidRDefault="008B7F13" w:rsidP="00600AC6">
      <w:r w:rsidRPr="25A9023B">
        <w:rPr>
          <w:lang w:val="en-US"/>
        </w:rPr>
        <w:t>Strategies for overcoming these challenges include establishing clear professional roles, encouraging mutual respect among team members</w:t>
      </w:r>
      <w:r w:rsidR="22225D69" w:rsidRPr="25A9023B">
        <w:rPr>
          <w:lang w:val="en-US"/>
        </w:rPr>
        <w:t>,</w:t>
      </w:r>
      <w:r w:rsidRPr="25A9023B">
        <w:rPr>
          <w:lang w:val="en-US"/>
        </w:rPr>
        <w:t xml:space="preserve"> and using structured communication tools such as SBAR (Situation, Background, Assessment, Recommendation). Through effective collaboration, the multidisciplinary team can ensure continuity of care and reduce risks associated with fragmented service delivery.</w:t>
      </w:r>
    </w:p>
    <w:p w14:paraId="0000001D" w14:textId="77777777" w:rsidR="00EA41C7" w:rsidRPr="00600AC6" w:rsidRDefault="008B7F13" w:rsidP="00600AC6">
      <w:pPr>
        <w:pStyle w:val="Heading1"/>
        <w:rPr>
          <w:rFonts w:ascii="Arial" w:hAnsi="Arial" w:cs="Arial"/>
          <w:sz w:val="22"/>
          <w:szCs w:val="22"/>
        </w:rPr>
      </w:pPr>
      <w:r w:rsidRPr="00600AC6">
        <w:rPr>
          <w:rFonts w:ascii="Arial" w:hAnsi="Arial" w:cs="Arial"/>
          <w:sz w:val="22"/>
          <w:szCs w:val="22"/>
        </w:rPr>
        <w:t>Conclusion</w:t>
      </w:r>
    </w:p>
    <w:p w14:paraId="0000001E" w14:textId="4702D515" w:rsidR="00EA41C7" w:rsidRPr="00600AC6" w:rsidRDefault="008B7F13" w:rsidP="00600AC6">
      <w:pPr>
        <w:rPr>
          <w:lang w:val="en-US"/>
        </w:rPr>
      </w:pPr>
      <w:r w:rsidRPr="25A9023B">
        <w:rPr>
          <w:lang w:val="en-US"/>
        </w:rPr>
        <w:t xml:space="preserve">The case study of </w:t>
      </w:r>
      <w:r w:rsidR="00414DD4" w:rsidRPr="25A9023B">
        <w:rPr>
          <w:lang w:val="en-US"/>
        </w:rPr>
        <w:t>Mr.</w:t>
      </w:r>
      <w:r w:rsidRPr="25A9023B">
        <w:rPr>
          <w:lang w:val="en-US"/>
        </w:rPr>
        <w:t xml:space="preserve"> Ahmed demonstrates the critical importance of communication, administrative competence</w:t>
      </w:r>
      <w:r w:rsidR="20918FBB" w:rsidRPr="25A9023B">
        <w:rPr>
          <w:lang w:val="en-US"/>
        </w:rPr>
        <w:t>,</w:t>
      </w:r>
      <w:r w:rsidRPr="25A9023B">
        <w:rPr>
          <w:lang w:val="en-US"/>
        </w:rPr>
        <w:t xml:space="preserve"> and collaborative practice within health and social care. Effective communication ensures that patients understand their care plans and are actively involved in decision</w:t>
      </w:r>
      <w:r w:rsidRPr="25A9023B">
        <w:rPr>
          <w:rFonts w:ascii="Cambria Math" w:hAnsi="Cambria Math" w:cs="Cambria Math"/>
          <w:lang w:val="en-US"/>
        </w:rPr>
        <w:t>‑</w:t>
      </w:r>
      <w:r w:rsidRPr="25A9023B">
        <w:rPr>
          <w:lang w:val="en-US"/>
        </w:rPr>
        <w:t xml:space="preserve">making, particularly when language barriers or health conditions such as stroke affect communication abilities. Legislative frameworks such as the Equality Act 2010 </w:t>
      </w:r>
      <w:r w:rsidR="00414DD4" w:rsidRPr="25A9023B">
        <w:rPr>
          <w:lang w:val="en-US"/>
        </w:rPr>
        <w:t>emphasize</w:t>
      </w:r>
      <w:r w:rsidRPr="25A9023B">
        <w:rPr>
          <w:lang w:val="en-US"/>
        </w:rPr>
        <w:t xml:space="preserve"> the need for inclusive and accessible communication, while the Data Protection Act 2018 ensures that personal information is handled responsibly. Strong administrative skills, including accurate record keeping, support patient safety and professional accountability. Additionally, collaboration between healthcare professionals enables coordinated care that addresses complex health needs. The incident involving the missed domiciliary care visit highlights how failures in communication or administration can impact patient wellbeing. Therefore, healthcare professionals must continually strengthen these skills to deliver safe, effective</w:t>
      </w:r>
      <w:r w:rsidR="0EF33120" w:rsidRPr="25A9023B">
        <w:rPr>
          <w:lang w:val="en-US"/>
        </w:rPr>
        <w:t>,</w:t>
      </w:r>
      <w:r w:rsidRPr="25A9023B">
        <w:rPr>
          <w:lang w:val="en-US"/>
        </w:rPr>
        <w:t xml:space="preserve"> and person</w:t>
      </w:r>
      <w:r w:rsidRPr="25A9023B">
        <w:rPr>
          <w:rFonts w:ascii="Cambria Math" w:hAnsi="Cambria Math" w:cs="Cambria Math"/>
          <w:lang w:val="en-US"/>
        </w:rPr>
        <w:t>‑</w:t>
      </w:r>
      <w:proofErr w:type="spellStart"/>
      <w:r w:rsidR="00750F43" w:rsidRPr="25A9023B">
        <w:rPr>
          <w:lang w:val="en-US"/>
        </w:rPr>
        <w:t>centred</w:t>
      </w:r>
      <w:proofErr w:type="spellEnd"/>
      <w:r w:rsidR="00750F43" w:rsidRPr="25A9023B">
        <w:rPr>
          <w:lang w:val="en-US"/>
        </w:rPr>
        <w:t xml:space="preserve"> </w:t>
      </w:r>
      <w:r w:rsidRPr="25A9023B">
        <w:rPr>
          <w:lang w:val="en-US"/>
        </w:rPr>
        <w:t>care.</w:t>
      </w:r>
      <w:r w:rsidRPr="25A9023B">
        <w:rPr>
          <w:lang w:val="en-US"/>
        </w:rPr>
        <w:br w:type="page"/>
      </w:r>
    </w:p>
    <w:p w14:paraId="0000001F" w14:textId="77777777" w:rsidR="00EA41C7" w:rsidRPr="00600AC6" w:rsidRDefault="00EA41C7" w:rsidP="00600AC6"/>
    <w:p w14:paraId="00000020" w14:textId="77777777" w:rsidR="00EA41C7" w:rsidRPr="00600AC6" w:rsidRDefault="008B7F13" w:rsidP="00600AC6">
      <w:pPr>
        <w:pStyle w:val="Heading1"/>
        <w:rPr>
          <w:rFonts w:ascii="Arial" w:hAnsi="Arial" w:cs="Arial"/>
          <w:sz w:val="22"/>
          <w:szCs w:val="22"/>
        </w:rPr>
      </w:pPr>
      <w:r w:rsidRPr="00600AC6">
        <w:rPr>
          <w:rFonts w:ascii="Arial" w:hAnsi="Arial" w:cs="Arial"/>
          <w:sz w:val="22"/>
          <w:szCs w:val="22"/>
        </w:rPr>
        <w:t xml:space="preserve">Reference </w:t>
      </w:r>
    </w:p>
    <w:p w14:paraId="00000021" w14:textId="102851BE" w:rsidR="00EA41C7" w:rsidRPr="00600AC6" w:rsidRDefault="008B7F13" w:rsidP="00600AC6">
      <w:r w:rsidRPr="25A9023B">
        <w:rPr>
          <w:lang w:val="en-US"/>
        </w:rPr>
        <w:t>Arnold, E. and Boggs, K. (2019)</w:t>
      </w:r>
      <w:r w:rsidR="7F343EDE" w:rsidRPr="25A9023B">
        <w:rPr>
          <w:lang w:val="en-US"/>
        </w:rPr>
        <w:t>.</w:t>
      </w:r>
      <w:r w:rsidRPr="25A9023B">
        <w:rPr>
          <w:lang w:val="en-US"/>
        </w:rPr>
        <w:t xml:space="preserve"> Interpersonal Relationships: Professional Communication Skills for Nurses. 8th ed. St Louis: Elsevier.</w:t>
      </w:r>
    </w:p>
    <w:p w14:paraId="00000022" w14:textId="77777777" w:rsidR="00EA41C7" w:rsidRPr="00600AC6" w:rsidRDefault="008B7F13" w:rsidP="00600AC6">
      <w:r w:rsidRPr="00600AC6">
        <w:t>Care Quality Commission (CQC) (2023) Fundamental Standards. London: CQC.</w:t>
      </w:r>
    </w:p>
    <w:p w14:paraId="00000023" w14:textId="77777777" w:rsidR="00EA41C7" w:rsidRPr="00600AC6" w:rsidRDefault="008B7F13" w:rsidP="00600AC6">
      <w:r w:rsidRPr="00600AC6">
        <w:t>Data Protection Act (2018) Data Protection Act 2018. London: HMSO.</w:t>
      </w:r>
    </w:p>
    <w:p w14:paraId="00000024" w14:textId="6A25A290" w:rsidR="00EA41C7" w:rsidRPr="00600AC6" w:rsidRDefault="008B7F13" w:rsidP="00600AC6">
      <w:r w:rsidRPr="25A9023B">
        <w:rPr>
          <w:lang w:val="en-US"/>
        </w:rPr>
        <w:t>Dimond, B. (2020)</w:t>
      </w:r>
      <w:r w:rsidR="3A645CF1" w:rsidRPr="25A9023B">
        <w:rPr>
          <w:lang w:val="en-US"/>
        </w:rPr>
        <w:t>.</w:t>
      </w:r>
      <w:r w:rsidRPr="25A9023B">
        <w:rPr>
          <w:lang w:val="en-US"/>
        </w:rPr>
        <w:t xml:space="preserve"> Legal Aspects of Nursing. 8th ed. Harlow: Pearson.</w:t>
      </w:r>
    </w:p>
    <w:p w14:paraId="00000025" w14:textId="77777777" w:rsidR="00EA41C7" w:rsidRPr="00600AC6" w:rsidRDefault="008B7F13" w:rsidP="00600AC6">
      <w:r w:rsidRPr="00600AC6">
        <w:t>Equality Act (2010) Equality Act 2010. London: HMSO.</w:t>
      </w:r>
    </w:p>
    <w:p w14:paraId="00000026" w14:textId="30B94BA2" w:rsidR="00EA41C7" w:rsidRPr="00600AC6" w:rsidRDefault="008B7F13" w:rsidP="00600AC6">
      <w:r w:rsidRPr="25A9023B">
        <w:rPr>
          <w:lang w:val="en-US"/>
        </w:rPr>
        <w:t>Glasby, J. and Dickinson, H. (2014)</w:t>
      </w:r>
      <w:r w:rsidR="0F7139B5" w:rsidRPr="25A9023B">
        <w:rPr>
          <w:lang w:val="en-US"/>
        </w:rPr>
        <w:t>.</w:t>
      </w:r>
      <w:r w:rsidRPr="25A9023B">
        <w:rPr>
          <w:lang w:val="en-US"/>
        </w:rPr>
        <w:t xml:space="preserve"> Partnership Working in Health and Social Care. Bristol: Policy Press.</w:t>
      </w:r>
    </w:p>
    <w:p w14:paraId="00000027" w14:textId="77777777" w:rsidR="00EA41C7" w:rsidRPr="00600AC6" w:rsidRDefault="008B7F13" w:rsidP="00600AC6">
      <w:r w:rsidRPr="00600AC6">
        <w:t>Information Commissioner’s Office (ICO) (2023) Guide to Data Protection. Wilmslow: ICO.</w:t>
      </w:r>
    </w:p>
    <w:p w14:paraId="00000028" w14:textId="77777777" w:rsidR="00EA41C7" w:rsidRPr="00600AC6" w:rsidRDefault="008B7F13" w:rsidP="00600AC6">
      <w:r w:rsidRPr="25A9023B">
        <w:rPr>
          <w:lang w:val="en-US"/>
        </w:rPr>
        <w:t>Nursing and Midwifery Council (NMC) (2018) The Code: Professional Standards of Practice and Behaviour for Nurses, Midwives and Nursing Associates. London: NMC.</w:t>
      </w:r>
    </w:p>
    <w:p w14:paraId="00000029" w14:textId="653A2DF4" w:rsidR="00EA41C7" w:rsidRPr="00600AC6" w:rsidRDefault="008B7F13" w:rsidP="00600AC6">
      <w:r w:rsidRPr="25A9023B">
        <w:rPr>
          <w:lang w:val="en-US"/>
        </w:rPr>
        <w:t>Reeves, S., Pelone, F., Harrison, R., Goldman, J. and Zwarenstein, M. (2017)</w:t>
      </w:r>
      <w:r w:rsidR="53CB39B8" w:rsidRPr="25A9023B">
        <w:rPr>
          <w:lang w:val="en-US"/>
        </w:rPr>
        <w:t>.</w:t>
      </w:r>
      <w:r w:rsidRPr="25A9023B">
        <w:rPr>
          <w:lang w:val="en-US"/>
        </w:rPr>
        <w:t xml:space="preserve"> Interprofessional Collaboration to Improve Professional Practice and Healthcare Outcomes. Cochrane Database Systematic Reviews.</w:t>
      </w:r>
    </w:p>
    <w:p w14:paraId="0000002A" w14:textId="4BF5B2FC" w:rsidR="00EA41C7" w:rsidRPr="00600AC6" w:rsidRDefault="008B7F13" w:rsidP="00600AC6">
      <w:r w:rsidRPr="25A9023B">
        <w:rPr>
          <w:lang w:val="en-US"/>
        </w:rPr>
        <w:t>Shannon, C. and Weaver, W. (1949)</w:t>
      </w:r>
      <w:r w:rsidR="0864AA0E" w:rsidRPr="25A9023B">
        <w:rPr>
          <w:lang w:val="en-US"/>
        </w:rPr>
        <w:t>.</w:t>
      </w:r>
      <w:r w:rsidRPr="25A9023B">
        <w:rPr>
          <w:lang w:val="en-US"/>
        </w:rPr>
        <w:t xml:space="preserve"> The Mathematical Theory of Communication. Urbana: University of Illinois Press.</w:t>
      </w:r>
    </w:p>
    <w:p w14:paraId="0000002B" w14:textId="77777777" w:rsidR="00EA41C7" w:rsidRPr="00600AC6" w:rsidRDefault="008B7F13" w:rsidP="00600AC6">
      <w:r w:rsidRPr="00600AC6">
        <w:t>Stroke Association (2022) Communication Problems After Stroke. London: Stroke Association.</w:t>
      </w:r>
    </w:p>
    <w:p w14:paraId="0000002C" w14:textId="280951E3" w:rsidR="00EA41C7" w:rsidRPr="00600AC6" w:rsidRDefault="008B7F13" w:rsidP="00600AC6">
      <w:r w:rsidRPr="25A9023B">
        <w:rPr>
          <w:lang w:val="en-US"/>
        </w:rPr>
        <w:t>Thompson, N. (2018)</w:t>
      </w:r>
      <w:r w:rsidR="60CB4C31" w:rsidRPr="25A9023B">
        <w:rPr>
          <w:lang w:val="en-US"/>
        </w:rPr>
        <w:t>.</w:t>
      </w:r>
      <w:r w:rsidRPr="25A9023B">
        <w:rPr>
          <w:lang w:val="en-US"/>
        </w:rPr>
        <w:t xml:space="preserve"> Effective Communication in Health and Social Care. London: Sage.</w:t>
      </w:r>
    </w:p>
    <w:sectPr w:rsidR="00EA41C7" w:rsidRPr="00600AC6">
      <w:footerReference w:type="default" r:id="rId10"/>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C162" w14:textId="77777777" w:rsidR="009168E5" w:rsidRDefault="009168E5">
      <w:pPr>
        <w:spacing w:after="0" w:line="240" w:lineRule="auto"/>
      </w:pPr>
      <w:r>
        <w:separator/>
      </w:r>
    </w:p>
  </w:endnote>
  <w:endnote w:type="continuationSeparator" w:id="0">
    <w:p w14:paraId="28B3D29B" w14:textId="77777777" w:rsidR="009168E5" w:rsidRDefault="00916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75BE90-DE38-46D4-8CA5-981850655ECB}"/>
    <w:embedBold r:id="rId2" w:fontKey="{FB5B1E78-99F0-4D15-9D69-67CD3D679482}"/>
    <w:embedItalic r:id="rId3" w:fontKey="{E9FBEF78-94DB-4B46-B790-EAD8B5E6C58F}"/>
    <w:embedBoldItalic r:id="rId4" w:fontKey="{61B49637-7FEE-4C7B-8E18-AF02A3465714}"/>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7BF0E894-49F9-44AB-9B45-1C210D0C8501}"/>
    <w:embedBold r:id="rId6" w:fontKey="{72467537-FBBB-49B5-9782-3E8E8334F291}"/>
  </w:font>
  <w:font w:name="Cambria">
    <w:panose1 w:val="02040503050406030204"/>
    <w:charset w:val="00"/>
    <w:family w:val="roman"/>
    <w:pitch w:val="variable"/>
    <w:sig w:usb0="E00006FF" w:usb1="420024FF" w:usb2="02000000" w:usb3="00000000" w:csb0="0000019F" w:csb1="00000000"/>
    <w:embedRegular r:id="rId7" w:fontKey="{6B05712D-5B70-46DD-A710-03EE6E028D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CC4F451" w:rsidR="00EA41C7" w:rsidRDefault="008B7F13">
    <w:pPr>
      <w:jc w:val="right"/>
    </w:pPr>
    <w:r>
      <w:fldChar w:fldCharType="begin"/>
    </w:r>
    <w:r>
      <w:instrText>PAGE</w:instrText>
    </w:r>
    <w:r>
      <w:fldChar w:fldCharType="separate"/>
    </w:r>
    <w:r w:rsidR="001F411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F51EA" w14:textId="77777777" w:rsidR="009168E5" w:rsidRDefault="009168E5">
      <w:pPr>
        <w:spacing w:after="0" w:line="240" w:lineRule="auto"/>
      </w:pPr>
      <w:r>
        <w:separator/>
      </w:r>
    </w:p>
  </w:footnote>
  <w:footnote w:type="continuationSeparator" w:id="0">
    <w:p w14:paraId="5C6A2EB7" w14:textId="77777777" w:rsidR="009168E5" w:rsidRDefault="009168E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Dji+abMBs/wxDx" int2:id="PkOzVR5z">
      <int2:state int2:value="Rejected" int2:type="spell"/>
    </int2:textHash>
    <int2:textHash int2:hashCode="v3jXqOAVqWKVSe" int2:id="QEdcjSNZ">
      <int2:state int2:value="Rejected" int2:type="spell"/>
    </int2:textHash>
    <int2:textHash int2:hashCode="fyJv6fahOQuWDM" int2:id="QYZKsnOW">
      <int2:state int2:value="Rejected" int2:type="spell"/>
    </int2:textHash>
    <int2:textHash int2:hashCode="OKfkChrO1Ot+sg" int2:id="ggDg1pCE">
      <int2:state int2:value="Rejected" int2:type="spell"/>
    </int2:textHash>
    <int2:bookmark int2:bookmarkName="_Int_Bjf2A0iu" int2:invalidationBookmarkName="" int2:hashCode="t8j/uPvGfBcTKO" int2:id="ApZMoqZ8">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1C7"/>
    <w:rsid w:val="001F411F"/>
    <w:rsid w:val="001F6420"/>
    <w:rsid w:val="00414DD4"/>
    <w:rsid w:val="00556C2A"/>
    <w:rsid w:val="005632DE"/>
    <w:rsid w:val="00600AC6"/>
    <w:rsid w:val="00750F43"/>
    <w:rsid w:val="008B7F13"/>
    <w:rsid w:val="009168E5"/>
    <w:rsid w:val="00C61A51"/>
    <w:rsid w:val="00DB35A8"/>
    <w:rsid w:val="00EA41C7"/>
    <w:rsid w:val="059024FE"/>
    <w:rsid w:val="0864AA0E"/>
    <w:rsid w:val="0975AC15"/>
    <w:rsid w:val="0D83BB16"/>
    <w:rsid w:val="0EF33120"/>
    <w:rsid w:val="0F7139B5"/>
    <w:rsid w:val="1025DAE6"/>
    <w:rsid w:val="17CC5277"/>
    <w:rsid w:val="189DBBA9"/>
    <w:rsid w:val="1B82AC34"/>
    <w:rsid w:val="1D4D9BF5"/>
    <w:rsid w:val="20918FBB"/>
    <w:rsid w:val="22225D69"/>
    <w:rsid w:val="22EFE294"/>
    <w:rsid w:val="25A9023B"/>
    <w:rsid w:val="2FA0970D"/>
    <w:rsid w:val="2FA50317"/>
    <w:rsid w:val="394E1B99"/>
    <w:rsid w:val="3A645CF1"/>
    <w:rsid w:val="406DF440"/>
    <w:rsid w:val="40EB9551"/>
    <w:rsid w:val="410D15AE"/>
    <w:rsid w:val="4265E93B"/>
    <w:rsid w:val="477CDB90"/>
    <w:rsid w:val="48AC3E28"/>
    <w:rsid w:val="4E2701CB"/>
    <w:rsid w:val="538A469B"/>
    <w:rsid w:val="53CB39B8"/>
    <w:rsid w:val="540B3F7C"/>
    <w:rsid w:val="586558C4"/>
    <w:rsid w:val="5A3967AA"/>
    <w:rsid w:val="60CB4C31"/>
    <w:rsid w:val="6551BB91"/>
    <w:rsid w:val="68047AD1"/>
    <w:rsid w:val="78F5D8ED"/>
    <w:rsid w:val="79E072A9"/>
    <w:rsid w:val="7A37BD0D"/>
    <w:rsid w:val="7F343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D109A"/>
  <w15:docId w15:val="{4473FEA7-19F8-460F-B621-6B5D1A695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paragraph" w:styleId="Header">
    <w:name w:val="header"/>
    <w:basedOn w:val="Normal"/>
    <w:link w:val="HeaderChar"/>
    <w:uiPriority w:val="99"/>
    <w:semiHidden/>
    <w:unhideWhenUsed/>
    <w:rsid w:val="005632D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32DE"/>
  </w:style>
  <w:style w:type="paragraph" w:styleId="Footer">
    <w:name w:val="footer"/>
    <w:basedOn w:val="Normal"/>
    <w:link w:val="FooterChar"/>
    <w:uiPriority w:val="99"/>
    <w:semiHidden/>
    <w:unhideWhenUsed/>
    <w:rsid w:val="005632D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63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81d3e74939cb4f849e2e02278e2a488">
  <xsd:schema xmlns:xsd="http://www.w3.org/2001/XMLSchema" xmlns:xs="http://www.w3.org/2001/XMLSchema" xmlns:p="http://schemas.microsoft.com/office/2006/metadata/properties" xmlns:ns3="b4f9f7ee-5770-4a14-8925-17f3d16e50b7" targetNamespace="http://schemas.microsoft.com/office/2006/metadata/properties" ma:root="true" ma:fieldsID="bf91106d9dd8e9a69208a2650ef2d53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C45DC-961E-497E-945E-74D8DB3356C6}">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B747F95A-3465-4C11-BF46-745FFBF0BE15}">
  <ds:schemaRefs>
    <ds:schemaRef ds:uri="http://schemas.microsoft.com/sharepoint/v3/contenttype/forms"/>
  </ds:schemaRefs>
</ds:datastoreItem>
</file>

<file path=customXml/itemProps3.xml><?xml version="1.0" encoding="utf-8"?>
<ds:datastoreItem xmlns:ds="http://schemas.openxmlformats.org/officeDocument/2006/customXml" ds:itemID="{94FC09C3-9C90-4FF8-BBA2-2216D628A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Efosa Omoruyi (2515238)</cp:lastModifiedBy>
  <cp:revision>4</cp:revision>
  <dcterms:created xsi:type="dcterms:W3CDTF">2026-03-23T16:02:00Z</dcterms:created>
  <dcterms:modified xsi:type="dcterms:W3CDTF">2026-03-23T16:15:00Z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