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4472C4" w:themeColor="accent1"/>
        </w:rPr>
        <w:id w:val="-1155981319"/>
        <w:docPartObj>
          <w:docPartGallery w:val="Cover Pages"/>
          <w:docPartUnique/>
        </w:docPartObj>
      </w:sdtPr>
      <w:sdtEndPr>
        <w:rPr>
          <w:rFonts w:ascii="Arial" w:eastAsiaTheme="minorHAnsi" w:hAnsi="Arial" w:cs="Arial"/>
          <w:color w:val="auto"/>
          <w:kern w:val="2"/>
          <w:sz w:val="24"/>
          <w:szCs w:val="24"/>
          <w:lang w:eastAsia="en-US"/>
          <w14:ligatures w14:val="standardContextual"/>
        </w:rPr>
      </w:sdtEndPr>
      <w:sdtContent>
        <w:p w14:paraId="00CF48C0" w14:textId="0C52BF9B" w:rsidR="00687924" w:rsidRDefault="00687924">
          <w:pPr>
            <w:pStyle w:val="NoSpacing"/>
            <w:spacing w:before="1540" w:after="240"/>
            <w:jc w:val="center"/>
            <w:rPr>
              <w:color w:val="4472C4" w:themeColor="accent1"/>
            </w:rPr>
          </w:pPr>
          <w:r>
            <w:rPr>
              <w:noProof/>
              <w:color w:val="4472C4" w:themeColor="accent1"/>
            </w:rPr>
            <w:drawing>
              <wp:inline distT="0" distB="0" distL="0" distR="0" wp14:anchorId="2B2410BE" wp14:editId="21A3009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6AD32D071394441EA5440FF4B2070D5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26A832" w14:textId="2B73E27A" w:rsidR="00687924" w:rsidRDefault="0068792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Supporting </w:t>
              </w:r>
              <w:r w:rsidR="00927DFA">
                <w:rPr>
                  <w:rFonts w:asciiTheme="majorHAnsi" w:eastAsiaTheme="majorEastAsia" w:hAnsiTheme="majorHAnsi" w:cstheme="majorBidi"/>
                  <w:caps/>
                  <w:color w:val="4472C4" w:themeColor="accent1"/>
                  <w:sz w:val="72"/>
                  <w:szCs w:val="72"/>
                </w:rPr>
                <w:t>paper</w:t>
              </w:r>
            </w:p>
          </w:sdtContent>
        </w:sdt>
        <w:sdt>
          <w:sdtPr>
            <w:rPr>
              <w:color w:val="4472C4" w:themeColor="accent1"/>
              <w:sz w:val="28"/>
              <w:szCs w:val="28"/>
            </w:rPr>
            <w:alias w:val="Subtitle"/>
            <w:tag w:val=""/>
            <w:id w:val="328029620"/>
            <w:placeholder>
              <w:docPart w:val="3D49E114E84C4889B3A105E4B09B09B4"/>
            </w:placeholder>
            <w:dataBinding w:prefixMappings="xmlns:ns0='http://purl.org/dc/elements/1.1/' xmlns:ns1='http://schemas.openxmlformats.org/package/2006/metadata/core-properties' " w:xpath="/ns1:coreProperties[1]/ns0:subject[1]" w:storeItemID="{6C3C8BC8-F283-45AE-878A-BAB7291924A1}"/>
            <w:text/>
          </w:sdtPr>
          <w:sdtContent>
            <w:p w14:paraId="050F53B8" w14:textId="1C882CB5" w:rsidR="00687924" w:rsidRDefault="00927DFA">
              <w:pPr>
                <w:pStyle w:val="NoSpacing"/>
                <w:jc w:val="center"/>
                <w:rPr>
                  <w:color w:val="4472C4" w:themeColor="accent1"/>
                  <w:sz w:val="28"/>
                  <w:szCs w:val="28"/>
                </w:rPr>
              </w:pPr>
              <w:r>
                <w:rPr>
                  <w:color w:val="4472C4" w:themeColor="accent1"/>
                  <w:sz w:val="28"/>
                  <w:szCs w:val="28"/>
                </w:rPr>
                <w:t>BMCP6004</w:t>
              </w:r>
            </w:p>
          </w:sdtContent>
        </w:sdt>
        <w:p w14:paraId="380B78BF" w14:textId="77777777" w:rsidR="00687924" w:rsidRDefault="0068792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55BA510" wp14:editId="27D80D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13T00:00:00Z">
                                    <w:dateFormat w:val="dd MMMM yyyy"/>
                                    <w:lid w:val="en-GB"/>
                                    <w:storeMappedDataAs w:val="dateTime"/>
                                    <w:calendar w:val="gregorian"/>
                                  </w:date>
                                </w:sdtPr>
                                <w:sdtContent>
                                  <w:p w14:paraId="2E587562" w14:textId="7DA27F70" w:rsidR="00687924" w:rsidRDefault="00927DFA">
                                    <w:pPr>
                                      <w:pStyle w:val="NoSpacing"/>
                                      <w:spacing w:after="40"/>
                                      <w:jc w:val="center"/>
                                      <w:rPr>
                                        <w:caps/>
                                        <w:color w:val="4472C4" w:themeColor="accent1"/>
                                        <w:sz w:val="28"/>
                                        <w:szCs w:val="28"/>
                                      </w:rPr>
                                    </w:pPr>
                                    <w:r>
                                      <w:rPr>
                                        <w:caps/>
                                        <w:color w:val="4472C4" w:themeColor="accent1"/>
                                        <w:sz w:val="28"/>
                                        <w:szCs w:val="28"/>
                                      </w:rPr>
                                      <w:t>13 December 2024</w:t>
                                    </w:r>
                                  </w:p>
                                </w:sdtContent>
                              </w:sdt>
                              <w:p w14:paraId="129BF324" w14:textId="01D1AC49" w:rsidR="00687924" w:rsidRDefault="0068792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27DFA">
                                      <w:rPr>
                                        <w:caps/>
                                        <w:color w:val="4472C4" w:themeColor="accent1"/>
                                      </w:rPr>
                                      <w:t>Hannah willett</w:t>
                                    </w:r>
                                  </w:sdtContent>
                                </w:sdt>
                              </w:p>
                              <w:p w14:paraId="03CB6AF2" w14:textId="53F00733" w:rsidR="00687924" w:rsidRDefault="0068792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27DFA">
                                      <w:rPr>
                                        <w:color w:val="4472C4" w:themeColor="accent1"/>
                                      </w:rPr>
                                      <w:t>2204812</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55BA51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13T00:00:00Z">
                              <w:dateFormat w:val="dd MMMM yyyy"/>
                              <w:lid w:val="en-GB"/>
                              <w:storeMappedDataAs w:val="dateTime"/>
                              <w:calendar w:val="gregorian"/>
                            </w:date>
                          </w:sdtPr>
                          <w:sdtContent>
                            <w:p w14:paraId="2E587562" w14:textId="7DA27F70" w:rsidR="00687924" w:rsidRDefault="00927DFA">
                              <w:pPr>
                                <w:pStyle w:val="NoSpacing"/>
                                <w:spacing w:after="40"/>
                                <w:jc w:val="center"/>
                                <w:rPr>
                                  <w:caps/>
                                  <w:color w:val="4472C4" w:themeColor="accent1"/>
                                  <w:sz w:val="28"/>
                                  <w:szCs w:val="28"/>
                                </w:rPr>
                              </w:pPr>
                              <w:r>
                                <w:rPr>
                                  <w:caps/>
                                  <w:color w:val="4472C4" w:themeColor="accent1"/>
                                  <w:sz w:val="28"/>
                                  <w:szCs w:val="28"/>
                                </w:rPr>
                                <w:t>13 December 2024</w:t>
                              </w:r>
                            </w:p>
                          </w:sdtContent>
                        </w:sdt>
                        <w:p w14:paraId="129BF324" w14:textId="01D1AC49" w:rsidR="00687924" w:rsidRDefault="00687924">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27DFA">
                                <w:rPr>
                                  <w:caps/>
                                  <w:color w:val="4472C4" w:themeColor="accent1"/>
                                </w:rPr>
                                <w:t>Hannah willett</w:t>
                              </w:r>
                            </w:sdtContent>
                          </w:sdt>
                        </w:p>
                        <w:p w14:paraId="03CB6AF2" w14:textId="53F00733" w:rsidR="00687924" w:rsidRDefault="00687924">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927DFA">
                                <w:rPr>
                                  <w:color w:val="4472C4" w:themeColor="accent1"/>
                                </w:rPr>
                                <w:t>2204812</w:t>
                              </w:r>
                            </w:sdtContent>
                          </w:sdt>
                        </w:p>
                      </w:txbxContent>
                    </v:textbox>
                    <w10:wrap anchorx="margin" anchory="page"/>
                  </v:shape>
                </w:pict>
              </mc:Fallback>
            </mc:AlternateContent>
          </w:r>
          <w:r>
            <w:rPr>
              <w:noProof/>
              <w:color w:val="4472C4" w:themeColor="accent1"/>
            </w:rPr>
            <w:drawing>
              <wp:inline distT="0" distB="0" distL="0" distR="0" wp14:anchorId="26856541" wp14:editId="668A387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F2A579D" w14:textId="2D293566" w:rsidR="00687924" w:rsidRDefault="00687924">
          <w:pPr>
            <w:rPr>
              <w:rFonts w:ascii="Arial" w:hAnsi="Arial" w:cs="Arial"/>
              <w:sz w:val="24"/>
              <w:szCs w:val="24"/>
            </w:rPr>
          </w:pPr>
          <w:r>
            <w:rPr>
              <w:rFonts w:ascii="Arial" w:hAnsi="Arial" w:cs="Arial"/>
              <w:sz w:val="24"/>
              <w:szCs w:val="24"/>
            </w:rPr>
            <w:br w:type="page"/>
          </w:r>
        </w:p>
      </w:sdtContent>
    </w:sdt>
    <w:p w14:paraId="3F3A8965" w14:textId="77777777" w:rsidR="001C2D7E" w:rsidRDefault="001C2D7E" w:rsidP="00B66473">
      <w:pPr>
        <w:spacing w:after="0" w:line="480" w:lineRule="auto"/>
        <w:rPr>
          <w:rFonts w:ascii="Arial" w:hAnsi="Arial" w:cs="Arial"/>
          <w:sz w:val="24"/>
          <w:szCs w:val="24"/>
        </w:rPr>
      </w:pPr>
    </w:p>
    <w:p w14:paraId="3B7D3410" w14:textId="5959A1B7" w:rsidR="006F48B1" w:rsidRDefault="001C2D7E" w:rsidP="00B66473">
      <w:pPr>
        <w:spacing w:line="480" w:lineRule="auto"/>
        <w:rPr>
          <w:rFonts w:asciiTheme="minorBidi" w:hAnsiTheme="minorBidi"/>
          <w:sz w:val="24"/>
          <w:szCs w:val="24"/>
        </w:rPr>
      </w:pPr>
      <w:r w:rsidRPr="001C2D7E">
        <w:rPr>
          <w:rFonts w:asciiTheme="minorBidi" w:hAnsiTheme="minorBidi"/>
          <w:sz w:val="24"/>
          <w:szCs w:val="24"/>
        </w:rPr>
        <w:t xml:space="preserve">Female Genital Mutilation (FGM) and Honor-Based Abuse (HBA) are deeply rooted social practices that continue to affect millions of women and girls worldwide. FGM, which involves the partial or total removal of the external female genitalia for non-medical reasons, is often justified through cultural, religious, and social beliefs. Similarly, HBA refers to violence or abuse committed to protect the perceived </w:t>
      </w:r>
      <w:r w:rsidRPr="00B66473">
        <w:rPr>
          <w:rFonts w:asciiTheme="minorBidi" w:hAnsiTheme="minorBidi"/>
          <w:sz w:val="24"/>
          <w:szCs w:val="24"/>
        </w:rPr>
        <w:t>honour</w:t>
      </w:r>
      <w:r w:rsidRPr="001C2D7E">
        <w:rPr>
          <w:rFonts w:asciiTheme="minorBidi" w:hAnsiTheme="minorBidi"/>
          <w:sz w:val="24"/>
          <w:szCs w:val="24"/>
        </w:rPr>
        <w:t xml:space="preserve"> of a family or community, often targeting women and girls for </w:t>
      </w:r>
      <w:r w:rsidRPr="00B66473">
        <w:rPr>
          <w:rFonts w:asciiTheme="minorBidi" w:hAnsiTheme="minorBidi"/>
          <w:sz w:val="24"/>
          <w:szCs w:val="24"/>
        </w:rPr>
        <w:t>behaviour</w:t>
      </w:r>
      <w:r w:rsidRPr="001C2D7E">
        <w:rPr>
          <w:rFonts w:asciiTheme="minorBidi" w:hAnsiTheme="minorBidi"/>
          <w:sz w:val="24"/>
          <w:szCs w:val="24"/>
        </w:rPr>
        <w:t xml:space="preserve"> deemed inappropriate or shameful. Both practices violate fundamental human rights and have long-lasting physical, emotional, and psychological consequences</w:t>
      </w:r>
      <w:r w:rsidRPr="00B66473">
        <w:rPr>
          <w:rFonts w:asciiTheme="minorBidi" w:hAnsiTheme="minorBidi"/>
          <w:sz w:val="24"/>
          <w:szCs w:val="24"/>
        </w:rPr>
        <w:t xml:space="preserve">. Both practices exploit vulnerable individuals, robbing them of their rights and safety. </w:t>
      </w:r>
    </w:p>
    <w:p w14:paraId="2DA2AAE6" w14:textId="77777777" w:rsidR="00B66473" w:rsidRPr="00B66473" w:rsidRDefault="00B66473" w:rsidP="00B66473">
      <w:pPr>
        <w:spacing w:line="480" w:lineRule="auto"/>
        <w:rPr>
          <w:rFonts w:asciiTheme="minorBidi" w:hAnsiTheme="minorBidi"/>
          <w:sz w:val="24"/>
          <w:szCs w:val="24"/>
        </w:rPr>
      </w:pPr>
    </w:p>
    <w:p w14:paraId="205C059D" w14:textId="14BA66B2" w:rsidR="006F48B1" w:rsidRPr="00B66473" w:rsidRDefault="006F48B1"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Definitions of FGM and HBA</w:t>
      </w:r>
    </w:p>
    <w:p w14:paraId="3CF85941" w14:textId="0EFE2262" w:rsidR="00682569" w:rsidRPr="00B66473" w:rsidRDefault="00FA008F" w:rsidP="00B66473">
      <w:pPr>
        <w:tabs>
          <w:tab w:val="num" w:pos="720"/>
        </w:tabs>
        <w:spacing w:after="0" w:line="480" w:lineRule="auto"/>
        <w:rPr>
          <w:rFonts w:asciiTheme="minorBidi" w:hAnsiTheme="minorBidi"/>
          <w:sz w:val="24"/>
          <w:szCs w:val="24"/>
        </w:rPr>
      </w:pPr>
      <w:r w:rsidRPr="00B66473">
        <w:rPr>
          <w:rFonts w:asciiTheme="minorBidi" w:hAnsiTheme="minorBidi"/>
          <w:sz w:val="24"/>
          <w:szCs w:val="24"/>
        </w:rPr>
        <w:t>A</w:t>
      </w:r>
      <w:r w:rsidR="00E13F49" w:rsidRPr="00B66473">
        <w:rPr>
          <w:rFonts w:asciiTheme="minorBidi" w:hAnsiTheme="minorBidi"/>
          <w:sz w:val="24"/>
          <w:szCs w:val="24"/>
        </w:rPr>
        <w:t xml:space="preserve">ccording to </w:t>
      </w:r>
      <w:r w:rsidRPr="00B66473">
        <w:rPr>
          <w:rFonts w:asciiTheme="minorBidi" w:hAnsiTheme="minorBidi"/>
          <w:sz w:val="24"/>
          <w:szCs w:val="24"/>
        </w:rPr>
        <w:t xml:space="preserve"> World Health Organization (WHO) (2024) female genital mutilation or FGM involves the removal of the external genitalia on a female or causing injury to the female genital organs for no</w:t>
      </w:r>
      <w:r w:rsidR="00B66473">
        <w:rPr>
          <w:rFonts w:asciiTheme="minorBidi" w:hAnsiTheme="minorBidi"/>
          <w:sz w:val="24"/>
          <w:szCs w:val="24"/>
        </w:rPr>
        <w:t>n-</w:t>
      </w:r>
      <w:r w:rsidRPr="00B66473">
        <w:rPr>
          <w:rFonts w:asciiTheme="minorBidi" w:hAnsiTheme="minorBidi"/>
          <w:sz w:val="24"/>
          <w:szCs w:val="24"/>
        </w:rPr>
        <w:t xml:space="preserve">medical reasons. These procedures have no health benefits for the girls and women and can cause them to have severe bleeding, infections and problems urinating. </w:t>
      </w:r>
      <w:r w:rsidR="00682569" w:rsidRPr="00B66473">
        <w:rPr>
          <w:rFonts w:asciiTheme="minorBidi" w:hAnsiTheme="minorBidi"/>
          <w:sz w:val="24"/>
          <w:szCs w:val="24"/>
        </w:rPr>
        <w:t xml:space="preserve">According to WHO (2024) over 230 million girls and women that are alive today have undergone FGM procedures in 30 countries in Affrica, Asia and the Middle East all of which practice FGM procedures. These procedures are typically carried out on young girls between infancy and age 15. </w:t>
      </w:r>
    </w:p>
    <w:p w14:paraId="174972F5" w14:textId="77777777" w:rsidR="00E13F49" w:rsidRPr="00B66473" w:rsidRDefault="00E13F49" w:rsidP="00B66473">
      <w:pPr>
        <w:spacing w:after="0" w:line="480" w:lineRule="auto"/>
        <w:rPr>
          <w:rFonts w:asciiTheme="minorBidi" w:hAnsiTheme="minorBidi"/>
          <w:b/>
          <w:bCs/>
          <w:sz w:val="24"/>
          <w:szCs w:val="24"/>
        </w:rPr>
      </w:pPr>
    </w:p>
    <w:p w14:paraId="095F2E47" w14:textId="34C69D66" w:rsidR="006F48B1" w:rsidRPr="00B66473" w:rsidRDefault="006F48B1" w:rsidP="00B66473">
      <w:pPr>
        <w:spacing w:after="0" w:line="480" w:lineRule="auto"/>
        <w:rPr>
          <w:rFonts w:asciiTheme="minorBidi" w:hAnsiTheme="minorBidi"/>
          <w:sz w:val="24"/>
          <w:szCs w:val="24"/>
          <w:highlight w:val="cyan"/>
        </w:rPr>
      </w:pPr>
      <w:r w:rsidRPr="00B66473">
        <w:rPr>
          <w:rFonts w:asciiTheme="minorBidi" w:hAnsiTheme="minorBidi"/>
          <w:sz w:val="24"/>
          <w:szCs w:val="24"/>
        </w:rPr>
        <w:t>The Crown Prosecution Service (CPS)</w:t>
      </w:r>
      <w:r w:rsidR="00937AA5" w:rsidRPr="00B66473">
        <w:rPr>
          <w:rFonts w:asciiTheme="minorBidi" w:hAnsiTheme="minorBidi"/>
          <w:sz w:val="24"/>
          <w:szCs w:val="24"/>
        </w:rPr>
        <w:t>,</w:t>
      </w:r>
      <w:r w:rsidR="00937AA5" w:rsidRPr="00B66473">
        <w:rPr>
          <w:rFonts w:asciiTheme="minorBidi" w:hAnsiTheme="minorBidi"/>
          <w:sz w:val="24"/>
          <w:szCs w:val="24"/>
        </w:rPr>
        <w:t xml:space="preserve"> (2019)</w:t>
      </w:r>
      <w:r w:rsidR="00937AA5" w:rsidRPr="00B66473">
        <w:rPr>
          <w:rFonts w:asciiTheme="minorBidi" w:hAnsiTheme="minorBidi"/>
          <w:sz w:val="24"/>
          <w:szCs w:val="24"/>
        </w:rPr>
        <w:t xml:space="preserve"> </w:t>
      </w:r>
      <w:r w:rsidRPr="00B66473">
        <w:rPr>
          <w:rFonts w:asciiTheme="minorBidi" w:hAnsiTheme="minorBidi"/>
          <w:sz w:val="24"/>
          <w:szCs w:val="24"/>
        </w:rPr>
        <w:t xml:space="preserve">defines </w:t>
      </w:r>
      <w:r w:rsidRPr="00B66473">
        <w:rPr>
          <w:rFonts w:asciiTheme="minorBidi" w:hAnsiTheme="minorBidi"/>
          <w:sz w:val="24"/>
          <w:szCs w:val="24"/>
        </w:rPr>
        <w:t>'</w:t>
      </w:r>
      <w:r w:rsidRPr="00B66473">
        <w:rPr>
          <w:rFonts w:asciiTheme="minorBidi" w:hAnsiTheme="minorBidi"/>
          <w:sz w:val="24"/>
          <w:szCs w:val="24"/>
        </w:rPr>
        <w:t>h</w:t>
      </w:r>
      <w:r w:rsidRPr="00B66473">
        <w:rPr>
          <w:rFonts w:asciiTheme="minorBidi" w:hAnsiTheme="minorBidi"/>
          <w:sz w:val="24"/>
          <w:szCs w:val="24"/>
        </w:rPr>
        <w:t>onour' Based Abuse (HBA) is a violent crime or incident which may have been committed to protect or defend the honour of the family or community.</w:t>
      </w:r>
      <w:r w:rsidRPr="00B66473">
        <w:rPr>
          <w:rFonts w:asciiTheme="minorBidi" w:hAnsiTheme="minorBidi"/>
          <w:sz w:val="24"/>
          <w:szCs w:val="24"/>
        </w:rPr>
        <w:t xml:space="preserve"> These acts or violence can come in the form </w:t>
      </w:r>
      <w:r w:rsidRPr="00B66473">
        <w:rPr>
          <w:rFonts w:asciiTheme="minorBidi" w:hAnsiTheme="minorBidi"/>
          <w:sz w:val="24"/>
          <w:szCs w:val="24"/>
        </w:rPr>
        <w:lastRenderedPageBreak/>
        <w:t xml:space="preserve">of </w:t>
      </w:r>
      <w:r w:rsidRPr="00B66473">
        <w:rPr>
          <w:rFonts w:asciiTheme="minorBidi" w:hAnsiTheme="minorBidi"/>
          <w:sz w:val="24"/>
          <w:szCs w:val="24"/>
        </w:rPr>
        <w:t>violence, threats of violence, intimidation coercion or abuse (including psychological, physical, sexual, financial or emotional abuse)</w:t>
      </w:r>
      <w:r w:rsidRPr="00B66473">
        <w:rPr>
          <w:rFonts w:asciiTheme="minorBidi" w:hAnsiTheme="minorBidi"/>
          <w:sz w:val="24"/>
          <w:szCs w:val="24"/>
        </w:rPr>
        <w:t>.</w:t>
      </w:r>
      <w:r w:rsidRPr="00B66473">
        <w:rPr>
          <w:rFonts w:asciiTheme="minorBidi" w:hAnsiTheme="minorBidi"/>
          <w:sz w:val="24"/>
          <w:szCs w:val="24"/>
        </w:rPr>
        <w:t xml:space="preserve"> It is often linked to family members or acquaintances who believe someone has brought shame to their family or community by doing something that is not considered  traditional to the beliefs within their culture.</w:t>
      </w:r>
      <w:r w:rsidRPr="00B66473">
        <w:rPr>
          <w:rFonts w:asciiTheme="minorBidi" w:hAnsiTheme="minorBidi"/>
          <w:sz w:val="24"/>
          <w:szCs w:val="24"/>
        </w:rPr>
        <w:t xml:space="preserve"> The family can view these acts of shame as becoming involved with a boyfriend or girlfriend from a different culture or religion, wanting to</w:t>
      </w:r>
      <w:r w:rsidR="001C2D7E" w:rsidRPr="00B66473">
        <w:rPr>
          <w:rFonts w:asciiTheme="minorBidi" w:hAnsiTheme="minorBidi"/>
          <w:sz w:val="24"/>
          <w:szCs w:val="24"/>
        </w:rPr>
        <w:t xml:space="preserve"> withdraw from</w:t>
      </w:r>
      <w:r w:rsidRPr="00B66473">
        <w:rPr>
          <w:rFonts w:asciiTheme="minorBidi" w:hAnsiTheme="minorBidi"/>
          <w:sz w:val="24"/>
          <w:szCs w:val="24"/>
        </w:rPr>
        <w:t xml:space="preserve"> an arranged or forced marriage or wearing clothes that may be considered inappropriate in that culture.</w:t>
      </w:r>
    </w:p>
    <w:p w14:paraId="5FEFB0D1" w14:textId="77777777" w:rsidR="006F48B1" w:rsidRPr="00B66473" w:rsidRDefault="006F48B1" w:rsidP="00B66473">
      <w:pPr>
        <w:spacing w:after="0" w:line="480" w:lineRule="auto"/>
        <w:rPr>
          <w:rFonts w:asciiTheme="minorBidi" w:hAnsiTheme="minorBidi"/>
          <w:b/>
          <w:bCs/>
          <w:sz w:val="24"/>
          <w:szCs w:val="24"/>
        </w:rPr>
      </w:pPr>
    </w:p>
    <w:p w14:paraId="46876F1D" w14:textId="1BC41E96" w:rsidR="00682569" w:rsidRPr="00B66473" w:rsidRDefault="006F48B1"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Statistics</w:t>
      </w:r>
    </w:p>
    <w:p w14:paraId="3C1642DA" w14:textId="4124B70A" w:rsidR="006F48B1" w:rsidRPr="00B66473" w:rsidRDefault="006F48B1" w:rsidP="00B66473">
      <w:pPr>
        <w:spacing w:line="480" w:lineRule="auto"/>
        <w:rPr>
          <w:rFonts w:asciiTheme="minorBidi" w:hAnsiTheme="minorBidi"/>
          <w:sz w:val="24"/>
          <w:szCs w:val="24"/>
        </w:rPr>
      </w:pPr>
      <w:r w:rsidRPr="00B66473">
        <w:rPr>
          <w:rFonts w:asciiTheme="minorBidi" w:hAnsiTheme="minorBidi"/>
          <w:sz w:val="24"/>
          <w:szCs w:val="24"/>
        </w:rPr>
        <w:t>According to Public Health England (2021) it is estimated that in the Uk around 137,000 women have undergone FGM and around 60,000 girls are at risk of undergoing FGM procedures</w:t>
      </w:r>
      <w:r w:rsidR="00937AA5" w:rsidRPr="00B66473">
        <w:rPr>
          <w:rFonts w:asciiTheme="minorBidi" w:hAnsiTheme="minorBidi"/>
          <w:sz w:val="24"/>
          <w:szCs w:val="24"/>
        </w:rPr>
        <w:t xml:space="preserve"> (these figures are from a few years ago so the numbers could have increased or decreased over the years)</w:t>
      </w:r>
      <w:r w:rsidR="00F74FDE" w:rsidRPr="00B66473">
        <w:rPr>
          <w:rFonts w:asciiTheme="minorBidi" w:hAnsiTheme="minorBidi"/>
          <w:sz w:val="24"/>
          <w:szCs w:val="24"/>
        </w:rPr>
        <w:t xml:space="preserve">. </w:t>
      </w:r>
      <w:r w:rsidR="001C2D7E" w:rsidRPr="00B66473">
        <w:rPr>
          <w:rFonts w:asciiTheme="minorBidi" w:hAnsiTheme="minorBidi"/>
          <w:sz w:val="24"/>
          <w:szCs w:val="24"/>
        </w:rPr>
        <w:t>The number of girls that have</w:t>
      </w:r>
      <w:r w:rsidR="00B66473">
        <w:rPr>
          <w:rFonts w:asciiTheme="minorBidi" w:hAnsiTheme="minorBidi"/>
          <w:sz w:val="24"/>
          <w:szCs w:val="24"/>
        </w:rPr>
        <w:t xml:space="preserve"> had </w:t>
      </w:r>
      <w:r w:rsidR="001C2D7E" w:rsidRPr="00B66473">
        <w:rPr>
          <w:rFonts w:asciiTheme="minorBidi" w:hAnsiTheme="minorBidi"/>
          <w:sz w:val="24"/>
          <w:szCs w:val="24"/>
        </w:rPr>
        <w:t>FGM</w:t>
      </w:r>
      <w:r w:rsidR="00B66473">
        <w:rPr>
          <w:rFonts w:asciiTheme="minorBidi" w:hAnsiTheme="minorBidi"/>
          <w:sz w:val="24"/>
          <w:szCs w:val="24"/>
        </w:rPr>
        <w:t xml:space="preserve"> inflicted on them</w:t>
      </w:r>
      <w:r w:rsidR="001C2D7E" w:rsidRPr="00B66473">
        <w:rPr>
          <w:rFonts w:asciiTheme="minorBidi" w:hAnsiTheme="minorBidi"/>
          <w:sz w:val="24"/>
          <w:szCs w:val="24"/>
        </w:rPr>
        <w:t xml:space="preserve"> in the UK only accounts for a small </w:t>
      </w:r>
      <w:r w:rsidR="00B66473" w:rsidRPr="00B66473">
        <w:rPr>
          <w:rFonts w:asciiTheme="minorBidi" w:hAnsiTheme="minorBidi"/>
          <w:sz w:val="24"/>
          <w:szCs w:val="24"/>
        </w:rPr>
        <w:t>percentage</w:t>
      </w:r>
      <w:r w:rsidR="001C2D7E" w:rsidRPr="00B66473">
        <w:rPr>
          <w:rFonts w:asciiTheme="minorBidi" w:hAnsiTheme="minorBidi"/>
          <w:sz w:val="24"/>
          <w:szCs w:val="24"/>
        </w:rPr>
        <w:t xml:space="preserve"> of worldwide cases, with millions of women and girls affected globally, despite international efforts to combat it.</w:t>
      </w:r>
      <w:r w:rsidR="001C2D7E" w:rsidRPr="00B66473">
        <w:rPr>
          <w:rFonts w:asciiTheme="minorBidi" w:hAnsiTheme="minorBidi"/>
          <w:sz w:val="24"/>
          <w:szCs w:val="24"/>
        </w:rPr>
        <w:t xml:space="preserve"> A</w:t>
      </w:r>
      <w:r w:rsidRPr="00B66473">
        <w:rPr>
          <w:rFonts w:asciiTheme="minorBidi" w:hAnsiTheme="minorBidi"/>
          <w:sz w:val="24"/>
          <w:szCs w:val="24"/>
        </w:rPr>
        <w:t>round the world,</w:t>
      </w:r>
      <w:r w:rsidRPr="00B66473">
        <w:rPr>
          <w:rFonts w:asciiTheme="minorBidi" w:hAnsiTheme="minorBidi"/>
          <w:sz w:val="24"/>
          <w:szCs w:val="24"/>
        </w:rPr>
        <w:t xml:space="preserve"> </w:t>
      </w:r>
      <w:r w:rsidRPr="00B66473">
        <w:rPr>
          <w:rFonts w:asciiTheme="minorBidi" w:hAnsiTheme="minorBidi"/>
          <w:sz w:val="24"/>
          <w:szCs w:val="24"/>
        </w:rPr>
        <w:t>over 230 million girls and women have undergone FGM.</w:t>
      </w:r>
      <w:r w:rsidR="000F3159" w:rsidRPr="00B66473">
        <w:rPr>
          <w:rFonts w:asciiTheme="minorBidi" w:hAnsiTheme="minorBidi"/>
          <w:sz w:val="24"/>
          <w:szCs w:val="24"/>
        </w:rPr>
        <w:t xml:space="preserve"> Many countries in Africa and the Middle East hold the highest</w:t>
      </w:r>
      <w:r w:rsidR="00B66473">
        <w:rPr>
          <w:rFonts w:asciiTheme="minorBidi" w:hAnsiTheme="minorBidi"/>
          <w:sz w:val="24"/>
          <w:szCs w:val="24"/>
        </w:rPr>
        <w:t xml:space="preserve"> </w:t>
      </w:r>
      <w:r w:rsidR="000F3159" w:rsidRPr="00B66473">
        <w:rPr>
          <w:rFonts w:asciiTheme="minorBidi" w:hAnsiTheme="minorBidi"/>
          <w:sz w:val="24"/>
          <w:szCs w:val="24"/>
        </w:rPr>
        <w:t>numbers for recorded FGM procedures in the world</w:t>
      </w:r>
      <w:r w:rsidR="00F74FDE" w:rsidRPr="00B66473">
        <w:rPr>
          <w:rFonts w:asciiTheme="minorBidi" w:hAnsiTheme="minorBidi"/>
          <w:sz w:val="24"/>
          <w:szCs w:val="24"/>
        </w:rPr>
        <w:t xml:space="preserve">. </w:t>
      </w:r>
      <w:r w:rsidRPr="00B66473">
        <w:rPr>
          <w:rFonts w:asciiTheme="minorBidi" w:hAnsiTheme="minorBidi"/>
          <w:sz w:val="24"/>
          <w:szCs w:val="24"/>
        </w:rPr>
        <w:t xml:space="preserve">Africa accounts for the largest </w:t>
      </w:r>
      <w:r w:rsidR="000F3159" w:rsidRPr="00B66473">
        <w:rPr>
          <w:rFonts w:asciiTheme="minorBidi" w:hAnsiTheme="minorBidi"/>
          <w:sz w:val="24"/>
          <w:szCs w:val="24"/>
        </w:rPr>
        <w:t xml:space="preserve">record overall with over </w:t>
      </w:r>
      <w:r w:rsidRPr="00B66473">
        <w:rPr>
          <w:rFonts w:asciiTheme="minorBidi" w:hAnsiTheme="minorBidi"/>
          <w:sz w:val="24"/>
          <w:szCs w:val="24"/>
        </w:rPr>
        <w:t xml:space="preserve">144 million. Asia </w:t>
      </w:r>
      <w:r w:rsidR="000F3159" w:rsidRPr="00B66473">
        <w:rPr>
          <w:rFonts w:asciiTheme="minorBidi" w:hAnsiTheme="minorBidi"/>
          <w:sz w:val="24"/>
          <w:szCs w:val="24"/>
        </w:rPr>
        <w:t>then follows</w:t>
      </w:r>
      <w:r w:rsidRPr="00B66473">
        <w:rPr>
          <w:rFonts w:asciiTheme="minorBidi" w:hAnsiTheme="minorBidi"/>
          <w:sz w:val="24"/>
          <w:szCs w:val="24"/>
        </w:rPr>
        <w:t xml:space="preserve"> with over 80 million. The next is the Middle East with 6 million.</w:t>
      </w:r>
      <w:r w:rsidR="000F3159" w:rsidRPr="00B66473">
        <w:rPr>
          <w:rFonts w:asciiTheme="minorBidi" w:hAnsiTheme="minorBidi"/>
          <w:sz w:val="24"/>
          <w:szCs w:val="24"/>
        </w:rPr>
        <w:t xml:space="preserve"> And then </w:t>
      </w:r>
      <w:r w:rsidR="001C2D7E" w:rsidRPr="00B66473">
        <w:rPr>
          <w:rFonts w:asciiTheme="minorBidi" w:hAnsiTheme="minorBidi"/>
          <w:sz w:val="24"/>
          <w:szCs w:val="24"/>
        </w:rPr>
        <w:t>another</w:t>
      </w:r>
      <w:r w:rsidRPr="00B66473">
        <w:rPr>
          <w:rFonts w:asciiTheme="minorBidi" w:hAnsiTheme="minorBidi"/>
          <w:sz w:val="24"/>
          <w:szCs w:val="24"/>
        </w:rPr>
        <w:t xml:space="preserve"> 1-2 million are affected in small</w:t>
      </w:r>
      <w:r w:rsidR="001C2D7E" w:rsidRPr="00B66473">
        <w:rPr>
          <w:rFonts w:asciiTheme="minorBidi" w:hAnsiTheme="minorBidi"/>
          <w:sz w:val="24"/>
          <w:szCs w:val="24"/>
        </w:rPr>
        <w:t>er</w:t>
      </w:r>
      <w:r w:rsidRPr="00B66473">
        <w:rPr>
          <w:rFonts w:asciiTheme="minorBidi" w:hAnsiTheme="minorBidi"/>
          <w:sz w:val="24"/>
          <w:szCs w:val="24"/>
        </w:rPr>
        <w:t xml:space="preserve"> practising countries (UNICEF, 2024). </w:t>
      </w:r>
    </w:p>
    <w:p w14:paraId="64A5D23E" w14:textId="7E047A1F" w:rsidR="00F95299" w:rsidRPr="00B66473" w:rsidRDefault="006F48B1" w:rsidP="00B66473">
      <w:pPr>
        <w:spacing w:line="480" w:lineRule="auto"/>
        <w:rPr>
          <w:rFonts w:asciiTheme="minorBidi" w:hAnsiTheme="minorBidi"/>
          <w:sz w:val="24"/>
          <w:szCs w:val="24"/>
        </w:rPr>
      </w:pPr>
      <w:r w:rsidRPr="00B66473">
        <w:rPr>
          <w:rFonts w:asciiTheme="minorBidi" w:hAnsiTheme="minorBidi"/>
          <w:sz w:val="24"/>
          <w:szCs w:val="24"/>
        </w:rPr>
        <w:t xml:space="preserve">Between March 2021 and March 2022 there were 2871 recorded HBA offences by the police in England and Wales , during March 2022 and March 2023 there was a slight </w:t>
      </w:r>
      <w:r w:rsidR="00F74FDE" w:rsidRPr="00B66473">
        <w:rPr>
          <w:rFonts w:asciiTheme="minorBidi" w:hAnsiTheme="minorBidi"/>
          <w:sz w:val="24"/>
          <w:szCs w:val="24"/>
        </w:rPr>
        <w:t>increase,</w:t>
      </w:r>
      <w:r w:rsidRPr="00B66473">
        <w:rPr>
          <w:rFonts w:asciiTheme="minorBidi" w:hAnsiTheme="minorBidi"/>
          <w:sz w:val="24"/>
          <w:szCs w:val="24"/>
        </w:rPr>
        <w:t xml:space="preserve"> and the number of recorded offences jumped to 2905 (Home Office, </w:t>
      </w:r>
      <w:r w:rsidRPr="00B66473">
        <w:rPr>
          <w:rFonts w:asciiTheme="minorBidi" w:hAnsiTheme="minorBidi"/>
          <w:sz w:val="24"/>
          <w:szCs w:val="24"/>
        </w:rPr>
        <w:lastRenderedPageBreak/>
        <w:t xml:space="preserve">2023). The year March 2023 to March 2024 thankfully saw a decrease in the number of recorded offences, although the decrease </w:t>
      </w:r>
      <w:r w:rsidR="00B66473" w:rsidRPr="00B66473">
        <w:rPr>
          <w:rFonts w:asciiTheme="minorBidi" w:hAnsiTheme="minorBidi"/>
          <w:sz w:val="24"/>
          <w:szCs w:val="24"/>
        </w:rPr>
        <w:t>was not</w:t>
      </w:r>
      <w:r w:rsidRPr="00B66473">
        <w:rPr>
          <w:rFonts w:asciiTheme="minorBidi" w:hAnsiTheme="minorBidi"/>
          <w:sz w:val="24"/>
          <w:szCs w:val="24"/>
        </w:rPr>
        <w:t xml:space="preserve"> as significant as we </w:t>
      </w:r>
      <w:r w:rsidR="00B66473" w:rsidRPr="00B66473">
        <w:rPr>
          <w:rFonts w:asciiTheme="minorBidi" w:hAnsiTheme="minorBidi"/>
          <w:sz w:val="24"/>
          <w:szCs w:val="24"/>
        </w:rPr>
        <w:t>would have</w:t>
      </w:r>
      <w:r w:rsidRPr="00B66473">
        <w:rPr>
          <w:rFonts w:asciiTheme="minorBidi" w:hAnsiTheme="minorBidi"/>
          <w:sz w:val="24"/>
          <w:szCs w:val="24"/>
        </w:rPr>
        <w:t xml:space="preserve"> liked to see, the numbers still dropped from 2905 to 2755</w:t>
      </w:r>
      <w:r w:rsidR="00F365D6" w:rsidRPr="00B66473">
        <w:rPr>
          <w:rFonts w:asciiTheme="minorBidi" w:hAnsiTheme="minorBidi"/>
          <w:sz w:val="24"/>
          <w:szCs w:val="24"/>
        </w:rPr>
        <w:t xml:space="preserve">. </w:t>
      </w:r>
      <w:r w:rsidR="00F365D6" w:rsidRPr="00B66473">
        <w:rPr>
          <w:rFonts w:asciiTheme="minorBidi" w:hAnsiTheme="minorBidi"/>
          <w:sz w:val="24"/>
          <w:szCs w:val="24"/>
        </w:rPr>
        <w:t xml:space="preserve">Of the 2755 recorded offences in the latest year, 111 were FGM and 201 were forced marriage offences. </w:t>
      </w:r>
      <w:r w:rsidRPr="00B66473">
        <w:rPr>
          <w:rFonts w:asciiTheme="minorBidi" w:hAnsiTheme="minorBidi"/>
          <w:sz w:val="24"/>
          <w:szCs w:val="24"/>
        </w:rPr>
        <w:t xml:space="preserve">(Home Office, 2024). </w:t>
      </w:r>
    </w:p>
    <w:p w14:paraId="24F56CAC" w14:textId="77777777" w:rsidR="005F4159" w:rsidRPr="00B66473" w:rsidRDefault="005F4159" w:rsidP="00B66473">
      <w:pPr>
        <w:spacing w:line="480" w:lineRule="auto"/>
        <w:rPr>
          <w:rFonts w:asciiTheme="minorBidi" w:hAnsiTheme="minorBidi"/>
          <w:sz w:val="24"/>
          <w:szCs w:val="24"/>
        </w:rPr>
      </w:pPr>
    </w:p>
    <w:p w14:paraId="70C6011C" w14:textId="541CA59B" w:rsidR="005F4159" w:rsidRPr="00B66473" w:rsidRDefault="005F4159"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 xml:space="preserve">Changes in </w:t>
      </w:r>
      <w:r w:rsidR="00F365D6" w:rsidRPr="00B66473">
        <w:rPr>
          <w:rFonts w:asciiTheme="minorBidi" w:hAnsiTheme="minorBidi" w:cstheme="minorBidi"/>
          <w:sz w:val="24"/>
          <w:szCs w:val="24"/>
        </w:rPr>
        <w:t xml:space="preserve">FGM </w:t>
      </w:r>
    </w:p>
    <w:p w14:paraId="77257AC4" w14:textId="77777777" w:rsidR="005F4159" w:rsidRPr="00B66473" w:rsidRDefault="005F4159" w:rsidP="00B66473">
      <w:pPr>
        <w:spacing w:line="480" w:lineRule="auto"/>
        <w:rPr>
          <w:rFonts w:asciiTheme="minorBidi" w:hAnsiTheme="minorBidi"/>
          <w:sz w:val="24"/>
          <w:szCs w:val="24"/>
        </w:rPr>
      </w:pPr>
      <w:r w:rsidRPr="00B66473">
        <w:rPr>
          <w:rFonts w:asciiTheme="minorBidi" w:hAnsiTheme="minorBidi"/>
          <w:sz w:val="24"/>
          <w:szCs w:val="24"/>
        </w:rPr>
        <w:t xml:space="preserve">According to Toubia and Sharief (2003) in Sudan in 1979 the world health organisation held the first international  conference on female circumcision. The conference recommended that  the practice be totally eradicated. The conference also marked the official involvement of the international health and development assistance community in supporting programs designed to stop the practice (Toubia and Sharief, 2003). </w:t>
      </w:r>
    </w:p>
    <w:p w14:paraId="73E3AB1C" w14:textId="49C58922" w:rsidR="005F4159" w:rsidRPr="00B66473" w:rsidRDefault="005F4159" w:rsidP="00B66473">
      <w:pPr>
        <w:spacing w:line="480" w:lineRule="auto"/>
        <w:rPr>
          <w:rFonts w:asciiTheme="minorBidi" w:hAnsiTheme="minorBidi"/>
          <w:sz w:val="24"/>
          <w:szCs w:val="24"/>
        </w:rPr>
      </w:pPr>
      <w:r w:rsidRPr="00B66473">
        <w:rPr>
          <w:rFonts w:asciiTheme="minorBidi" w:hAnsiTheme="minorBidi"/>
          <w:sz w:val="24"/>
          <w:szCs w:val="24"/>
        </w:rPr>
        <w:t xml:space="preserve">Between 1980 and 1990 the united nations decade for women brought attention to </w:t>
      </w:r>
      <w:r w:rsidR="001C2D7E" w:rsidRPr="00B66473">
        <w:rPr>
          <w:rFonts w:asciiTheme="minorBidi" w:hAnsiTheme="minorBidi"/>
          <w:sz w:val="24"/>
          <w:szCs w:val="24"/>
        </w:rPr>
        <w:t>FGM</w:t>
      </w:r>
      <w:r w:rsidRPr="00B66473">
        <w:rPr>
          <w:rFonts w:asciiTheme="minorBidi" w:hAnsiTheme="minorBidi"/>
          <w:sz w:val="24"/>
          <w:szCs w:val="24"/>
        </w:rPr>
        <w:t xml:space="preserve"> and the effects it can have on a woman’s health. The 1990’s saw the introduction of women’s rights as human rights and during the world conference of human rights in Vienna in 1993 gender based violence was accepted as a violation of human rights. (Toubia and Sharief, 2003)</w:t>
      </w:r>
    </w:p>
    <w:p w14:paraId="2314C0A9" w14:textId="4F1A9BCE" w:rsidR="005F4159" w:rsidRPr="00B66473" w:rsidRDefault="005F4159" w:rsidP="00B66473">
      <w:pPr>
        <w:spacing w:line="480" w:lineRule="auto"/>
        <w:rPr>
          <w:rFonts w:asciiTheme="minorBidi" w:hAnsiTheme="minorBidi"/>
          <w:sz w:val="24"/>
          <w:szCs w:val="24"/>
        </w:rPr>
      </w:pPr>
      <w:r w:rsidRPr="00B66473">
        <w:rPr>
          <w:rFonts w:asciiTheme="minorBidi" w:hAnsiTheme="minorBidi"/>
          <w:sz w:val="24"/>
          <w:szCs w:val="24"/>
        </w:rPr>
        <w:t>In 1994 the International Conference on Population and Development (ICPD) held a conference in Cairo that oversaw the formation of a task force against FGM in Egypt and saw the aftermath of a public uproar that happened after an FGM procedure on a small child was filmed and shown on Egyptian tv during the conference (Berer, 2015)</w:t>
      </w:r>
    </w:p>
    <w:p w14:paraId="6E2FEB5C" w14:textId="77777777" w:rsidR="005F4159" w:rsidRPr="00B66473" w:rsidRDefault="005F4159" w:rsidP="00B66473">
      <w:pPr>
        <w:spacing w:line="480" w:lineRule="auto"/>
        <w:rPr>
          <w:rFonts w:asciiTheme="minorBidi" w:hAnsiTheme="minorBidi"/>
          <w:sz w:val="24"/>
          <w:szCs w:val="24"/>
        </w:rPr>
      </w:pPr>
      <w:r w:rsidRPr="00B66473">
        <w:rPr>
          <w:rFonts w:asciiTheme="minorBidi" w:hAnsiTheme="minorBidi"/>
          <w:sz w:val="24"/>
          <w:szCs w:val="24"/>
        </w:rPr>
        <w:lastRenderedPageBreak/>
        <w:t xml:space="preserve">2003 saw the creation of the Genital Mutilation act . This act was formed in order to amend the law relating to female genital mutilation. Under this act it is an considered an offence when failing to protect girls who may be at risk of genital mutilation. If genital mutilation is practiced on a girl under the age of 16 then each person that is responsible for that girl at the time is guilty of the offence. Also under this act anyone who works in a regulated profession ( for example a nurse or a social worker) and discovers that an act of female genital mutilation appears to have been carried out on a girl who is aged under 18 then they have a duty to notify the police. </w:t>
      </w:r>
    </w:p>
    <w:p w14:paraId="29463395" w14:textId="60BB11C4" w:rsidR="005F4159" w:rsidRPr="00B66473" w:rsidRDefault="005F4159" w:rsidP="00B66473">
      <w:pPr>
        <w:spacing w:line="480" w:lineRule="auto"/>
        <w:rPr>
          <w:rFonts w:asciiTheme="minorBidi" w:hAnsiTheme="minorBidi"/>
          <w:color w:val="141414"/>
          <w:sz w:val="24"/>
          <w:szCs w:val="24"/>
          <w:shd w:val="clear" w:color="auto" w:fill="FFFFFF"/>
        </w:rPr>
      </w:pPr>
      <w:r w:rsidRPr="00B66473">
        <w:rPr>
          <w:rFonts w:asciiTheme="minorBidi" w:hAnsiTheme="minorBidi"/>
          <w:sz w:val="24"/>
          <w:szCs w:val="24"/>
        </w:rPr>
        <w:t xml:space="preserve">France is the only country to have prosecuted a substantial number of people for practicing </w:t>
      </w:r>
      <w:r w:rsidR="00F365D6" w:rsidRPr="00B66473">
        <w:rPr>
          <w:rFonts w:asciiTheme="minorBidi" w:hAnsiTheme="minorBidi"/>
          <w:sz w:val="24"/>
          <w:szCs w:val="24"/>
        </w:rPr>
        <w:t>FGM</w:t>
      </w:r>
      <w:r w:rsidRPr="00B66473">
        <w:rPr>
          <w:rFonts w:asciiTheme="minorBidi" w:hAnsiTheme="minorBidi"/>
          <w:sz w:val="24"/>
          <w:szCs w:val="24"/>
        </w:rPr>
        <w:t>. Up to 2014 around 40 trials had taken place in France and about 100 people had been prosecuted for practicing FGM. (Berer, 2015)</w:t>
      </w:r>
      <w:r w:rsidRPr="00B66473">
        <w:rPr>
          <w:rFonts w:asciiTheme="minorBidi" w:hAnsiTheme="minorBidi"/>
          <w:color w:val="141414"/>
          <w:sz w:val="24"/>
          <w:szCs w:val="24"/>
          <w:shd w:val="clear" w:color="auto" w:fill="FFFFFF"/>
        </w:rPr>
        <w:t xml:space="preserve"> </w:t>
      </w:r>
    </w:p>
    <w:p w14:paraId="0535A948" w14:textId="0D48C39B" w:rsidR="005F4159" w:rsidRPr="00B66473" w:rsidRDefault="005F4159" w:rsidP="00B66473">
      <w:pPr>
        <w:spacing w:line="480" w:lineRule="auto"/>
        <w:rPr>
          <w:rFonts w:asciiTheme="minorBidi" w:hAnsiTheme="minorBidi"/>
          <w:color w:val="141414"/>
          <w:sz w:val="24"/>
          <w:szCs w:val="24"/>
          <w:shd w:val="clear" w:color="auto" w:fill="FFFFFF"/>
        </w:rPr>
      </w:pPr>
      <w:r w:rsidRPr="00B66473">
        <w:rPr>
          <w:rFonts w:asciiTheme="minorBidi" w:hAnsiTheme="minorBidi"/>
          <w:color w:val="141414"/>
          <w:sz w:val="24"/>
          <w:szCs w:val="24"/>
          <w:shd w:val="clear" w:color="auto" w:fill="FFFFFF"/>
        </w:rPr>
        <w:t>In 2019 a mother in London became the first person in the UK to be found guilty of carrying out FGM after she performed it her 3 year old daughter (Ontiveros, 2019)</w:t>
      </w:r>
      <w:r w:rsidR="00B66473" w:rsidRPr="00B66473">
        <w:rPr>
          <w:rFonts w:asciiTheme="minorBidi" w:hAnsiTheme="minorBidi"/>
          <w:color w:val="141414"/>
          <w:sz w:val="24"/>
          <w:szCs w:val="24"/>
          <w:shd w:val="clear" w:color="auto" w:fill="FFFFFF"/>
        </w:rPr>
        <w:t xml:space="preserve">. </w:t>
      </w:r>
    </w:p>
    <w:p w14:paraId="7FF82666" w14:textId="77777777" w:rsidR="00F365D6" w:rsidRPr="00B66473" w:rsidRDefault="00F365D6" w:rsidP="00B66473">
      <w:pPr>
        <w:spacing w:line="480" w:lineRule="auto"/>
        <w:rPr>
          <w:rFonts w:asciiTheme="minorBidi" w:hAnsiTheme="minorBidi"/>
          <w:color w:val="141414"/>
          <w:sz w:val="24"/>
          <w:szCs w:val="24"/>
          <w:shd w:val="clear" w:color="auto" w:fill="FFFFFF"/>
        </w:rPr>
      </w:pPr>
    </w:p>
    <w:p w14:paraId="1B09A1EB" w14:textId="2EE8D595" w:rsidR="00F365D6" w:rsidRPr="00B66473" w:rsidRDefault="00F365D6"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 xml:space="preserve">Changes in </w:t>
      </w:r>
      <w:r w:rsidR="00937AA5" w:rsidRPr="00B66473">
        <w:rPr>
          <w:rFonts w:asciiTheme="minorBidi" w:hAnsiTheme="minorBidi" w:cstheme="minorBidi"/>
          <w:sz w:val="24"/>
          <w:szCs w:val="24"/>
        </w:rPr>
        <w:t>HBA</w:t>
      </w:r>
    </w:p>
    <w:p w14:paraId="1F2940D2" w14:textId="4EA81614" w:rsidR="00F365D6" w:rsidRPr="00B66473" w:rsidRDefault="00F74FDE" w:rsidP="00B66473">
      <w:pPr>
        <w:spacing w:line="480" w:lineRule="auto"/>
        <w:rPr>
          <w:rFonts w:asciiTheme="minorBidi" w:hAnsiTheme="minorBidi"/>
          <w:sz w:val="24"/>
          <w:szCs w:val="24"/>
        </w:rPr>
      </w:pPr>
      <w:r w:rsidRPr="00B66473">
        <w:rPr>
          <w:rFonts w:asciiTheme="minorBidi" w:hAnsiTheme="minorBidi"/>
          <w:sz w:val="24"/>
          <w:szCs w:val="24"/>
        </w:rPr>
        <w:t>Unfortunately,</w:t>
      </w:r>
      <w:r w:rsidR="00F365D6" w:rsidRPr="00B66473">
        <w:rPr>
          <w:rFonts w:asciiTheme="minorBidi" w:hAnsiTheme="minorBidi"/>
          <w:sz w:val="24"/>
          <w:szCs w:val="24"/>
        </w:rPr>
        <w:t xml:space="preserve"> the literature relating to how responses to HBA have changed over time is </w:t>
      </w:r>
      <w:r w:rsidR="00B66473" w:rsidRPr="00B66473">
        <w:rPr>
          <w:rFonts w:asciiTheme="minorBidi" w:hAnsiTheme="minorBidi"/>
          <w:sz w:val="24"/>
          <w:szCs w:val="24"/>
        </w:rPr>
        <w:t>extremely limited</w:t>
      </w:r>
      <w:r w:rsidR="00F365D6" w:rsidRPr="00B66473">
        <w:rPr>
          <w:rFonts w:asciiTheme="minorBidi" w:hAnsiTheme="minorBidi"/>
          <w:sz w:val="24"/>
          <w:szCs w:val="24"/>
        </w:rPr>
        <w:t xml:space="preserve">. The only discoverable piece of literature relating to HBA changes is that in 2008 a leading UK HBA charity set up </w:t>
      </w:r>
      <w:r w:rsidR="00F365D6" w:rsidRPr="00B66473">
        <w:rPr>
          <w:rFonts w:asciiTheme="minorBidi" w:hAnsiTheme="minorBidi"/>
          <w:sz w:val="24"/>
          <w:szCs w:val="24"/>
        </w:rPr>
        <w:t xml:space="preserve">a network helpline for HBA victims and since it began they have received over 100,000 calls. And in 2021 and 2022 the charity directly supported 2,289 victims of </w:t>
      </w:r>
      <w:r w:rsidR="00F365D6" w:rsidRPr="00B66473">
        <w:rPr>
          <w:rFonts w:asciiTheme="minorBidi" w:hAnsiTheme="minorBidi"/>
          <w:sz w:val="24"/>
          <w:szCs w:val="24"/>
        </w:rPr>
        <w:t>HBA</w:t>
      </w:r>
      <w:r w:rsidR="00F365D6" w:rsidRPr="00B66473">
        <w:rPr>
          <w:rFonts w:asciiTheme="minorBidi" w:hAnsiTheme="minorBidi"/>
          <w:sz w:val="24"/>
          <w:szCs w:val="24"/>
        </w:rPr>
        <w:t xml:space="preserve"> (Hull and Hibbert, 2023). </w:t>
      </w:r>
    </w:p>
    <w:p w14:paraId="7AA5EC79" w14:textId="77777777" w:rsidR="005F4159" w:rsidRPr="00B66473" w:rsidRDefault="005F4159" w:rsidP="00B66473">
      <w:pPr>
        <w:spacing w:line="480" w:lineRule="auto"/>
        <w:rPr>
          <w:rFonts w:asciiTheme="minorBidi" w:hAnsiTheme="minorBidi"/>
          <w:sz w:val="24"/>
          <w:szCs w:val="24"/>
        </w:rPr>
      </w:pPr>
    </w:p>
    <w:p w14:paraId="66E0A182" w14:textId="77777777" w:rsidR="000F3159" w:rsidRPr="00B66473" w:rsidRDefault="000F3159"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lastRenderedPageBreak/>
        <w:t xml:space="preserve">How are victims exploited </w:t>
      </w:r>
    </w:p>
    <w:p w14:paraId="2FE8052D" w14:textId="3ED28905" w:rsidR="00AA5256" w:rsidRPr="00B66473" w:rsidRDefault="00AA5256"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FGM</w:t>
      </w:r>
    </w:p>
    <w:p w14:paraId="52A0E253" w14:textId="4253A3E1" w:rsidR="000F3159" w:rsidRPr="00B66473" w:rsidRDefault="000F3159" w:rsidP="00B66473">
      <w:pPr>
        <w:spacing w:after="0" w:line="480" w:lineRule="auto"/>
        <w:rPr>
          <w:rFonts w:asciiTheme="minorBidi" w:eastAsia="Arial" w:hAnsiTheme="minorBidi"/>
          <w:color w:val="252525"/>
          <w:sz w:val="24"/>
          <w:szCs w:val="24"/>
        </w:rPr>
      </w:pPr>
      <w:r w:rsidRPr="00B66473">
        <w:rPr>
          <w:rFonts w:asciiTheme="minorBidi" w:hAnsiTheme="minorBidi"/>
          <w:sz w:val="24"/>
          <w:szCs w:val="24"/>
        </w:rPr>
        <w:t>FGM can leave victims with psychological trauma from the pain, shock and the use of physical force by those performing FGM</w:t>
      </w:r>
      <w:r w:rsidR="00F74FDE" w:rsidRPr="00B66473">
        <w:rPr>
          <w:rFonts w:asciiTheme="minorBidi" w:hAnsiTheme="minorBidi"/>
          <w:sz w:val="24"/>
          <w:szCs w:val="24"/>
        </w:rPr>
        <w:t xml:space="preserve">. </w:t>
      </w:r>
      <w:r w:rsidRPr="00B66473">
        <w:rPr>
          <w:rFonts w:asciiTheme="minorBidi" w:hAnsiTheme="minorBidi"/>
          <w:sz w:val="24"/>
          <w:szCs w:val="24"/>
        </w:rPr>
        <w:t>In the long term, post-traumatic stress disorder (PTSD), anxiety, depression and memory loss may occur </w:t>
      </w:r>
      <w:r w:rsidRPr="00B66473">
        <w:rPr>
          <w:rFonts w:asciiTheme="minorBidi" w:eastAsia="Arial" w:hAnsiTheme="minorBidi"/>
          <w:color w:val="252525"/>
          <w:sz w:val="24"/>
          <w:szCs w:val="24"/>
        </w:rPr>
        <w:t>(Reisel and Creighton, 2015).</w:t>
      </w:r>
    </w:p>
    <w:p w14:paraId="34CB786E" w14:textId="77777777" w:rsidR="000F3159" w:rsidRPr="00B66473" w:rsidRDefault="000F3159" w:rsidP="00B66473">
      <w:pPr>
        <w:spacing w:after="0" w:line="480" w:lineRule="auto"/>
        <w:rPr>
          <w:rFonts w:asciiTheme="minorBidi" w:eastAsia="Arial" w:hAnsiTheme="minorBidi"/>
          <w:color w:val="252525"/>
          <w:sz w:val="24"/>
          <w:szCs w:val="24"/>
        </w:rPr>
      </w:pPr>
    </w:p>
    <w:p w14:paraId="7F32CC86" w14:textId="743C5DC1" w:rsidR="000F3159" w:rsidRPr="00B66473" w:rsidRDefault="000F3159" w:rsidP="00B66473">
      <w:pPr>
        <w:spacing w:line="480" w:lineRule="auto"/>
        <w:rPr>
          <w:rFonts w:asciiTheme="minorBidi" w:hAnsiTheme="minorBidi"/>
          <w:sz w:val="24"/>
          <w:szCs w:val="24"/>
        </w:rPr>
      </w:pPr>
      <w:r w:rsidRPr="00B66473">
        <w:rPr>
          <w:rFonts w:asciiTheme="minorBidi" w:hAnsiTheme="minorBidi"/>
          <w:sz w:val="24"/>
          <w:szCs w:val="24"/>
        </w:rPr>
        <w:t>Because FGM is preformed on young girls often without their consent they are too young or too powerless to resit which makes them vulnerable to exploitation. The procedure</w:t>
      </w:r>
      <w:r w:rsidR="00F74FDE" w:rsidRPr="00B66473">
        <w:rPr>
          <w:rFonts w:asciiTheme="minorBidi" w:hAnsiTheme="minorBidi"/>
          <w:sz w:val="24"/>
          <w:szCs w:val="24"/>
        </w:rPr>
        <w:t>s</w:t>
      </w:r>
      <w:r w:rsidRPr="00B66473">
        <w:rPr>
          <w:rFonts w:asciiTheme="minorBidi" w:hAnsiTheme="minorBidi"/>
          <w:sz w:val="24"/>
          <w:szCs w:val="24"/>
        </w:rPr>
        <w:t xml:space="preserve"> are often carried out in unsanitary and unsafe conditions which can increase the risk of health complications at the time and long term. The long-term health problems can include infections, complications with childbirth, infertility, and painful menstruation. These outcomes represent the long-term physical exploitation of their bodies.</w:t>
      </w:r>
    </w:p>
    <w:p w14:paraId="17695957" w14:textId="77777777" w:rsidR="000F3159" w:rsidRPr="00B66473" w:rsidRDefault="000F3159" w:rsidP="00B66473">
      <w:pPr>
        <w:spacing w:after="0" w:line="480" w:lineRule="auto"/>
        <w:rPr>
          <w:rFonts w:asciiTheme="minorBidi" w:eastAsia="Arial" w:hAnsiTheme="minorBidi"/>
          <w:color w:val="252525"/>
          <w:sz w:val="24"/>
          <w:szCs w:val="24"/>
        </w:rPr>
      </w:pPr>
    </w:p>
    <w:p w14:paraId="50C42052" w14:textId="1E541108" w:rsidR="000F3159" w:rsidRPr="00B66473" w:rsidRDefault="000F3159" w:rsidP="00B66473">
      <w:pPr>
        <w:spacing w:after="0" w:line="480" w:lineRule="auto"/>
        <w:rPr>
          <w:rFonts w:asciiTheme="minorBidi" w:eastAsia="Arial" w:hAnsiTheme="minorBidi"/>
          <w:color w:val="252525"/>
          <w:sz w:val="24"/>
          <w:szCs w:val="24"/>
        </w:rPr>
      </w:pPr>
      <w:r w:rsidRPr="00B66473">
        <w:rPr>
          <w:rFonts w:asciiTheme="minorBidi" w:eastAsia="Arial" w:hAnsiTheme="minorBidi"/>
          <w:color w:val="252525"/>
          <w:sz w:val="24"/>
          <w:szCs w:val="24"/>
        </w:rPr>
        <w:t xml:space="preserve">This is supported by </w:t>
      </w:r>
      <w:r w:rsidRPr="00B66473">
        <w:rPr>
          <w:rFonts w:asciiTheme="minorBidi" w:eastAsia="Arial" w:hAnsiTheme="minorBidi"/>
          <w:color w:val="252525"/>
          <w:sz w:val="24"/>
          <w:szCs w:val="24"/>
        </w:rPr>
        <w:t>Pastor-Bravo, Almansa-Martínez and Jiménez-Ruiz (2020)</w:t>
      </w:r>
      <w:r w:rsidRPr="00B66473">
        <w:rPr>
          <w:rFonts w:asciiTheme="minorBidi" w:eastAsia="Arial" w:hAnsiTheme="minorBidi"/>
          <w:color w:val="252525"/>
          <w:sz w:val="24"/>
          <w:szCs w:val="24"/>
        </w:rPr>
        <w:t xml:space="preserve"> who wrote that </w:t>
      </w:r>
      <w:r w:rsidRPr="00B66473">
        <w:rPr>
          <w:rFonts w:asciiTheme="minorBidi" w:eastAsia="Arial" w:hAnsiTheme="minorBidi"/>
          <w:color w:val="252525"/>
          <w:sz w:val="24"/>
          <w:szCs w:val="24"/>
        </w:rPr>
        <w:t xml:space="preserve">The World Health Organisation have categorised FGM into four different types. The first type is clitoridectomy which results in the removal of the clitoris, the second type is excision which is the removal of the clitoris and the labia minora, the third type is infibulation which is when the labia minora and/or majora get repositioned (sometimes by stitching them together) and the fourth and final type is typology which includes all other procedures that cause harm to the female genitals without any medical reasoning. These procedures are a danger to the health of the women and young girls who are subjected to them. FGM procedures pose some serious physical, phycological and obstetric issues. </w:t>
      </w:r>
    </w:p>
    <w:p w14:paraId="494ED22D" w14:textId="77777777" w:rsidR="000F3159" w:rsidRPr="00B66473" w:rsidRDefault="000F3159" w:rsidP="00B66473">
      <w:pPr>
        <w:spacing w:line="480" w:lineRule="auto"/>
        <w:rPr>
          <w:rFonts w:asciiTheme="minorBidi" w:hAnsiTheme="minorBidi"/>
          <w:sz w:val="24"/>
          <w:szCs w:val="24"/>
        </w:rPr>
      </w:pPr>
    </w:p>
    <w:p w14:paraId="56856D03" w14:textId="2D4EC60F" w:rsidR="00AA5256" w:rsidRPr="00B66473" w:rsidRDefault="00AA5256"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HBA</w:t>
      </w:r>
    </w:p>
    <w:p w14:paraId="727C6DB8" w14:textId="078175E8" w:rsidR="00AA5256" w:rsidRDefault="00687924" w:rsidP="00B66473">
      <w:pPr>
        <w:spacing w:line="480" w:lineRule="auto"/>
        <w:rPr>
          <w:rFonts w:asciiTheme="minorBidi" w:hAnsiTheme="minorBidi"/>
          <w:sz w:val="24"/>
          <w:szCs w:val="24"/>
        </w:rPr>
      </w:pPr>
      <w:r w:rsidRPr="00B66473">
        <w:rPr>
          <w:rFonts w:asciiTheme="minorBidi" w:hAnsiTheme="minorBidi"/>
          <w:sz w:val="24"/>
          <w:szCs w:val="24"/>
        </w:rPr>
        <w:t xml:space="preserve">According to </w:t>
      </w:r>
      <w:r w:rsidRPr="00B66473">
        <w:rPr>
          <w:rFonts w:asciiTheme="minorBidi" w:hAnsiTheme="minorBidi"/>
          <w:sz w:val="24"/>
          <w:szCs w:val="24"/>
        </w:rPr>
        <w:t>Bhanbhro, Cronin de Chavez and Lusambili (2016)</w:t>
      </w:r>
      <w:r w:rsidRPr="00B66473">
        <w:rPr>
          <w:rFonts w:asciiTheme="minorBidi" w:hAnsiTheme="minorBidi"/>
          <w:sz w:val="24"/>
          <w:szCs w:val="24"/>
        </w:rPr>
        <w:t xml:space="preserve"> t</w:t>
      </w:r>
      <w:r w:rsidR="00AA5256" w:rsidRPr="00B66473">
        <w:rPr>
          <w:rFonts w:asciiTheme="minorBidi" w:hAnsiTheme="minorBidi"/>
          <w:sz w:val="24"/>
          <w:szCs w:val="24"/>
        </w:rPr>
        <w:t>he most extreme form of honour-based abuse can involve threats of violence or even death. Many victims, particularly women and girls, are threatened with "honour killings" if they do not comply with family expectations or if they are perceived to have brought shame upon the family.</w:t>
      </w:r>
      <w:r w:rsidR="00216820" w:rsidRPr="00B66473">
        <w:rPr>
          <w:rFonts w:asciiTheme="minorBidi" w:hAnsiTheme="minorBidi"/>
          <w:sz w:val="24"/>
          <w:szCs w:val="24"/>
        </w:rPr>
        <w:t xml:space="preserve"> </w:t>
      </w:r>
      <w:r w:rsidR="00F74FDE" w:rsidRPr="00B66473">
        <w:rPr>
          <w:rFonts w:asciiTheme="minorBidi" w:hAnsiTheme="minorBidi"/>
          <w:sz w:val="24"/>
          <w:szCs w:val="24"/>
        </w:rPr>
        <w:t>Unfortunately,</w:t>
      </w:r>
      <w:r w:rsidRPr="00B66473">
        <w:rPr>
          <w:rFonts w:asciiTheme="minorBidi" w:hAnsiTheme="minorBidi"/>
          <w:sz w:val="24"/>
          <w:szCs w:val="24"/>
        </w:rPr>
        <w:t xml:space="preserve"> t</w:t>
      </w:r>
      <w:r w:rsidR="00216820" w:rsidRPr="00B66473">
        <w:rPr>
          <w:rFonts w:asciiTheme="minorBidi" w:hAnsiTheme="minorBidi"/>
          <w:sz w:val="24"/>
          <w:szCs w:val="24"/>
        </w:rPr>
        <w:t>housands of w</w:t>
      </w:r>
      <w:r w:rsidR="00216820" w:rsidRPr="00B66473">
        <w:rPr>
          <w:rFonts w:asciiTheme="minorBidi" w:hAnsiTheme="minorBidi"/>
          <w:sz w:val="24"/>
          <w:szCs w:val="24"/>
        </w:rPr>
        <w:t>omen and girls worldwide are murdered each year in the name of so-called “honour</w:t>
      </w:r>
      <w:r w:rsidR="00B66473" w:rsidRPr="00B66473">
        <w:rPr>
          <w:rFonts w:asciiTheme="minorBidi" w:hAnsiTheme="minorBidi"/>
          <w:sz w:val="24"/>
          <w:szCs w:val="24"/>
        </w:rPr>
        <w:t>.”</w:t>
      </w:r>
      <w:r w:rsidR="00216820" w:rsidRPr="00B66473">
        <w:rPr>
          <w:rFonts w:asciiTheme="minorBidi" w:hAnsiTheme="minorBidi"/>
          <w:sz w:val="24"/>
          <w:szCs w:val="24"/>
        </w:rPr>
        <w:t xml:space="preserve"> </w:t>
      </w:r>
      <w:r w:rsidRPr="00B66473">
        <w:rPr>
          <w:rFonts w:asciiTheme="minorBidi" w:hAnsiTheme="minorBidi"/>
          <w:sz w:val="24"/>
          <w:szCs w:val="24"/>
        </w:rPr>
        <w:t xml:space="preserve">Obtaining data relating to HBA offences is often difficult as HBA offences are often underreported </w:t>
      </w:r>
      <w:r w:rsidR="00216820" w:rsidRPr="00B66473">
        <w:rPr>
          <w:rFonts w:asciiTheme="minorBidi" w:hAnsiTheme="minorBidi"/>
          <w:sz w:val="24"/>
          <w:szCs w:val="24"/>
        </w:rPr>
        <w:t>Reasons for this range from fear and unwillingness of victims to come forward inconsistency in recording HBV cases</w:t>
      </w:r>
      <w:r w:rsidR="00216820" w:rsidRPr="00B66473">
        <w:rPr>
          <w:rFonts w:asciiTheme="minorBidi" w:hAnsiTheme="minorBidi"/>
          <w:sz w:val="24"/>
          <w:szCs w:val="24"/>
        </w:rPr>
        <w:t xml:space="preserve"> </w:t>
      </w:r>
      <w:r w:rsidR="00216820" w:rsidRPr="00B66473">
        <w:rPr>
          <w:rFonts w:asciiTheme="minorBidi" w:hAnsiTheme="minorBidi"/>
          <w:sz w:val="24"/>
          <w:szCs w:val="24"/>
        </w:rPr>
        <w:t>and a lack of understanding among police forces on what HBV entails</w:t>
      </w:r>
      <w:r w:rsidRPr="00B66473">
        <w:rPr>
          <w:rFonts w:asciiTheme="minorBidi" w:hAnsiTheme="minorBidi"/>
          <w:sz w:val="24"/>
          <w:szCs w:val="24"/>
        </w:rPr>
        <w:t xml:space="preserve">. </w:t>
      </w:r>
      <w:r w:rsidRPr="00B66473">
        <w:rPr>
          <w:rFonts w:asciiTheme="minorBidi" w:hAnsiTheme="minorBidi"/>
          <w:sz w:val="24"/>
          <w:szCs w:val="24"/>
        </w:rPr>
        <w:t xml:space="preserve">Victims of </w:t>
      </w:r>
      <w:r w:rsidRPr="00B66473">
        <w:rPr>
          <w:rFonts w:asciiTheme="minorBidi" w:hAnsiTheme="minorBidi"/>
          <w:sz w:val="24"/>
          <w:szCs w:val="24"/>
        </w:rPr>
        <w:t>HBA</w:t>
      </w:r>
      <w:r w:rsidRPr="00B66473">
        <w:rPr>
          <w:rFonts w:asciiTheme="minorBidi" w:hAnsiTheme="minorBidi"/>
          <w:sz w:val="24"/>
          <w:szCs w:val="24"/>
        </w:rPr>
        <w:t xml:space="preserve"> are often coerced into conforming to family or community expectations, such as obeying strict gender roles, dressing conservatively, or adhering to marriage and relationship norms. The victim’s personal choices, including education, career, and romantic relationships, may be strictly controlled</w:t>
      </w:r>
      <w:r w:rsidR="00F74FDE" w:rsidRPr="00B66473">
        <w:rPr>
          <w:rFonts w:asciiTheme="minorBidi" w:hAnsiTheme="minorBidi"/>
          <w:sz w:val="24"/>
          <w:szCs w:val="24"/>
        </w:rPr>
        <w:t xml:space="preserve">. </w:t>
      </w:r>
      <w:r w:rsidRPr="00B66473">
        <w:rPr>
          <w:rFonts w:asciiTheme="minorBidi" w:hAnsiTheme="minorBidi"/>
          <w:sz w:val="24"/>
          <w:szCs w:val="24"/>
        </w:rPr>
        <w:t xml:space="preserve">HBA poses a threat to all women and girls and can exploit the victims fear for their </w:t>
      </w:r>
      <w:r w:rsidR="00AA5256" w:rsidRPr="00B66473">
        <w:rPr>
          <w:rFonts w:asciiTheme="minorBidi" w:hAnsiTheme="minorBidi"/>
          <w:sz w:val="24"/>
          <w:szCs w:val="24"/>
        </w:rPr>
        <w:t>safety</w:t>
      </w:r>
      <w:r w:rsidRPr="00B66473">
        <w:rPr>
          <w:rFonts w:asciiTheme="minorBidi" w:hAnsiTheme="minorBidi"/>
          <w:sz w:val="24"/>
          <w:szCs w:val="24"/>
        </w:rPr>
        <w:t>, life and their freedom of choice (</w:t>
      </w:r>
      <w:r w:rsidRPr="00B66473">
        <w:rPr>
          <w:rFonts w:asciiTheme="minorBidi" w:hAnsiTheme="minorBidi"/>
          <w:sz w:val="24"/>
          <w:szCs w:val="24"/>
        </w:rPr>
        <w:t>Bhanbhro, Cronin de Chavez and Lusambili</w:t>
      </w:r>
      <w:r w:rsidRPr="00B66473">
        <w:rPr>
          <w:rFonts w:asciiTheme="minorBidi" w:hAnsiTheme="minorBidi"/>
          <w:sz w:val="24"/>
          <w:szCs w:val="24"/>
        </w:rPr>
        <w:t xml:space="preserve">, </w:t>
      </w:r>
      <w:r w:rsidRPr="00B66473">
        <w:rPr>
          <w:rFonts w:asciiTheme="minorBidi" w:hAnsiTheme="minorBidi"/>
          <w:sz w:val="24"/>
          <w:szCs w:val="24"/>
        </w:rPr>
        <w:t>2016)</w:t>
      </w:r>
      <w:r w:rsidRPr="00B66473">
        <w:rPr>
          <w:rFonts w:asciiTheme="minorBidi" w:hAnsiTheme="minorBidi"/>
          <w:sz w:val="24"/>
          <w:szCs w:val="24"/>
        </w:rPr>
        <w:t xml:space="preserve">. </w:t>
      </w:r>
    </w:p>
    <w:p w14:paraId="5A57792E" w14:textId="77777777" w:rsidR="00B66473" w:rsidRPr="00B66473" w:rsidRDefault="00B66473" w:rsidP="00B66473">
      <w:pPr>
        <w:spacing w:line="480" w:lineRule="auto"/>
        <w:rPr>
          <w:rFonts w:asciiTheme="minorBidi" w:hAnsiTheme="minorBidi"/>
          <w:sz w:val="24"/>
          <w:szCs w:val="24"/>
        </w:rPr>
      </w:pPr>
    </w:p>
    <w:p w14:paraId="3DCB080C" w14:textId="76ADA926" w:rsidR="00927DFA" w:rsidRPr="00B66473" w:rsidRDefault="00927DFA"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 xml:space="preserve">Safeguarding measures </w:t>
      </w:r>
    </w:p>
    <w:p w14:paraId="1BCE710D" w14:textId="77777777" w:rsidR="00927DFA" w:rsidRPr="00B66473" w:rsidRDefault="00927DFA" w:rsidP="00B66473">
      <w:pPr>
        <w:spacing w:line="480" w:lineRule="auto"/>
        <w:rPr>
          <w:rFonts w:asciiTheme="minorBidi" w:hAnsiTheme="minorBidi"/>
          <w:sz w:val="24"/>
          <w:szCs w:val="24"/>
        </w:rPr>
      </w:pPr>
      <w:r w:rsidRPr="00B66473">
        <w:rPr>
          <w:rFonts w:asciiTheme="minorBidi" w:hAnsiTheme="minorBidi"/>
          <w:sz w:val="24"/>
          <w:szCs w:val="24"/>
        </w:rPr>
        <w:t>Safeguarding measures for victims of Female Genital Mutilation (FGM) are essential to protect their physical and psychological well-being, ensure access to appropriate care, and support them in rebuilding their lives</w:t>
      </w:r>
    </w:p>
    <w:p w14:paraId="59D3BBBD" w14:textId="35568B99" w:rsidR="00927DFA" w:rsidRPr="00B66473" w:rsidRDefault="00927DFA" w:rsidP="00B66473">
      <w:pPr>
        <w:spacing w:line="480" w:lineRule="auto"/>
        <w:rPr>
          <w:rFonts w:asciiTheme="minorBidi" w:hAnsiTheme="minorBidi"/>
          <w:sz w:val="24"/>
          <w:szCs w:val="24"/>
        </w:rPr>
      </w:pPr>
      <w:r w:rsidRPr="00B66473">
        <w:rPr>
          <w:rFonts w:asciiTheme="minorBidi" w:hAnsiTheme="minorBidi"/>
          <w:sz w:val="24"/>
          <w:szCs w:val="24"/>
        </w:rPr>
        <w:lastRenderedPageBreak/>
        <w:t xml:space="preserve">In 2015, a mandatory reporting duty came into force that requires health care professionals, teachers and social works to report to the police when they are informed by a girl (under 18) that an act of FGM has been carried out on her or if they see any physical signs which appear to show that </w:t>
      </w:r>
      <w:r w:rsidRPr="00B66473">
        <w:rPr>
          <w:rFonts w:asciiTheme="minorBidi" w:hAnsiTheme="minorBidi"/>
          <w:sz w:val="24"/>
          <w:szCs w:val="24"/>
        </w:rPr>
        <w:t>FGM</w:t>
      </w:r>
      <w:r w:rsidRPr="00B66473">
        <w:rPr>
          <w:rFonts w:asciiTheme="minorBidi" w:hAnsiTheme="minorBidi"/>
          <w:sz w:val="24"/>
          <w:szCs w:val="24"/>
        </w:rPr>
        <w:t xml:space="preserve"> has been carried out on girls under the age of 18</w:t>
      </w:r>
      <w:r w:rsidRPr="00B66473">
        <w:rPr>
          <w:rFonts w:asciiTheme="minorBidi" w:hAnsiTheme="minorBidi"/>
          <w:sz w:val="24"/>
          <w:szCs w:val="24"/>
        </w:rPr>
        <w:t xml:space="preserve"> </w:t>
      </w:r>
      <w:r w:rsidRPr="00B66473">
        <w:rPr>
          <w:rFonts w:asciiTheme="minorBidi" w:hAnsiTheme="minorBidi"/>
          <w:sz w:val="24"/>
          <w:szCs w:val="24"/>
        </w:rPr>
        <w:t xml:space="preserve">(Department of Health, 2016). </w:t>
      </w:r>
    </w:p>
    <w:p w14:paraId="2AD62E75" w14:textId="77777777" w:rsidR="00927DFA" w:rsidRPr="00B66473" w:rsidRDefault="00927DFA" w:rsidP="00B66473">
      <w:pPr>
        <w:spacing w:line="480" w:lineRule="auto"/>
        <w:rPr>
          <w:rFonts w:asciiTheme="minorBidi" w:hAnsiTheme="minorBidi"/>
          <w:sz w:val="24"/>
          <w:szCs w:val="24"/>
        </w:rPr>
      </w:pPr>
      <w:r w:rsidRPr="00B66473">
        <w:rPr>
          <w:rFonts w:asciiTheme="minorBidi" w:hAnsiTheme="minorBidi"/>
          <w:sz w:val="24"/>
          <w:szCs w:val="24"/>
        </w:rPr>
        <w:t>Another safeguarding measure is that Anyone (including children under 18) can apply for an FGM protection order for themselves or somebody else if they themselves are at risk or if they are aware of someone else who could be at risk. An FGM protection order can help to protect and safeguard victims and potential victims of FGM. They are granted by a court and could mean that the individual  at risk  could be ordered to surrender their passport to prevent their families from taking them abroad (Safe to Talk, 2015)</w:t>
      </w:r>
    </w:p>
    <w:p w14:paraId="10AF0C0D" w14:textId="77777777" w:rsidR="00927DFA" w:rsidRPr="00B66473" w:rsidRDefault="00927DFA" w:rsidP="00B66473">
      <w:pPr>
        <w:spacing w:line="480" w:lineRule="auto"/>
        <w:rPr>
          <w:rFonts w:asciiTheme="minorBidi" w:hAnsiTheme="minorBidi"/>
          <w:sz w:val="24"/>
          <w:szCs w:val="24"/>
        </w:rPr>
      </w:pPr>
      <w:r w:rsidRPr="00B66473">
        <w:rPr>
          <w:rFonts w:asciiTheme="minorBidi" w:hAnsiTheme="minorBidi"/>
          <w:sz w:val="24"/>
          <w:szCs w:val="24"/>
        </w:rPr>
        <w:t>Honour-Based Abuse involves controlling, coercive, or violent acts that are perpetrated against individuals—often women or girls—by family members or community members in the name of preserving or restoring family or community honour</w:t>
      </w:r>
    </w:p>
    <w:p w14:paraId="266E025A" w14:textId="33755296" w:rsidR="00927DFA" w:rsidRPr="00B66473" w:rsidRDefault="00927DFA" w:rsidP="00B66473">
      <w:pPr>
        <w:spacing w:line="480" w:lineRule="auto"/>
        <w:rPr>
          <w:rFonts w:asciiTheme="minorBidi" w:hAnsiTheme="minorBidi"/>
          <w:sz w:val="24"/>
          <w:szCs w:val="24"/>
        </w:rPr>
      </w:pPr>
      <w:r w:rsidRPr="00B66473">
        <w:rPr>
          <w:rFonts w:asciiTheme="minorBidi" w:hAnsiTheme="minorBidi"/>
          <w:sz w:val="24"/>
          <w:szCs w:val="24"/>
        </w:rPr>
        <w:t xml:space="preserve">Unfortunately there wasn’t much literature surrounding HBA safeguarding measures </w:t>
      </w:r>
      <w:r w:rsidR="00937AA5" w:rsidRPr="00B66473">
        <w:rPr>
          <w:rFonts w:asciiTheme="minorBidi" w:hAnsiTheme="minorBidi"/>
          <w:sz w:val="24"/>
          <w:szCs w:val="24"/>
        </w:rPr>
        <w:t xml:space="preserve">but here are some thoughts on safeguarding measures that should be in place to help support and protect victims of HBA </w:t>
      </w:r>
      <w:r w:rsidRPr="00B66473">
        <w:rPr>
          <w:rFonts w:asciiTheme="minorBidi" w:hAnsiTheme="minorBidi"/>
          <w:sz w:val="24"/>
          <w:szCs w:val="24"/>
        </w:rPr>
        <w:t xml:space="preserve">The first one is that authorities should conduct a risk assessment of </w:t>
      </w:r>
      <w:r w:rsidR="00937AA5" w:rsidRPr="00B66473">
        <w:rPr>
          <w:rFonts w:asciiTheme="minorBidi" w:hAnsiTheme="minorBidi"/>
          <w:sz w:val="24"/>
          <w:szCs w:val="24"/>
        </w:rPr>
        <w:t xml:space="preserve">HBA </w:t>
      </w:r>
      <w:r w:rsidRPr="00B66473">
        <w:rPr>
          <w:rFonts w:asciiTheme="minorBidi" w:hAnsiTheme="minorBidi"/>
          <w:sz w:val="24"/>
          <w:szCs w:val="24"/>
        </w:rPr>
        <w:t xml:space="preserve">for individuals who are at risk and should help the individual at risk to get protective orders such as a restraining order to keep them safe. </w:t>
      </w:r>
    </w:p>
    <w:p w14:paraId="655CEFF0" w14:textId="77777777" w:rsidR="00927DFA" w:rsidRPr="00B66473" w:rsidRDefault="00927DFA" w:rsidP="00B66473">
      <w:pPr>
        <w:spacing w:line="480" w:lineRule="auto"/>
        <w:rPr>
          <w:rFonts w:asciiTheme="minorBidi" w:hAnsiTheme="minorBidi"/>
          <w:sz w:val="24"/>
          <w:szCs w:val="24"/>
        </w:rPr>
      </w:pPr>
      <w:r w:rsidRPr="00B66473">
        <w:rPr>
          <w:rFonts w:asciiTheme="minorBidi" w:hAnsiTheme="minorBidi"/>
          <w:sz w:val="24"/>
          <w:szCs w:val="24"/>
        </w:rPr>
        <w:t xml:space="preserve">Another measure that should be in place is that Social workers, healthcare professionals, educators, and law enforcement report suspected cases of HBA or </w:t>
      </w:r>
      <w:r w:rsidRPr="00B66473">
        <w:rPr>
          <w:rFonts w:asciiTheme="minorBidi" w:hAnsiTheme="minorBidi"/>
          <w:sz w:val="24"/>
          <w:szCs w:val="24"/>
        </w:rPr>
        <w:lastRenderedPageBreak/>
        <w:t>potential risk, especially if they have concerns about forced marriage or violence and that way they may be able to stop any violence or honour killings from happening.</w:t>
      </w:r>
    </w:p>
    <w:p w14:paraId="1208A4B8" w14:textId="77777777" w:rsidR="000F3159" w:rsidRPr="00B66473" w:rsidRDefault="000F3159" w:rsidP="00B66473">
      <w:pPr>
        <w:spacing w:line="480" w:lineRule="auto"/>
        <w:rPr>
          <w:rFonts w:asciiTheme="minorBidi" w:hAnsiTheme="minorBidi"/>
          <w:b/>
          <w:bCs/>
          <w:sz w:val="24"/>
          <w:szCs w:val="24"/>
        </w:rPr>
      </w:pPr>
    </w:p>
    <w:p w14:paraId="5809D853" w14:textId="77777777" w:rsidR="000F3159" w:rsidRPr="00B66473" w:rsidRDefault="000F3159" w:rsidP="00B66473">
      <w:pPr>
        <w:spacing w:line="480" w:lineRule="auto"/>
        <w:rPr>
          <w:rFonts w:asciiTheme="minorBidi" w:hAnsiTheme="minorBidi"/>
          <w:sz w:val="24"/>
          <w:szCs w:val="24"/>
        </w:rPr>
      </w:pPr>
    </w:p>
    <w:p w14:paraId="4081FDE9" w14:textId="67B28F23" w:rsidR="000F3159" w:rsidRPr="00B66473" w:rsidRDefault="000F3159" w:rsidP="00B66473">
      <w:pPr>
        <w:pStyle w:val="Heading2"/>
        <w:spacing w:line="480" w:lineRule="auto"/>
        <w:rPr>
          <w:rFonts w:asciiTheme="minorBidi" w:hAnsiTheme="minorBidi" w:cstheme="minorBidi"/>
          <w:sz w:val="24"/>
          <w:szCs w:val="24"/>
        </w:rPr>
      </w:pPr>
      <w:r w:rsidRPr="00B66473">
        <w:rPr>
          <w:rFonts w:asciiTheme="minorBidi" w:hAnsiTheme="minorBidi" w:cstheme="minorBidi"/>
          <w:sz w:val="24"/>
          <w:szCs w:val="24"/>
        </w:rPr>
        <w:t xml:space="preserve">Conclusion </w:t>
      </w:r>
    </w:p>
    <w:p w14:paraId="72A8D707" w14:textId="643CCC0C" w:rsidR="000F3159" w:rsidRPr="00B66473" w:rsidRDefault="000F3159" w:rsidP="00B66473">
      <w:pPr>
        <w:spacing w:line="480" w:lineRule="auto"/>
        <w:rPr>
          <w:rFonts w:asciiTheme="minorBidi" w:hAnsiTheme="minorBidi"/>
          <w:sz w:val="24"/>
          <w:szCs w:val="24"/>
        </w:rPr>
      </w:pPr>
      <w:r w:rsidRPr="00B66473">
        <w:rPr>
          <w:rFonts w:asciiTheme="minorBidi" w:hAnsiTheme="minorBidi"/>
          <w:sz w:val="24"/>
          <w:szCs w:val="24"/>
        </w:rPr>
        <w:t xml:space="preserve">In conclusion, both Female Genital Mutilation (FGM) and Honor-Based Abuse (HBA) are deeply rooted in harmful cultural practices that violate the fundamental human rights of individuals, particularly women and girls. Over the past two decades, there has been </w:t>
      </w:r>
      <w:r w:rsidR="00B66473" w:rsidRPr="00B66473">
        <w:rPr>
          <w:rFonts w:asciiTheme="minorBidi" w:hAnsiTheme="minorBidi"/>
          <w:sz w:val="24"/>
          <w:szCs w:val="24"/>
        </w:rPr>
        <w:t>considerable progress</w:t>
      </w:r>
      <w:r w:rsidRPr="00B66473">
        <w:rPr>
          <w:rFonts w:asciiTheme="minorBidi" w:hAnsiTheme="minorBidi"/>
          <w:sz w:val="24"/>
          <w:szCs w:val="24"/>
        </w:rPr>
        <w:t xml:space="preserve"> in raising awareness, enacting legal reforms, and improving support systems for survivors. Moving forward, it is crucial to strengthen international cooperation, enhance community engagement, and continue to challenge harmful societal norms that prolong FGM and HBA. By working together at local, national, and global levels, we can create a future where the rights and dignity of all individuals are respected and protected, free from the violence of FGM and honour-based abuse.</w:t>
      </w:r>
    </w:p>
    <w:p w14:paraId="77D92A68" w14:textId="7D5A349F" w:rsidR="000F3159" w:rsidRPr="00B66473" w:rsidRDefault="000F3159" w:rsidP="00F74FDE">
      <w:pPr>
        <w:rPr>
          <w:rFonts w:asciiTheme="minorBidi" w:hAnsiTheme="minorBidi"/>
          <w:sz w:val="24"/>
          <w:szCs w:val="24"/>
        </w:rPr>
      </w:pPr>
    </w:p>
    <w:p w14:paraId="39F149F3" w14:textId="77777777" w:rsidR="00B17D8E" w:rsidRPr="00B66473" w:rsidRDefault="00B17D8E" w:rsidP="00B17D8E">
      <w:pPr>
        <w:pStyle w:val="Heading2"/>
        <w:rPr>
          <w:rFonts w:asciiTheme="minorBidi" w:hAnsiTheme="minorBidi" w:cstheme="minorBidi"/>
          <w:sz w:val="24"/>
          <w:szCs w:val="24"/>
        </w:rPr>
      </w:pPr>
      <w:r w:rsidRPr="00B66473">
        <w:rPr>
          <w:rFonts w:asciiTheme="minorBidi" w:hAnsiTheme="minorBidi" w:cstheme="minorBidi"/>
          <w:sz w:val="24"/>
          <w:szCs w:val="24"/>
        </w:rPr>
        <w:t>Reference list</w:t>
      </w:r>
    </w:p>
    <w:p w14:paraId="78AEC238" w14:textId="77777777"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Berer, M. (2015). The history and role of the criminal law in anti-FGM campaigns: Is the criminal law what is needed, at least in countries like Great Britain? </w:t>
      </w:r>
      <w:r w:rsidRPr="00B17D8E">
        <w:rPr>
          <w:rFonts w:asciiTheme="minorBidi" w:hAnsiTheme="minorBidi"/>
          <w:i/>
          <w:iCs/>
          <w:sz w:val="24"/>
          <w:szCs w:val="24"/>
        </w:rPr>
        <w:t>Reproductive Health Matters</w:t>
      </w:r>
      <w:r w:rsidRPr="00B17D8E">
        <w:rPr>
          <w:rFonts w:asciiTheme="minorBidi" w:hAnsiTheme="minorBidi"/>
          <w:sz w:val="24"/>
          <w:szCs w:val="24"/>
        </w:rPr>
        <w:t>, 23(46), pp.145–157. doi:https://doi.org/10.1016/j.rhm.2015.10.001.</w:t>
      </w:r>
    </w:p>
    <w:p w14:paraId="635DE177" w14:textId="77777777" w:rsidR="00B17D8E" w:rsidRPr="00B17D8E" w:rsidRDefault="00B17D8E" w:rsidP="00B17D8E">
      <w:pPr>
        <w:rPr>
          <w:rFonts w:asciiTheme="minorBidi" w:hAnsiTheme="minorBidi"/>
          <w:sz w:val="24"/>
          <w:szCs w:val="24"/>
        </w:rPr>
      </w:pPr>
      <w:r w:rsidRPr="00B17D8E">
        <w:rPr>
          <w:rFonts w:asciiTheme="minorBidi" w:hAnsiTheme="minorBidi"/>
          <w:sz w:val="24"/>
          <w:szCs w:val="24"/>
          <w:lang w:val="pt-PT"/>
        </w:rPr>
        <w:t xml:space="preserve">Bhanbhro, S., Cronin de Chavez, A. and Lusambili, A. (2016). </w:t>
      </w:r>
      <w:r w:rsidRPr="00B17D8E">
        <w:rPr>
          <w:rFonts w:asciiTheme="minorBidi" w:hAnsiTheme="minorBidi"/>
          <w:sz w:val="24"/>
          <w:szCs w:val="24"/>
        </w:rPr>
        <w:t xml:space="preserve">Honour based violence as a global public health problem: a critical review of literature. </w:t>
      </w:r>
      <w:r w:rsidRPr="00B17D8E">
        <w:rPr>
          <w:rFonts w:asciiTheme="minorBidi" w:hAnsiTheme="minorBidi"/>
          <w:i/>
          <w:iCs/>
          <w:sz w:val="24"/>
          <w:szCs w:val="24"/>
        </w:rPr>
        <w:t>International Journal of Human Rights in Healthcare</w:t>
      </w:r>
      <w:r w:rsidRPr="00B17D8E">
        <w:rPr>
          <w:rFonts w:asciiTheme="minorBidi" w:hAnsiTheme="minorBidi"/>
          <w:sz w:val="24"/>
          <w:szCs w:val="24"/>
        </w:rPr>
        <w:t>, [online] 9(3), pp.198–215. doi:https://doi.org/10.1108/ijhrh-10-2015-0032.</w:t>
      </w:r>
    </w:p>
    <w:p w14:paraId="239F8DA4" w14:textId="4E84F359"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CPS (2019). </w:t>
      </w:r>
      <w:r w:rsidRPr="00B17D8E">
        <w:rPr>
          <w:rFonts w:asciiTheme="minorBidi" w:hAnsiTheme="minorBidi"/>
          <w:i/>
          <w:iCs/>
          <w:sz w:val="24"/>
          <w:szCs w:val="24"/>
        </w:rPr>
        <w:t>So-Called Honour-Based Abuse and Forced Marriage: Guidance on Identifying and Flagging cases | The Crown Prosecution Service</w:t>
      </w:r>
      <w:r w:rsidRPr="00B17D8E">
        <w:rPr>
          <w:rFonts w:asciiTheme="minorBidi" w:hAnsiTheme="minorBidi"/>
          <w:sz w:val="24"/>
          <w:szCs w:val="24"/>
        </w:rPr>
        <w:t xml:space="preserve">. [online] Cps.gov.uk. Available at: https://www.cps.gov.uk/legal-guidance/so-called-honour-based-abuse-and-forced-marriage-guidance-identifying-and-flagging [Accessed 3 </w:t>
      </w:r>
      <w:r w:rsidR="00F74FDE" w:rsidRPr="00B66473">
        <w:rPr>
          <w:rFonts w:asciiTheme="minorBidi" w:hAnsiTheme="minorBidi"/>
          <w:sz w:val="24"/>
          <w:szCs w:val="24"/>
        </w:rPr>
        <w:t>October</w:t>
      </w:r>
      <w:r w:rsidRPr="00B17D8E">
        <w:rPr>
          <w:rFonts w:asciiTheme="minorBidi" w:hAnsiTheme="minorBidi"/>
          <w:sz w:val="24"/>
          <w:szCs w:val="24"/>
        </w:rPr>
        <w:t xml:space="preserve"> 2024].</w:t>
      </w:r>
    </w:p>
    <w:p w14:paraId="3B098646" w14:textId="53108705" w:rsidR="00B17D8E" w:rsidRPr="00B66473" w:rsidRDefault="00B17D8E" w:rsidP="00B17D8E">
      <w:pPr>
        <w:rPr>
          <w:rFonts w:asciiTheme="minorBidi" w:hAnsiTheme="minorBidi"/>
          <w:sz w:val="24"/>
          <w:szCs w:val="24"/>
        </w:rPr>
      </w:pPr>
      <w:r w:rsidRPr="00B17D8E">
        <w:rPr>
          <w:rFonts w:asciiTheme="minorBidi" w:hAnsiTheme="minorBidi"/>
          <w:sz w:val="24"/>
          <w:szCs w:val="24"/>
        </w:rPr>
        <w:lastRenderedPageBreak/>
        <w:t xml:space="preserve">Department of Health (2016). </w:t>
      </w:r>
      <w:r w:rsidRPr="00B17D8E">
        <w:rPr>
          <w:rFonts w:asciiTheme="minorBidi" w:hAnsiTheme="minorBidi"/>
          <w:i/>
          <w:iCs/>
          <w:sz w:val="24"/>
          <w:szCs w:val="24"/>
        </w:rPr>
        <w:t>Female Genital Mutilation Risk and Safeguarding Guidance for professionals</w:t>
      </w:r>
      <w:r w:rsidRPr="00B17D8E">
        <w:rPr>
          <w:rFonts w:asciiTheme="minorBidi" w:hAnsiTheme="minorBidi"/>
          <w:sz w:val="24"/>
          <w:szCs w:val="24"/>
        </w:rPr>
        <w:t xml:space="preserve">. [online] Available at: https://assets.publishing.service.gov.uk/media/5a8041f3ed915d74e622d655/FGM_safeguarding_report_A.pdf [Accessed 13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04BF8636" w14:textId="49B5B8AA" w:rsidR="00F74FDE" w:rsidRPr="00B17D8E" w:rsidRDefault="00F74FDE" w:rsidP="00F74FDE">
      <w:pPr>
        <w:rPr>
          <w:rFonts w:asciiTheme="minorBidi" w:hAnsiTheme="minorBidi"/>
          <w:sz w:val="24"/>
          <w:szCs w:val="24"/>
        </w:rPr>
      </w:pPr>
      <w:r w:rsidRPr="00B66473">
        <w:rPr>
          <w:rFonts w:asciiTheme="minorBidi" w:hAnsiTheme="minorBidi"/>
          <w:sz w:val="24"/>
          <w:szCs w:val="24"/>
        </w:rPr>
        <w:t xml:space="preserve">Female Genital Mutilation Act 2003, C31 (UK) Available at: </w:t>
      </w:r>
      <w:hyperlink r:id="rId8" w:history="1">
        <w:r w:rsidRPr="00B66473">
          <w:rPr>
            <w:rStyle w:val="Hyperlink"/>
            <w:rFonts w:asciiTheme="minorBidi" w:hAnsiTheme="minorBidi"/>
            <w:sz w:val="24"/>
            <w:szCs w:val="24"/>
          </w:rPr>
          <w:t>https://www.legislation.gov.uk/ukpga/2003/31/contents</w:t>
        </w:r>
      </w:hyperlink>
      <w:r w:rsidRPr="00B66473">
        <w:rPr>
          <w:rFonts w:asciiTheme="minorBidi" w:hAnsiTheme="minorBidi"/>
          <w:sz w:val="24"/>
          <w:szCs w:val="24"/>
        </w:rPr>
        <w:t xml:space="preserve"> [Accessed 6th December 2024]</w:t>
      </w:r>
    </w:p>
    <w:p w14:paraId="77710005" w14:textId="2387F51E"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Home Office (2023). </w:t>
      </w:r>
      <w:r w:rsidRPr="00B17D8E">
        <w:rPr>
          <w:rFonts w:asciiTheme="minorBidi" w:hAnsiTheme="minorBidi"/>
          <w:i/>
          <w:iCs/>
          <w:sz w:val="24"/>
          <w:szCs w:val="24"/>
        </w:rPr>
        <w:t>Statistics on so called ‘honour-based’ abuse offences, England and Wales, 2022 to 2023</w:t>
      </w:r>
      <w:r w:rsidRPr="00B17D8E">
        <w:rPr>
          <w:rFonts w:asciiTheme="minorBidi" w:hAnsiTheme="minorBidi"/>
          <w:sz w:val="24"/>
          <w:szCs w:val="24"/>
        </w:rPr>
        <w:t xml:space="preserve">. [online] GOV.UK. Available at: https://www.gov.uk/government/statistics/so-called-honour-based-abuse-offences-2022-to-2023/5117ed88-dd93-4f1c-a7b9-ce3e26006846 [Accessed 8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451AC2CB" w14:textId="44C06D5F"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Home Office (2024). </w:t>
      </w:r>
      <w:r w:rsidRPr="00B17D8E">
        <w:rPr>
          <w:rFonts w:asciiTheme="minorBidi" w:hAnsiTheme="minorBidi"/>
          <w:i/>
          <w:iCs/>
          <w:sz w:val="24"/>
          <w:szCs w:val="24"/>
        </w:rPr>
        <w:t>Statistics on so called ‘honour-based’ abuse offences, England and Wales, year ending March 2024</w:t>
      </w:r>
      <w:r w:rsidRPr="00B17D8E">
        <w:rPr>
          <w:rFonts w:asciiTheme="minorBidi" w:hAnsiTheme="minorBidi"/>
          <w:sz w:val="24"/>
          <w:szCs w:val="24"/>
        </w:rPr>
        <w:t xml:space="preserve">. [online] GOV.UK. Available at: https://www.gov.uk/government/statistics/so-called-honour-based-abuse-offences-year-ending-march-2024/statistics-on-so-called-honour-based-abuse-offences-england-and-wales-year-ending-march-2024 [Accessed 7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2EAFACB4" w14:textId="573FE338"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Hull, J. and Hibbert, S. (2023). </w:t>
      </w:r>
      <w:r w:rsidRPr="00B17D8E">
        <w:rPr>
          <w:rFonts w:asciiTheme="minorBidi" w:hAnsiTheme="minorBidi"/>
          <w:i/>
          <w:iCs/>
          <w:sz w:val="24"/>
          <w:szCs w:val="24"/>
        </w:rPr>
        <w:t>Honour-Based Abuse: why it must become a priority</w:t>
      </w:r>
      <w:r w:rsidRPr="00B17D8E">
        <w:rPr>
          <w:rFonts w:asciiTheme="minorBidi" w:hAnsiTheme="minorBidi"/>
          <w:sz w:val="24"/>
          <w:szCs w:val="24"/>
        </w:rPr>
        <w:t xml:space="preserve">. [online] Crest Site Official. Available at: https://www.crestadvisory.com/post/honour-based-abuse-why-it-must-become-a-priority [Accessed 8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24814FC2" w14:textId="65F8B966"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Ontiveros, E. (2019). What is FGM, where does it happen and why? </w:t>
      </w:r>
      <w:r w:rsidRPr="00B17D8E">
        <w:rPr>
          <w:rFonts w:asciiTheme="minorBidi" w:hAnsiTheme="minorBidi"/>
          <w:i/>
          <w:iCs/>
          <w:sz w:val="24"/>
          <w:szCs w:val="24"/>
        </w:rPr>
        <w:t>BBC News</w:t>
      </w:r>
      <w:r w:rsidRPr="00B17D8E">
        <w:rPr>
          <w:rFonts w:asciiTheme="minorBidi" w:hAnsiTheme="minorBidi"/>
          <w:sz w:val="24"/>
          <w:szCs w:val="24"/>
        </w:rPr>
        <w:t xml:space="preserve">. [online] 6 Feb. Available at: https://www.bbc.co.uk/news/world-47131052 [Accessed 8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0FDD7B34" w14:textId="77777777" w:rsidR="00B17D8E" w:rsidRPr="00B17D8E" w:rsidRDefault="00B17D8E" w:rsidP="00B17D8E">
      <w:pPr>
        <w:rPr>
          <w:rFonts w:asciiTheme="minorBidi" w:hAnsiTheme="minorBidi"/>
          <w:sz w:val="24"/>
          <w:szCs w:val="24"/>
        </w:rPr>
      </w:pPr>
      <w:r w:rsidRPr="00B17D8E">
        <w:rPr>
          <w:rFonts w:asciiTheme="minorBidi" w:hAnsiTheme="minorBidi"/>
          <w:sz w:val="24"/>
          <w:szCs w:val="24"/>
          <w:lang w:val="es-ES"/>
        </w:rPr>
        <w:t xml:space="preserve">Pastor-Bravo, M. del M., Almansa-Martínez, P. and Jiménez-Ruiz, I. (2020). </w:t>
      </w:r>
      <w:r w:rsidRPr="00B17D8E">
        <w:rPr>
          <w:rFonts w:asciiTheme="minorBidi" w:hAnsiTheme="minorBidi"/>
          <w:sz w:val="24"/>
          <w:szCs w:val="24"/>
        </w:rPr>
        <w:t xml:space="preserve">Postmigratory Perceptions of Female Genital Mutilation: Qualitative Life History Research. </w:t>
      </w:r>
      <w:r w:rsidRPr="00B17D8E">
        <w:rPr>
          <w:rFonts w:asciiTheme="minorBidi" w:hAnsiTheme="minorBidi"/>
          <w:i/>
          <w:iCs/>
          <w:sz w:val="24"/>
          <w:szCs w:val="24"/>
        </w:rPr>
        <w:t>Journal of Transcultural Nursing</w:t>
      </w:r>
      <w:r w:rsidRPr="00B17D8E">
        <w:rPr>
          <w:rFonts w:asciiTheme="minorBidi" w:hAnsiTheme="minorBidi"/>
          <w:sz w:val="24"/>
          <w:szCs w:val="24"/>
        </w:rPr>
        <w:t>, 32(5), p.104365962096257. doi:https://doi.org/10.1177/1043659620962570.</w:t>
      </w:r>
    </w:p>
    <w:p w14:paraId="3ECC366F" w14:textId="09327D0A"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Public Health England (2021). </w:t>
      </w:r>
      <w:r w:rsidRPr="00B17D8E">
        <w:rPr>
          <w:rFonts w:asciiTheme="minorBidi" w:hAnsiTheme="minorBidi"/>
          <w:i/>
          <w:iCs/>
          <w:sz w:val="24"/>
          <w:szCs w:val="24"/>
        </w:rPr>
        <w:t>Female genital mutilation (FGM): migrant health guide</w:t>
      </w:r>
      <w:r w:rsidRPr="00B17D8E">
        <w:rPr>
          <w:rFonts w:asciiTheme="minorBidi" w:hAnsiTheme="minorBidi"/>
          <w:sz w:val="24"/>
          <w:szCs w:val="24"/>
        </w:rPr>
        <w:t xml:space="preserve">. [online] GOV.UK. Available at: https://www.gov.uk/guidance/female-genital-mutilation-fgm-migrant-health-guide [Accessed 7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3B51112C" w14:textId="4CB5BCBD"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Reisel, D. and Creighton, Sarah.M. (2015). Long term health consequences of Female Genital Mutilation (FGM). </w:t>
      </w:r>
      <w:r w:rsidRPr="00B17D8E">
        <w:rPr>
          <w:rFonts w:asciiTheme="minorBidi" w:hAnsiTheme="minorBidi"/>
          <w:i/>
          <w:iCs/>
          <w:sz w:val="24"/>
          <w:szCs w:val="24"/>
        </w:rPr>
        <w:t>Maturitas</w:t>
      </w:r>
      <w:r w:rsidRPr="00B17D8E">
        <w:rPr>
          <w:rFonts w:asciiTheme="minorBidi" w:hAnsiTheme="minorBidi"/>
          <w:sz w:val="24"/>
          <w:szCs w:val="24"/>
        </w:rPr>
        <w:t>, 80(1), pp.48–51.</w:t>
      </w:r>
      <w:r w:rsidRPr="00B66473">
        <w:rPr>
          <w:rFonts w:asciiTheme="minorBidi" w:hAnsiTheme="minorBidi"/>
          <w:sz w:val="24"/>
          <w:szCs w:val="24"/>
        </w:rPr>
        <w:t xml:space="preserve"> </w:t>
      </w:r>
      <w:r w:rsidRPr="00B17D8E">
        <w:rPr>
          <w:rFonts w:asciiTheme="minorBidi" w:hAnsiTheme="minorBidi"/>
          <w:sz w:val="24"/>
          <w:szCs w:val="24"/>
        </w:rPr>
        <w:t>doi:https://doi.org/10.1016/j.maturitas.2014.10.009.</w:t>
      </w:r>
    </w:p>
    <w:p w14:paraId="300C9E73" w14:textId="29434CDA"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Safe to Talk (2015). </w:t>
      </w:r>
      <w:r w:rsidRPr="00B17D8E">
        <w:rPr>
          <w:rFonts w:asciiTheme="minorBidi" w:hAnsiTheme="minorBidi"/>
          <w:i/>
          <w:iCs/>
          <w:sz w:val="24"/>
          <w:szCs w:val="24"/>
        </w:rPr>
        <w:t xml:space="preserve">Female Genital Mutilation (FGM) </w:t>
      </w:r>
      <w:r w:rsidRPr="00B17D8E">
        <w:rPr>
          <w:rFonts w:asciiTheme="minorBidi" w:hAnsiTheme="minorBidi"/>
          <w:sz w:val="24"/>
          <w:szCs w:val="24"/>
        </w:rPr>
        <w:t xml:space="preserve">. [online] Safe to Talk. Available at: https://www.safetotalk.org.uk/female-genital-mutilation-fgm/female-genital-mutilation-fgm-1/7 [Accessed 8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6F2776F8" w14:textId="77777777"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Toubia, N.F. and Sharief, E.H. (2003). Female genital mutilation: have we made progress? </w:t>
      </w:r>
      <w:r w:rsidRPr="00B17D8E">
        <w:rPr>
          <w:rFonts w:asciiTheme="minorBidi" w:hAnsiTheme="minorBidi"/>
          <w:i/>
          <w:iCs/>
          <w:sz w:val="24"/>
          <w:szCs w:val="24"/>
        </w:rPr>
        <w:t>International Journal of Gynecology &amp; Obstetrics</w:t>
      </w:r>
      <w:r w:rsidRPr="00B17D8E">
        <w:rPr>
          <w:rFonts w:asciiTheme="minorBidi" w:hAnsiTheme="minorBidi"/>
          <w:sz w:val="24"/>
          <w:szCs w:val="24"/>
        </w:rPr>
        <w:t>, 82(3), pp.251–261. doi:https://doi.org/10.1016/s0020-7292(03)00229-7.</w:t>
      </w:r>
    </w:p>
    <w:p w14:paraId="580BF616" w14:textId="77777777" w:rsidR="00B17D8E" w:rsidRPr="00B17D8E" w:rsidRDefault="00B17D8E" w:rsidP="00B17D8E">
      <w:pPr>
        <w:rPr>
          <w:rFonts w:asciiTheme="minorBidi" w:hAnsiTheme="minorBidi"/>
          <w:sz w:val="24"/>
          <w:szCs w:val="24"/>
        </w:rPr>
      </w:pPr>
      <w:r w:rsidRPr="00B17D8E">
        <w:rPr>
          <w:rFonts w:asciiTheme="minorBidi" w:hAnsiTheme="minorBidi"/>
          <w:sz w:val="24"/>
          <w:szCs w:val="24"/>
        </w:rPr>
        <w:lastRenderedPageBreak/>
        <w:t xml:space="preserve">UNICEF (2024). </w:t>
      </w:r>
      <w:r w:rsidRPr="00B17D8E">
        <w:rPr>
          <w:rFonts w:asciiTheme="minorBidi" w:hAnsiTheme="minorBidi"/>
          <w:i/>
          <w:iCs/>
          <w:sz w:val="24"/>
          <w:szCs w:val="24"/>
        </w:rPr>
        <w:t>Female Genital Mutilation</w:t>
      </w:r>
      <w:r w:rsidRPr="00B17D8E">
        <w:rPr>
          <w:rFonts w:asciiTheme="minorBidi" w:hAnsiTheme="minorBidi"/>
          <w:sz w:val="24"/>
          <w:szCs w:val="24"/>
        </w:rPr>
        <w:t>. [online] UNICEF Data. Available at: https://data.unicef.org/topic/child-protection/female-genital-mutilation/ [Accessed 7 Dec. 2024].</w:t>
      </w:r>
    </w:p>
    <w:p w14:paraId="2020A8F4" w14:textId="0F421A0C" w:rsidR="00B17D8E" w:rsidRPr="00B17D8E" w:rsidRDefault="00B17D8E" w:rsidP="00B17D8E">
      <w:pPr>
        <w:rPr>
          <w:rFonts w:asciiTheme="minorBidi" w:hAnsiTheme="minorBidi"/>
          <w:sz w:val="24"/>
          <w:szCs w:val="24"/>
        </w:rPr>
      </w:pPr>
      <w:r w:rsidRPr="00B17D8E">
        <w:rPr>
          <w:rFonts w:asciiTheme="minorBidi" w:hAnsiTheme="minorBidi"/>
          <w:sz w:val="24"/>
          <w:szCs w:val="24"/>
        </w:rPr>
        <w:t xml:space="preserve">World Health Organization (2024). </w:t>
      </w:r>
      <w:r w:rsidRPr="00B17D8E">
        <w:rPr>
          <w:rFonts w:asciiTheme="minorBidi" w:hAnsiTheme="minorBidi"/>
          <w:i/>
          <w:iCs/>
          <w:sz w:val="24"/>
          <w:szCs w:val="24"/>
        </w:rPr>
        <w:t>Female Genital Mutilation</w:t>
      </w:r>
      <w:r w:rsidRPr="00B17D8E">
        <w:rPr>
          <w:rFonts w:asciiTheme="minorBidi" w:hAnsiTheme="minorBidi"/>
          <w:sz w:val="24"/>
          <w:szCs w:val="24"/>
        </w:rPr>
        <w:t xml:space="preserve">. [online] World Health Organization. Available at: https://www.who.int/news-room/fact-sheets/detail/female-genital-mutilation [Accessed 6 </w:t>
      </w:r>
      <w:r w:rsidR="00F74FDE" w:rsidRPr="00B66473">
        <w:rPr>
          <w:rFonts w:asciiTheme="minorBidi" w:hAnsiTheme="minorBidi"/>
          <w:sz w:val="24"/>
          <w:szCs w:val="24"/>
        </w:rPr>
        <w:t>December</w:t>
      </w:r>
      <w:r w:rsidRPr="00B17D8E">
        <w:rPr>
          <w:rFonts w:asciiTheme="minorBidi" w:hAnsiTheme="minorBidi"/>
          <w:sz w:val="24"/>
          <w:szCs w:val="24"/>
        </w:rPr>
        <w:t xml:space="preserve"> 2024].</w:t>
      </w:r>
    </w:p>
    <w:p w14:paraId="316790C1" w14:textId="77777777" w:rsidR="00B17D8E" w:rsidRPr="00B66473" w:rsidRDefault="00B17D8E" w:rsidP="000F3159">
      <w:pPr>
        <w:rPr>
          <w:rFonts w:asciiTheme="minorBidi" w:hAnsiTheme="minorBidi"/>
          <w:sz w:val="24"/>
          <w:szCs w:val="24"/>
        </w:rPr>
      </w:pPr>
    </w:p>
    <w:p w14:paraId="304B4A9F" w14:textId="440BC0D7" w:rsidR="00B17D8E" w:rsidRPr="00B66473" w:rsidRDefault="00B17D8E" w:rsidP="000F3159">
      <w:pPr>
        <w:rPr>
          <w:rFonts w:asciiTheme="minorBidi" w:hAnsiTheme="minorBidi"/>
          <w:sz w:val="24"/>
          <w:szCs w:val="24"/>
        </w:rPr>
      </w:pPr>
    </w:p>
    <w:sectPr w:rsidR="00B17D8E" w:rsidRPr="00B66473" w:rsidSect="006879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B225B6"/>
    <w:multiLevelType w:val="multilevel"/>
    <w:tmpl w:val="C8CE40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5B5CDD"/>
    <w:multiLevelType w:val="hybridMultilevel"/>
    <w:tmpl w:val="0C32471C"/>
    <w:lvl w:ilvl="0" w:tplc="466E638A">
      <w:numFmt w:val="bullet"/>
      <w:lvlText w:val="-"/>
      <w:lvlJc w:val="left"/>
      <w:pPr>
        <w:ind w:left="720" w:hanging="360"/>
      </w:pPr>
      <w:rPr>
        <w:rFonts w:ascii="Arial" w:eastAsia="Arial" w:hAnsi="Arial" w:cs="Arial" w:hint="default"/>
        <w:color w:val="252525"/>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ED58B6"/>
    <w:multiLevelType w:val="hybridMultilevel"/>
    <w:tmpl w:val="425A039E"/>
    <w:lvl w:ilvl="0" w:tplc="D9866ADE">
      <w:numFmt w:val="bullet"/>
      <w:lvlText w:val="-"/>
      <w:lvlJc w:val="left"/>
      <w:pPr>
        <w:ind w:left="720" w:hanging="360"/>
      </w:pPr>
      <w:rPr>
        <w:rFonts w:ascii="Arial" w:eastAsia="Arial" w:hAnsi="Arial" w:cs="Arial" w:hint="default"/>
        <w:color w:val="252525"/>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F81945"/>
    <w:multiLevelType w:val="hybridMultilevel"/>
    <w:tmpl w:val="4F26E3B0"/>
    <w:lvl w:ilvl="0" w:tplc="B9DCDA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684F40"/>
    <w:multiLevelType w:val="hybridMultilevel"/>
    <w:tmpl w:val="FA9A828E"/>
    <w:lvl w:ilvl="0" w:tplc="D9866ADE">
      <w:numFmt w:val="bullet"/>
      <w:lvlText w:val="-"/>
      <w:lvlJc w:val="left"/>
      <w:pPr>
        <w:ind w:left="720" w:hanging="360"/>
      </w:pPr>
      <w:rPr>
        <w:rFonts w:ascii="Arial" w:eastAsia="Arial" w:hAnsi="Arial" w:cs="Arial" w:hint="default"/>
        <w:color w:val="252525"/>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19654F"/>
    <w:multiLevelType w:val="hybridMultilevel"/>
    <w:tmpl w:val="BA087A26"/>
    <w:lvl w:ilvl="0" w:tplc="D9866ADE">
      <w:numFmt w:val="bullet"/>
      <w:lvlText w:val="-"/>
      <w:lvlJc w:val="left"/>
      <w:pPr>
        <w:ind w:left="720" w:hanging="360"/>
      </w:pPr>
      <w:rPr>
        <w:rFonts w:ascii="Arial" w:eastAsia="Arial" w:hAnsi="Arial" w:cs="Arial" w:hint="default"/>
        <w:color w:val="252525"/>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2D6038"/>
    <w:multiLevelType w:val="hybridMultilevel"/>
    <w:tmpl w:val="31F036F2"/>
    <w:lvl w:ilvl="0" w:tplc="D9866ADE">
      <w:numFmt w:val="bullet"/>
      <w:lvlText w:val="-"/>
      <w:lvlJc w:val="left"/>
      <w:pPr>
        <w:ind w:left="720" w:hanging="360"/>
      </w:pPr>
      <w:rPr>
        <w:rFonts w:ascii="Arial" w:eastAsia="Arial" w:hAnsi="Arial" w:cs="Arial" w:hint="default"/>
        <w:color w:val="252525"/>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5563747">
    <w:abstractNumId w:val="3"/>
  </w:num>
  <w:num w:numId="2" w16cid:durableId="138961608">
    <w:abstractNumId w:val="2"/>
  </w:num>
  <w:num w:numId="3" w16cid:durableId="1106464813">
    <w:abstractNumId w:val="1"/>
  </w:num>
  <w:num w:numId="4" w16cid:durableId="1308124325">
    <w:abstractNumId w:val="6"/>
  </w:num>
  <w:num w:numId="5" w16cid:durableId="480466517">
    <w:abstractNumId w:val="4"/>
  </w:num>
  <w:num w:numId="6" w16cid:durableId="2085644506">
    <w:abstractNumId w:val="5"/>
  </w:num>
  <w:num w:numId="7" w16cid:durableId="1824738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val="fullPage" w:percent="6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299"/>
    <w:rsid w:val="0004437E"/>
    <w:rsid w:val="000F3159"/>
    <w:rsid w:val="00190676"/>
    <w:rsid w:val="001A0D19"/>
    <w:rsid w:val="001A5578"/>
    <w:rsid w:val="001C2D7E"/>
    <w:rsid w:val="00216820"/>
    <w:rsid w:val="0022201C"/>
    <w:rsid w:val="00233D18"/>
    <w:rsid w:val="00323112"/>
    <w:rsid w:val="0038616A"/>
    <w:rsid w:val="004C6D98"/>
    <w:rsid w:val="005B2252"/>
    <w:rsid w:val="005F4159"/>
    <w:rsid w:val="00682569"/>
    <w:rsid w:val="00687924"/>
    <w:rsid w:val="006B24D3"/>
    <w:rsid w:val="006D2D37"/>
    <w:rsid w:val="006E43B5"/>
    <w:rsid w:val="006F48B1"/>
    <w:rsid w:val="00701A5E"/>
    <w:rsid w:val="0076770B"/>
    <w:rsid w:val="008C3980"/>
    <w:rsid w:val="008F4802"/>
    <w:rsid w:val="0090688F"/>
    <w:rsid w:val="00927DFA"/>
    <w:rsid w:val="00937AA5"/>
    <w:rsid w:val="00A04C4C"/>
    <w:rsid w:val="00A8729C"/>
    <w:rsid w:val="00AA5256"/>
    <w:rsid w:val="00B04E22"/>
    <w:rsid w:val="00B17D8E"/>
    <w:rsid w:val="00B66473"/>
    <w:rsid w:val="00BB22E3"/>
    <w:rsid w:val="00D01DA3"/>
    <w:rsid w:val="00E10544"/>
    <w:rsid w:val="00E116EA"/>
    <w:rsid w:val="00E13F49"/>
    <w:rsid w:val="00EE669A"/>
    <w:rsid w:val="00EF2978"/>
    <w:rsid w:val="00F11AD8"/>
    <w:rsid w:val="00F365D6"/>
    <w:rsid w:val="00F74FDE"/>
    <w:rsid w:val="00F95299"/>
    <w:rsid w:val="00FA008F"/>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05E312"/>
  <w15:chartTrackingRefBased/>
  <w15:docId w15:val="{40125393-D20A-4128-805A-3C5D857D1F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29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529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529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529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529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52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2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2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2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29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529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529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529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529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52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2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2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299"/>
    <w:rPr>
      <w:rFonts w:eastAsiaTheme="majorEastAsia" w:cstheme="majorBidi"/>
      <w:color w:val="272727" w:themeColor="text1" w:themeTint="D8"/>
    </w:rPr>
  </w:style>
  <w:style w:type="paragraph" w:styleId="Title">
    <w:name w:val="Title"/>
    <w:basedOn w:val="Normal"/>
    <w:next w:val="Normal"/>
    <w:link w:val="TitleChar"/>
    <w:uiPriority w:val="10"/>
    <w:qFormat/>
    <w:rsid w:val="00F952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2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2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2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299"/>
    <w:pPr>
      <w:spacing w:before="160"/>
      <w:jc w:val="center"/>
    </w:pPr>
    <w:rPr>
      <w:i/>
      <w:iCs/>
      <w:color w:val="404040" w:themeColor="text1" w:themeTint="BF"/>
    </w:rPr>
  </w:style>
  <w:style w:type="character" w:customStyle="1" w:styleId="QuoteChar">
    <w:name w:val="Quote Char"/>
    <w:basedOn w:val="DefaultParagraphFont"/>
    <w:link w:val="Quote"/>
    <w:uiPriority w:val="29"/>
    <w:rsid w:val="00F95299"/>
    <w:rPr>
      <w:i/>
      <w:iCs/>
      <w:color w:val="404040" w:themeColor="text1" w:themeTint="BF"/>
    </w:rPr>
  </w:style>
  <w:style w:type="paragraph" w:styleId="ListParagraph">
    <w:name w:val="List Paragraph"/>
    <w:basedOn w:val="Normal"/>
    <w:uiPriority w:val="34"/>
    <w:qFormat/>
    <w:rsid w:val="00F95299"/>
    <w:pPr>
      <w:ind w:left="720"/>
      <w:contextualSpacing/>
    </w:pPr>
  </w:style>
  <w:style w:type="character" w:styleId="IntenseEmphasis">
    <w:name w:val="Intense Emphasis"/>
    <w:basedOn w:val="DefaultParagraphFont"/>
    <w:uiPriority w:val="21"/>
    <w:qFormat/>
    <w:rsid w:val="00F95299"/>
    <w:rPr>
      <w:i/>
      <w:iCs/>
      <w:color w:val="2F5496" w:themeColor="accent1" w:themeShade="BF"/>
    </w:rPr>
  </w:style>
  <w:style w:type="paragraph" w:styleId="IntenseQuote">
    <w:name w:val="Intense Quote"/>
    <w:basedOn w:val="Normal"/>
    <w:next w:val="Normal"/>
    <w:link w:val="IntenseQuoteChar"/>
    <w:uiPriority w:val="30"/>
    <w:qFormat/>
    <w:rsid w:val="00F9529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5299"/>
    <w:rPr>
      <w:i/>
      <w:iCs/>
      <w:color w:val="2F5496" w:themeColor="accent1" w:themeShade="BF"/>
    </w:rPr>
  </w:style>
  <w:style w:type="character" w:styleId="IntenseReference">
    <w:name w:val="Intense Reference"/>
    <w:basedOn w:val="DefaultParagraphFont"/>
    <w:uiPriority w:val="32"/>
    <w:qFormat/>
    <w:rsid w:val="00F95299"/>
    <w:rPr>
      <w:b/>
      <w:bCs/>
      <w:smallCaps/>
      <w:color w:val="2F5496" w:themeColor="accent1" w:themeShade="BF"/>
      <w:spacing w:val="5"/>
    </w:rPr>
  </w:style>
  <w:style w:type="character" w:styleId="Hyperlink">
    <w:name w:val="Hyperlink"/>
    <w:basedOn w:val="DefaultParagraphFont"/>
    <w:uiPriority w:val="99"/>
    <w:unhideWhenUsed/>
    <w:rsid w:val="0038616A"/>
    <w:rPr>
      <w:color w:val="0563C1" w:themeColor="hyperlink"/>
      <w:u w:val="single"/>
    </w:rPr>
  </w:style>
  <w:style w:type="character" w:styleId="UnresolvedMention">
    <w:name w:val="Unresolved Mention"/>
    <w:basedOn w:val="DefaultParagraphFont"/>
    <w:uiPriority w:val="99"/>
    <w:semiHidden/>
    <w:unhideWhenUsed/>
    <w:rsid w:val="0038616A"/>
    <w:rPr>
      <w:color w:val="605E5C"/>
      <w:shd w:val="clear" w:color="auto" w:fill="E1DFDD"/>
    </w:rPr>
  </w:style>
  <w:style w:type="paragraph" w:styleId="NoSpacing">
    <w:name w:val="No Spacing"/>
    <w:link w:val="NoSpacingChar"/>
    <w:uiPriority w:val="1"/>
    <w:qFormat/>
    <w:rsid w:val="00687924"/>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87924"/>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674942">
      <w:bodyDiv w:val="1"/>
      <w:marLeft w:val="0"/>
      <w:marRight w:val="0"/>
      <w:marTop w:val="0"/>
      <w:marBottom w:val="0"/>
      <w:divBdr>
        <w:top w:val="none" w:sz="0" w:space="0" w:color="auto"/>
        <w:left w:val="none" w:sz="0" w:space="0" w:color="auto"/>
        <w:bottom w:val="none" w:sz="0" w:space="0" w:color="auto"/>
        <w:right w:val="none" w:sz="0" w:space="0" w:color="auto"/>
      </w:divBdr>
    </w:div>
    <w:div w:id="246693496">
      <w:bodyDiv w:val="1"/>
      <w:marLeft w:val="0"/>
      <w:marRight w:val="0"/>
      <w:marTop w:val="0"/>
      <w:marBottom w:val="0"/>
      <w:divBdr>
        <w:top w:val="none" w:sz="0" w:space="0" w:color="auto"/>
        <w:left w:val="none" w:sz="0" w:space="0" w:color="auto"/>
        <w:bottom w:val="none" w:sz="0" w:space="0" w:color="auto"/>
        <w:right w:val="none" w:sz="0" w:space="0" w:color="auto"/>
      </w:divBdr>
    </w:div>
    <w:div w:id="268321668">
      <w:bodyDiv w:val="1"/>
      <w:marLeft w:val="0"/>
      <w:marRight w:val="0"/>
      <w:marTop w:val="0"/>
      <w:marBottom w:val="0"/>
      <w:divBdr>
        <w:top w:val="none" w:sz="0" w:space="0" w:color="auto"/>
        <w:left w:val="none" w:sz="0" w:space="0" w:color="auto"/>
        <w:bottom w:val="none" w:sz="0" w:space="0" w:color="auto"/>
        <w:right w:val="none" w:sz="0" w:space="0" w:color="auto"/>
      </w:divBdr>
    </w:div>
    <w:div w:id="273831784">
      <w:bodyDiv w:val="1"/>
      <w:marLeft w:val="0"/>
      <w:marRight w:val="0"/>
      <w:marTop w:val="0"/>
      <w:marBottom w:val="0"/>
      <w:divBdr>
        <w:top w:val="none" w:sz="0" w:space="0" w:color="auto"/>
        <w:left w:val="none" w:sz="0" w:space="0" w:color="auto"/>
        <w:bottom w:val="none" w:sz="0" w:space="0" w:color="auto"/>
        <w:right w:val="none" w:sz="0" w:space="0" w:color="auto"/>
      </w:divBdr>
    </w:div>
    <w:div w:id="364253534">
      <w:bodyDiv w:val="1"/>
      <w:marLeft w:val="0"/>
      <w:marRight w:val="0"/>
      <w:marTop w:val="0"/>
      <w:marBottom w:val="0"/>
      <w:divBdr>
        <w:top w:val="none" w:sz="0" w:space="0" w:color="auto"/>
        <w:left w:val="none" w:sz="0" w:space="0" w:color="auto"/>
        <w:bottom w:val="none" w:sz="0" w:space="0" w:color="auto"/>
        <w:right w:val="none" w:sz="0" w:space="0" w:color="auto"/>
      </w:divBdr>
      <w:divsChild>
        <w:div w:id="828324495">
          <w:marLeft w:val="0"/>
          <w:marRight w:val="0"/>
          <w:marTop w:val="0"/>
          <w:marBottom w:val="0"/>
          <w:divBdr>
            <w:top w:val="none" w:sz="0" w:space="0" w:color="auto"/>
            <w:left w:val="none" w:sz="0" w:space="0" w:color="auto"/>
            <w:bottom w:val="none" w:sz="0" w:space="0" w:color="auto"/>
            <w:right w:val="none" w:sz="0" w:space="0" w:color="auto"/>
          </w:divBdr>
        </w:div>
      </w:divsChild>
    </w:div>
    <w:div w:id="374282880">
      <w:bodyDiv w:val="1"/>
      <w:marLeft w:val="0"/>
      <w:marRight w:val="0"/>
      <w:marTop w:val="0"/>
      <w:marBottom w:val="0"/>
      <w:divBdr>
        <w:top w:val="none" w:sz="0" w:space="0" w:color="auto"/>
        <w:left w:val="none" w:sz="0" w:space="0" w:color="auto"/>
        <w:bottom w:val="none" w:sz="0" w:space="0" w:color="auto"/>
        <w:right w:val="none" w:sz="0" w:space="0" w:color="auto"/>
      </w:divBdr>
    </w:div>
    <w:div w:id="486437641">
      <w:bodyDiv w:val="1"/>
      <w:marLeft w:val="0"/>
      <w:marRight w:val="0"/>
      <w:marTop w:val="0"/>
      <w:marBottom w:val="0"/>
      <w:divBdr>
        <w:top w:val="none" w:sz="0" w:space="0" w:color="auto"/>
        <w:left w:val="none" w:sz="0" w:space="0" w:color="auto"/>
        <w:bottom w:val="none" w:sz="0" w:space="0" w:color="auto"/>
        <w:right w:val="none" w:sz="0" w:space="0" w:color="auto"/>
      </w:divBdr>
    </w:div>
    <w:div w:id="602499812">
      <w:bodyDiv w:val="1"/>
      <w:marLeft w:val="0"/>
      <w:marRight w:val="0"/>
      <w:marTop w:val="0"/>
      <w:marBottom w:val="0"/>
      <w:divBdr>
        <w:top w:val="none" w:sz="0" w:space="0" w:color="auto"/>
        <w:left w:val="none" w:sz="0" w:space="0" w:color="auto"/>
        <w:bottom w:val="none" w:sz="0" w:space="0" w:color="auto"/>
        <w:right w:val="none" w:sz="0" w:space="0" w:color="auto"/>
      </w:divBdr>
      <w:divsChild>
        <w:div w:id="1049185263">
          <w:marLeft w:val="0"/>
          <w:marRight w:val="0"/>
          <w:marTop w:val="0"/>
          <w:marBottom w:val="0"/>
          <w:divBdr>
            <w:top w:val="none" w:sz="0" w:space="0" w:color="auto"/>
            <w:left w:val="none" w:sz="0" w:space="0" w:color="auto"/>
            <w:bottom w:val="none" w:sz="0" w:space="0" w:color="auto"/>
            <w:right w:val="none" w:sz="0" w:space="0" w:color="auto"/>
          </w:divBdr>
          <w:divsChild>
            <w:div w:id="728114704">
              <w:marLeft w:val="0"/>
              <w:marRight w:val="0"/>
              <w:marTop w:val="0"/>
              <w:marBottom w:val="0"/>
              <w:divBdr>
                <w:top w:val="none" w:sz="0" w:space="0" w:color="auto"/>
                <w:left w:val="none" w:sz="0" w:space="0" w:color="auto"/>
                <w:bottom w:val="none" w:sz="0" w:space="0" w:color="auto"/>
                <w:right w:val="none" w:sz="0" w:space="0" w:color="auto"/>
              </w:divBdr>
              <w:divsChild>
                <w:div w:id="235016681">
                  <w:marLeft w:val="0"/>
                  <w:marRight w:val="0"/>
                  <w:marTop w:val="0"/>
                  <w:marBottom w:val="0"/>
                  <w:divBdr>
                    <w:top w:val="none" w:sz="0" w:space="0" w:color="auto"/>
                    <w:left w:val="none" w:sz="0" w:space="0" w:color="auto"/>
                    <w:bottom w:val="none" w:sz="0" w:space="0" w:color="auto"/>
                    <w:right w:val="none" w:sz="0" w:space="0" w:color="auto"/>
                  </w:divBdr>
                  <w:divsChild>
                    <w:div w:id="1011295672">
                      <w:marLeft w:val="0"/>
                      <w:marRight w:val="0"/>
                      <w:marTop w:val="0"/>
                      <w:marBottom w:val="0"/>
                      <w:divBdr>
                        <w:top w:val="none" w:sz="0" w:space="0" w:color="auto"/>
                        <w:left w:val="none" w:sz="0" w:space="0" w:color="auto"/>
                        <w:bottom w:val="none" w:sz="0" w:space="0" w:color="auto"/>
                        <w:right w:val="none" w:sz="0" w:space="0" w:color="auto"/>
                      </w:divBdr>
                      <w:divsChild>
                        <w:div w:id="1751004729">
                          <w:marLeft w:val="0"/>
                          <w:marRight w:val="0"/>
                          <w:marTop w:val="0"/>
                          <w:marBottom w:val="0"/>
                          <w:divBdr>
                            <w:top w:val="none" w:sz="0" w:space="0" w:color="auto"/>
                            <w:left w:val="none" w:sz="0" w:space="0" w:color="auto"/>
                            <w:bottom w:val="none" w:sz="0" w:space="0" w:color="auto"/>
                            <w:right w:val="none" w:sz="0" w:space="0" w:color="auto"/>
                          </w:divBdr>
                          <w:divsChild>
                            <w:div w:id="885991840">
                              <w:marLeft w:val="0"/>
                              <w:marRight w:val="0"/>
                              <w:marTop w:val="0"/>
                              <w:marBottom w:val="0"/>
                              <w:divBdr>
                                <w:top w:val="none" w:sz="0" w:space="0" w:color="auto"/>
                                <w:left w:val="none" w:sz="0" w:space="0" w:color="auto"/>
                                <w:bottom w:val="none" w:sz="0" w:space="0" w:color="auto"/>
                                <w:right w:val="none" w:sz="0" w:space="0" w:color="auto"/>
                              </w:divBdr>
                              <w:divsChild>
                                <w:div w:id="1136949781">
                                  <w:marLeft w:val="0"/>
                                  <w:marRight w:val="0"/>
                                  <w:marTop w:val="0"/>
                                  <w:marBottom w:val="0"/>
                                  <w:divBdr>
                                    <w:top w:val="none" w:sz="0" w:space="0" w:color="auto"/>
                                    <w:left w:val="none" w:sz="0" w:space="0" w:color="auto"/>
                                    <w:bottom w:val="none" w:sz="0" w:space="0" w:color="auto"/>
                                    <w:right w:val="none" w:sz="0" w:space="0" w:color="auto"/>
                                  </w:divBdr>
                                  <w:divsChild>
                                    <w:div w:id="1027634976">
                                      <w:marLeft w:val="0"/>
                                      <w:marRight w:val="0"/>
                                      <w:marTop w:val="0"/>
                                      <w:marBottom w:val="0"/>
                                      <w:divBdr>
                                        <w:top w:val="none" w:sz="0" w:space="0" w:color="auto"/>
                                        <w:left w:val="none" w:sz="0" w:space="0" w:color="auto"/>
                                        <w:bottom w:val="none" w:sz="0" w:space="0" w:color="auto"/>
                                        <w:right w:val="none" w:sz="0" w:space="0" w:color="auto"/>
                                      </w:divBdr>
                                      <w:divsChild>
                                        <w:div w:id="179705529">
                                          <w:marLeft w:val="0"/>
                                          <w:marRight w:val="0"/>
                                          <w:marTop w:val="0"/>
                                          <w:marBottom w:val="0"/>
                                          <w:divBdr>
                                            <w:top w:val="none" w:sz="0" w:space="0" w:color="auto"/>
                                            <w:left w:val="none" w:sz="0" w:space="0" w:color="auto"/>
                                            <w:bottom w:val="none" w:sz="0" w:space="0" w:color="auto"/>
                                            <w:right w:val="none" w:sz="0" w:space="0" w:color="auto"/>
                                          </w:divBdr>
                                          <w:divsChild>
                                            <w:div w:id="1409500375">
                                              <w:marLeft w:val="0"/>
                                              <w:marRight w:val="0"/>
                                              <w:marTop w:val="0"/>
                                              <w:marBottom w:val="0"/>
                                              <w:divBdr>
                                                <w:top w:val="none" w:sz="0" w:space="0" w:color="auto"/>
                                                <w:left w:val="none" w:sz="0" w:space="0" w:color="auto"/>
                                                <w:bottom w:val="none" w:sz="0" w:space="0" w:color="auto"/>
                                                <w:right w:val="none" w:sz="0" w:space="0" w:color="auto"/>
                                              </w:divBdr>
                                              <w:divsChild>
                                                <w:div w:id="687871970">
                                                  <w:marLeft w:val="0"/>
                                                  <w:marRight w:val="0"/>
                                                  <w:marTop w:val="0"/>
                                                  <w:marBottom w:val="0"/>
                                                  <w:divBdr>
                                                    <w:top w:val="none" w:sz="0" w:space="0" w:color="auto"/>
                                                    <w:left w:val="none" w:sz="0" w:space="0" w:color="auto"/>
                                                    <w:bottom w:val="none" w:sz="0" w:space="0" w:color="auto"/>
                                                    <w:right w:val="none" w:sz="0" w:space="0" w:color="auto"/>
                                                  </w:divBdr>
                                                  <w:divsChild>
                                                    <w:div w:id="1521239806">
                                                      <w:marLeft w:val="0"/>
                                                      <w:marRight w:val="0"/>
                                                      <w:marTop w:val="0"/>
                                                      <w:marBottom w:val="0"/>
                                                      <w:divBdr>
                                                        <w:top w:val="none" w:sz="0" w:space="0" w:color="auto"/>
                                                        <w:left w:val="none" w:sz="0" w:space="0" w:color="auto"/>
                                                        <w:bottom w:val="none" w:sz="0" w:space="0" w:color="auto"/>
                                                        <w:right w:val="none" w:sz="0" w:space="0" w:color="auto"/>
                                                      </w:divBdr>
                                                      <w:divsChild>
                                                        <w:div w:id="981618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869534866">
      <w:bodyDiv w:val="1"/>
      <w:marLeft w:val="0"/>
      <w:marRight w:val="0"/>
      <w:marTop w:val="0"/>
      <w:marBottom w:val="0"/>
      <w:divBdr>
        <w:top w:val="none" w:sz="0" w:space="0" w:color="auto"/>
        <w:left w:val="none" w:sz="0" w:space="0" w:color="auto"/>
        <w:bottom w:val="none" w:sz="0" w:space="0" w:color="auto"/>
        <w:right w:val="none" w:sz="0" w:space="0" w:color="auto"/>
      </w:divBdr>
    </w:div>
    <w:div w:id="988286418">
      <w:bodyDiv w:val="1"/>
      <w:marLeft w:val="0"/>
      <w:marRight w:val="0"/>
      <w:marTop w:val="0"/>
      <w:marBottom w:val="0"/>
      <w:divBdr>
        <w:top w:val="none" w:sz="0" w:space="0" w:color="auto"/>
        <w:left w:val="none" w:sz="0" w:space="0" w:color="auto"/>
        <w:bottom w:val="none" w:sz="0" w:space="0" w:color="auto"/>
        <w:right w:val="none" w:sz="0" w:space="0" w:color="auto"/>
      </w:divBdr>
      <w:divsChild>
        <w:div w:id="1809853605">
          <w:marLeft w:val="0"/>
          <w:marRight w:val="0"/>
          <w:marTop w:val="0"/>
          <w:marBottom w:val="0"/>
          <w:divBdr>
            <w:top w:val="none" w:sz="0" w:space="0" w:color="auto"/>
            <w:left w:val="none" w:sz="0" w:space="0" w:color="auto"/>
            <w:bottom w:val="none" w:sz="0" w:space="0" w:color="auto"/>
            <w:right w:val="none" w:sz="0" w:space="0" w:color="auto"/>
          </w:divBdr>
        </w:div>
      </w:divsChild>
    </w:div>
    <w:div w:id="994066395">
      <w:bodyDiv w:val="1"/>
      <w:marLeft w:val="0"/>
      <w:marRight w:val="0"/>
      <w:marTop w:val="0"/>
      <w:marBottom w:val="0"/>
      <w:divBdr>
        <w:top w:val="none" w:sz="0" w:space="0" w:color="auto"/>
        <w:left w:val="none" w:sz="0" w:space="0" w:color="auto"/>
        <w:bottom w:val="none" w:sz="0" w:space="0" w:color="auto"/>
        <w:right w:val="none" w:sz="0" w:space="0" w:color="auto"/>
      </w:divBdr>
    </w:div>
    <w:div w:id="1044989451">
      <w:bodyDiv w:val="1"/>
      <w:marLeft w:val="0"/>
      <w:marRight w:val="0"/>
      <w:marTop w:val="0"/>
      <w:marBottom w:val="0"/>
      <w:divBdr>
        <w:top w:val="none" w:sz="0" w:space="0" w:color="auto"/>
        <w:left w:val="none" w:sz="0" w:space="0" w:color="auto"/>
        <w:bottom w:val="none" w:sz="0" w:space="0" w:color="auto"/>
        <w:right w:val="none" w:sz="0" w:space="0" w:color="auto"/>
      </w:divBdr>
    </w:div>
    <w:div w:id="1121921602">
      <w:bodyDiv w:val="1"/>
      <w:marLeft w:val="0"/>
      <w:marRight w:val="0"/>
      <w:marTop w:val="0"/>
      <w:marBottom w:val="0"/>
      <w:divBdr>
        <w:top w:val="none" w:sz="0" w:space="0" w:color="auto"/>
        <w:left w:val="none" w:sz="0" w:space="0" w:color="auto"/>
        <w:bottom w:val="none" w:sz="0" w:space="0" w:color="auto"/>
        <w:right w:val="none" w:sz="0" w:space="0" w:color="auto"/>
      </w:divBdr>
    </w:div>
    <w:div w:id="1137801328">
      <w:bodyDiv w:val="1"/>
      <w:marLeft w:val="0"/>
      <w:marRight w:val="0"/>
      <w:marTop w:val="0"/>
      <w:marBottom w:val="0"/>
      <w:divBdr>
        <w:top w:val="none" w:sz="0" w:space="0" w:color="auto"/>
        <w:left w:val="none" w:sz="0" w:space="0" w:color="auto"/>
        <w:bottom w:val="none" w:sz="0" w:space="0" w:color="auto"/>
        <w:right w:val="none" w:sz="0" w:space="0" w:color="auto"/>
      </w:divBdr>
    </w:div>
    <w:div w:id="1234391998">
      <w:bodyDiv w:val="1"/>
      <w:marLeft w:val="0"/>
      <w:marRight w:val="0"/>
      <w:marTop w:val="0"/>
      <w:marBottom w:val="0"/>
      <w:divBdr>
        <w:top w:val="none" w:sz="0" w:space="0" w:color="auto"/>
        <w:left w:val="none" w:sz="0" w:space="0" w:color="auto"/>
        <w:bottom w:val="none" w:sz="0" w:space="0" w:color="auto"/>
        <w:right w:val="none" w:sz="0" w:space="0" w:color="auto"/>
      </w:divBdr>
    </w:div>
    <w:div w:id="1254557596">
      <w:bodyDiv w:val="1"/>
      <w:marLeft w:val="0"/>
      <w:marRight w:val="0"/>
      <w:marTop w:val="0"/>
      <w:marBottom w:val="0"/>
      <w:divBdr>
        <w:top w:val="none" w:sz="0" w:space="0" w:color="auto"/>
        <w:left w:val="none" w:sz="0" w:space="0" w:color="auto"/>
        <w:bottom w:val="none" w:sz="0" w:space="0" w:color="auto"/>
        <w:right w:val="none" w:sz="0" w:space="0" w:color="auto"/>
      </w:divBdr>
      <w:divsChild>
        <w:div w:id="875459737">
          <w:marLeft w:val="0"/>
          <w:marRight w:val="0"/>
          <w:marTop w:val="0"/>
          <w:marBottom w:val="0"/>
          <w:divBdr>
            <w:top w:val="none" w:sz="0" w:space="0" w:color="auto"/>
            <w:left w:val="none" w:sz="0" w:space="0" w:color="auto"/>
            <w:bottom w:val="none" w:sz="0" w:space="0" w:color="auto"/>
            <w:right w:val="none" w:sz="0" w:space="0" w:color="auto"/>
          </w:divBdr>
          <w:divsChild>
            <w:div w:id="757605046">
              <w:marLeft w:val="0"/>
              <w:marRight w:val="0"/>
              <w:marTop w:val="0"/>
              <w:marBottom w:val="0"/>
              <w:divBdr>
                <w:top w:val="none" w:sz="0" w:space="0" w:color="auto"/>
                <w:left w:val="none" w:sz="0" w:space="0" w:color="auto"/>
                <w:bottom w:val="none" w:sz="0" w:space="0" w:color="auto"/>
                <w:right w:val="none" w:sz="0" w:space="0" w:color="auto"/>
              </w:divBdr>
              <w:divsChild>
                <w:div w:id="1308126834">
                  <w:marLeft w:val="0"/>
                  <w:marRight w:val="0"/>
                  <w:marTop w:val="0"/>
                  <w:marBottom w:val="0"/>
                  <w:divBdr>
                    <w:top w:val="none" w:sz="0" w:space="0" w:color="auto"/>
                    <w:left w:val="none" w:sz="0" w:space="0" w:color="auto"/>
                    <w:bottom w:val="none" w:sz="0" w:space="0" w:color="auto"/>
                    <w:right w:val="none" w:sz="0" w:space="0" w:color="auto"/>
                  </w:divBdr>
                  <w:divsChild>
                    <w:div w:id="1937251415">
                      <w:marLeft w:val="0"/>
                      <w:marRight w:val="0"/>
                      <w:marTop w:val="0"/>
                      <w:marBottom w:val="0"/>
                      <w:divBdr>
                        <w:top w:val="none" w:sz="0" w:space="0" w:color="auto"/>
                        <w:left w:val="none" w:sz="0" w:space="0" w:color="auto"/>
                        <w:bottom w:val="none" w:sz="0" w:space="0" w:color="auto"/>
                        <w:right w:val="none" w:sz="0" w:space="0" w:color="auto"/>
                      </w:divBdr>
                      <w:divsChild>
                        <w:div w:id="56244915">
                          <w:marLeft w:val="0"/>
                          <w:marRight w:val="0"/>
                          <w:marTop w:val="0"/>
                          <w:marBottom w:val="0"/>
                          <w:divBdr>
                            <w:top w:val="none" w:sz="0" w:space="0" w:color="auto"/>
                            <w:left w:val="none" w:sz="0" w:space="0" w:color="auto"/>
                            <w:bottom w:val="none" w:sz="0" w:space="0" w:color="auto"/>
                            <w:right w:val="none" w:sz="0" w:space="0" w:color="auto"/>
                          </w:divBdr>
                          <w:divsChild>
                            <w:div w:id="2047635120">
                              <w:marLeft w:val="0"/>
                              <w:marRight w:val="0"/>
                              <w:marTop w:val="0"/>
                              <w:marBottom w:val="0"/>
                              <w:divBdr>
                                <w:top w:val="none" w:sz="0" w:space="0" w:color="auto"/>
                                <w:left w:val="none" w:sz="0" w:space="0" w:color="auto"/>
                                <w:bottom w:val="none" w:sz="0" w:space="0" w:color="auto"/>
                                <w:right w:val="none" w:sz="0" w:space="0" w:color="auto"/>
                              </w:divBdr>
                              <w:divsChild>
                                <w:div w:id="2049986535">
                                  <w:marLeft w:val="0"/>
                                  <w:marRight w:val="0"/>
                                  <w:marTop w:val="0"/>
                                  <w:marBottom w:val="0"/>
                                  <w:divBdr>
                                    <w:top w:val="none" w:sz="0" w:space="0" w:color="auto"/>
                                    <w:left w:val="none" w:sz="0" w:space="0" w:color="auto"/>
                                    <w:bottom w:val="none" w:sz="0" w:space="0" w:color="auto"/>
                                    <w:right w:val="none" w:sz="0" w:space="0" w:color="auto"/>
                                  </w:divBdr>
                                  <w:divsChild>
                                    <w:div w:id="2135783028">
                                      <w:marLeft w:val="0"/>
                                      <w:marRight w:val="0"/>
                                      <w:marTop w:val="0"/>
                                      <w:marBottom w:val="0"/>
                                      <w:divBdr>
                                        <w:top w:val="none" w:sz="0" w:space="0" w:color="auto"/>
                                        <w:left w:val="none" w:sz="0" w:space="0" w:color="auto"/>
                                        <w:bottom w:val="none" w:sz="0" w:space="0" w:color="auto"/>
                                        <w:right w:val="none" w:sz="0" w:space="0" w:color="auto"/>
                                      </w:divBdr>
                                      <w:divsChild>
                                        <w:div w:id="1137992911">
                                          <w:marLeft w:val="0"/>
                                          <w:marRight w:val="0"/>
                                          <w:marTop w:val="0"/>
                                          <w:marBottom w:val="0"/>
                                          <w:divBdr>
                                            <w:top w:val="none" w:sz="0" w:space="0" w:color="auto"/>
                                            <w:left w:val="none" w:sz="0" w:space="0" w:color="auto"/>
                                            <w:bottom w:val="none" w:sz="0" w:space="0" w:color="auto"/>
                                            <w:right w:val="none" w:sz="0" w:space="0" w:color="auto"/>
                                          </w:divBdr>
                                          <w:divsChild>
                                            <w:div w:id="143015909">
                                              <w:marLeft w:val="0"/>
                                              <w:marRight w:val="0"/>
                                              <w:marTop w:val="0"/>
                                              <w:marBottom w:val="0"/>
                                              <w:divBdr>
                                                <w:top w:val="none" w:sz="0" w:space="0" w:color="auto"/>
                                                <w:left w:val="none" w:sz="0" w:space="0" w:color="auto"/>
                                                <w:bottom w:val="none" w:sz="0" w:space="0" w:color="auto"/>
                                                <w:right w:val="none" w:sz="0" w:space="0" w:color="auto"/>
                                              </w:divBdr>
                                              <w:divsChild>
                                                <w:div w:id="1328359093">
                                                  <w:marLeft w:val="0"/>
                                                  <w:marRight w:val="0"/>
                                                  <w:marTop w:val="0"/>
                                                  <w:marBottom w:val="0"/>
                                                  <w:divBdr>
                                                    <w:top w:val="none" w:sz="0" w:space="0" w:color="auto"/>
                                                    <w:left w:val="none" w:sz="0" w:space="0" w:color="auto"/>
                                                    <w:bottom w:val="none" w:sz="0" w:space="0" w:color="auto"/>
                                                    <w:right w:val="none" w:sz="0" w:space="0" w:color="auto"/>
                                                  </w:divBdr>
                                                  <w:divsChild>
                                                    <w:div w:id="1370687701">
                                                      <w:marLeft w:val="0"/>
                                                      <w:marRight w:val="0"/>
                                                      <w:marTop w:val="0"/>
                                                      <w:marBottom w:val="0"/>
                                                      <w:divBdr>
                                                        <w:top w:val="none" w:sz="0" w:space="0" w:color="auto"/>
                                                        <w:left w:val="none" w:sz="0" w:space="0" w:color="auto"/>
                                                        <w:bottom w:val="none" w:sz="0" w:space="0" w:color="auto"/>
                                                        <w:right w:val="none" w:sz="0" w:space="0" w:color="auto"/>
                                                      </w:divBdr>
                                                      <w:divsChild>
                                                        <w:div w:id="86621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259605322">
      <w:bodyDiv w:val="1"/>
      <w:marLeft w:val="0"/>
      <w:marRight w:val="0"/>
      <w:marTop w:val="0"/>
      <w:marBottom w:val="0"/>
      <w:divBdr>
        <w:top w:val="none" w:sz="0" w:space="0" w:color="auto"/>
        <w:left w:val="none" w:sz="0" w:space="0" w:color="auto"/>
        <w:bottom w:val="none" w:sz="0" w:space="0" w:color="auto"/>
        <w:right w:val="none" w:sz="0" w:space="0" w:color="auto"/>
      </w:divBdr>
    </w:div>
    <w:div w:id="1287852167">
      <w:bodyDiv w:val="1"/>
      <w:marLeft w:val="0"/>
      <w:marRight w:val="0"/>
      <w:marTop w:val="0"/>
      <w:marBottom w:val="0"/>
      <w:divBdr>
        <w:top w:val="none" w:sz="0" w:space="0" w:color="auto"/>
        <w:left w:val="none" w:sz="0" w:space="0" w:color="auto"/>
        <w:bottom w:val="none" w:sz="0" w:space="0" w:color="auto"/>
        <w:right w:val="none" w:sz="0" w:space="0" w:color="auto"/>
      </w:divBdr>
    </w:div>
    <w:div w:id="1454471797">
      <w:bodyDiv w:val="1"/>
      <w:marLeft w:val="0"/>
      <w:marRight w:val="0"/>
      <w:marTop w:val="0"/>
      <w:marBottom w:val="0"/>
      <w:divBdr>
        <w:top w:val="none" w:sz="0" w:space="0" w:color="auto"/>
        <w:left w:val="none" w:sz="0" w:space="0" w:color="auto"/>
        <w:bottom w:val="none" w:sz="0" w:space="0" w:color="auto"/>
        <w:right w:val="none" w:sz="0" w:space="0" w:color="auto"/>
      </w:divBdr>
    </w:div>
    <w:div w:id="1501312444">
      <w:bodyDiv w:val="1"/>
      <w:marLeft w:val="0"/>
      <w:marRight w:val="0"/>
      <w:marTop w:val="0"/>
      <w:marBottom w:val="0"/>
      <w:divBdr>
        <w:top w:val="none" w:sz="0" w:space="0" w:color="auto"/>
        <w:left w:val="none" w:sz="0" w:space="0" w:color="auto"/>
        <w:bottom w:val="none" w:sz="0" w:space="0" w:color="auto"/>
        <w:right w:val="none" w:sz="0" w:space="0" w:color="auto"/>
      </w:divBdr>
      <w:divsChild>
        <w:div w:id="1097335430">
          <w:marLeft w:val="0"/>
          <w:marRight w:val="0"/>
          <w:marTop w:val="0"/>
          <w:marBottom w:val="0"/>
          <w:divBdr>
            <w:top w:val="none" w:sz="0" w:space="0" w:color="auto"/>
            <w:left w:val="none" w:sz="0" w:space="0" w:color="auto"/>
            <w:bottom w:val="none" w:sz="0" w:space="0" w:color="auto"/>
            <w:right w:val="none" w:sz="0" w:space="0" w:color="auto"/>
          </w:divBdr>
        </w:div>
      </w:divsChild>
    </w:div>
    <w:div w:id="1563448671">
      <w:bodyDiv w:val="1"/>
      <w:marLeft w:val="0"/>
      <w:marRight w:val="0"/>
      <w:marTop w:val="0"/>
      <w:marBottom w:val="0"/>
      <w:divBdr>
        <w:top w:val="none" w:sz="0" w:space="0" w:color="auto"/>
        <w:left w:val="none" w:sz="0" w:space="0" w:color="auto"/>
        <w:bottom w:val="none" w:sz="0" w:space="0" w:color="auto"/>
        <w:right w:val="none" w:sz="0" w:space="0" w:color="auto"/>
      </w:divBdr>
    </w:div>
    <w:div w:id="1653370943">
      <w:bodyDiv w:val="1"/>
      <w:marLeft w:val="0"/>
      <w:marRight w:val="0"/>
      <w:marTop w:val="0"/>
      <w:marBottom w:val="0"/>
      <w:divBdr>
        <w:top w:val="none" w:sz="0" w:space="0" w:color="auto"/>
        <w:left w:val="none" w:sz="0" w:space="0" w:color="auto"/>
        <w:bottom w:val="none" w:sz="0" w:space="0" w:color="auto"/>
        <w:right w:val="none" w:sz="0" w:space="0" w:color="auto"/>
      </w:divBdr>
    </w:div>
    <w:div w:id="1658655879">
      <w:bodyDiv w:val="1"/>
      <w:marLeft w:val="0"/>
      <w:marRight w:val="0"/>
      <w:marTop w:val="0"/>
      <w:marBottom w:val="0"/>
      <w:divBdr>
        <w:top w:val="none" w:sz="0" w:space="0" w:color="auto"/>
        <w:left w:val="none" w:sz="0" w:space="0" w:color="auto"/>
        <w:bottom w:val="none" w:sz="0" w:space="0" w:color="auto"/>
        <w:right w:val="none" w:sz="0" w:space="0" w:color="auto"/>
      </w:divBdr>
    </w:div>
    <w:div w:id="1798454031">
      <w:bodyDiv w:val="1"/>
      <w:marLeft w:val="0"/>
      <w:marRight w:val="0"/>
      <w:marTop w:val="0"/>
      <w:marBottom w:val="0"/>
      <w:divBdr>
        <w:top w:val="none" w:sz="0" w:space="0" w:color="auto"/>
        <w:left w:val="none" w:sz="0" w:space="0" w:color="auto"/>
        <w:bottom w:val="none" w:sz="0" w:space="0" w:color="auto"/>
        <w:right w:val="none" w:sz="0" w:space="0" w:color="auto"/>
      </w:divBdr>
    </w:div>
    <w:div w:id="2094080975">
      <w:bodyDiv w:val="1"/>
      <w:marLeft w:val="0"/>
      <w:marRight w:val="0"/>
      <w:marTop w:val="0"/>
      <w:marBottom w:val="0"/>
      <w:divBdr>
        <w:top w:val="none" w:sz="0" w:space="0" w:color="auto"/>
        <w:left w:val="none" w:sz="0" w:space="0" w:color="auto"/>
        <w:bottom w:val="none" w:sz="0" w:space="0" w:color="auto"/>
        <w:right w:val="none" w:sz="0" w:space="0" w:color="auto"/>
      </w:divBdr>
      <w:divsChild>
        <w:div w:id="50011948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03/31/contents" TargetMode="Externa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AD32D071394441EA5440FF4B2070D5A"/>
        <w:category>
          <w:name w:val="General"/>
          <w:gallery w:val="placeholder"/>
        </w:category>
        <w:types>
          <w:type w:val="bbPlcHdr"/>
        </w:types>
        <w:behaviors>
          <w:behavior w:val="content"/>
        </w:behaviors>
        <w:guid w:val="{EF4CCADA-CAD6-4DA6-8260-6699A9CDB713}"/>
      </w:docPartPr>
      <w:docPartBody>
        <w:p w:rsidR="000903B1" w:rsidRDefault="000903B1" w:rsidP="000903B1">
          <w:pPr>
            <w:pStyle w:val="6AD32D071394441EA5440FF4B2070D5A"/>
          </w:pPr>
          <w:r>
            <w:rPr>
              <w:rFonts w:asciiTheme="majorHAnsi" w:eastAsiaTheme="majorEastAsia" w:hAnsiTheme="majorHAnsi" w:cstheme="majorBidi"/>
              <w:caps/>
              <w:color w:val="156082" w:themeColor="accent1"/>
              <w:sz w:val="80"/>
              <w:szCs w:val="80"/>
            </w:rPr>
            <w:t>[Document title]</w:t>
          </w:r>
        </w:p>
      </w:docPartBody>
    </w:docPart>
    <w:docPart>
      <w:docPartPr>
        <w:name w:val="3D49E114E84C4889B3A105E4B09B09B4"/>
        <w:category>
          <w:name w:val="General"/>
          <w:gallery w:val="placeholder"/>
        </w:category>
        <w:types>
          <w:type w:val="bbPlcHdr"/>
        </w:types>
        <w:behaviors>
          <w:behavior w:val="content"/>
        </w:behaviors>
        <w:guid w:val="{2218930D-AA7D-4C4F-AAB0-BC24AD4EB0EE}"/>
      </w:docPartPr>
      <w:docPartBody>
        <w:p w:rsidR="000903B1" w:rsidRDefault="000903B1" w:rsidP="000903B1">
          <w:pPr>
            <w:pStyle w:val="3D49E114E84C4889B3A105E4B09B09B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3B1"/>
    <w:rsid w:val="000903B1"/>
    <w:rsid w:val="00A8729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AD32D071394441EA5440FF4B2070D5A">
    <w:name w:val="6AD32D071394441EA5440FF4B2070D5A"/>
    <w:rsid w:val="000903B1"/>
  </w:style>
  <w:style w:type="paragraph" w:customStyle="1" w:styleId="3D49E114E84C4889B3A105E4B09B09B4">
    <w:name w:val="3D49E114E84C4889B3A105E4B09B09B4"/>
    <w:rsid w:val="000903B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2024-12-13T00:00:00</PublishDate>
  <Abstract/>
  <CompanyAddress>2204812</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2404</Words>
  <Characters>13705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Hannah willett</Company>
  <LinksUpToDate>false</LinksUpToDate>
  <CharactersWithSpaces>16077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Supporting paper</dc:title>
  <dc:subject>BMCP6004</dc:subject>
  <dc:creator>hannah willett</dc:creator>
  <cp:keywords/>
  <dc:description/>
  <cp:lastModifiedBy>hannah willett</cp:lastModifiedBy>
  <cp:revision>2</cp:revision>
  <dcterms:created xsi:type="dcterms:W3CDTF">2024-12-13T20:30:00Z</dcterms:created>
  <dcterms:modified xsi:type="dcterms:W3CDTF">2024-12-13T20:30:00Z</dcterms:modified>
</cp:coreProperties>
</file>