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6E38D" w14:textId="51A3A17C" w:rsidR="00D3769A" w:rsidRDefault="00D3769A">
      <w:pPr>
        <w:jc w:val="both"/>
        <w:rPr>
          <w:rFonts w:ascii="Arial" w:hAnsi="Arial" w:cs="Arial"/>
          <w:bCs/>
          <w:sz w:val="28"/>
          <w:szCs w:val="28"/>
        </w:rPr>
      </w:pPr>
      <w:bookmarkStart w:id="0" w:name="_Hlk92364797"/>
      <w:r>
        <w:rPr>
          <w:rFonts w:ascii="Arial" w:hAnsi="Arial" w:cs="Arial"/>
          <w:bCs/>
          <w:sz w:val="28"/>
          <w:szCs w:val="28"/>
        </w:rPr>
        <w:t>Carlton Parks Limited CPL) liability to Leo</w:t>
      </w:r>
    </w:p>
    <w:bookmarkEnd w:id="0"/>
    <w:p w14:paraId="18F174DF" w14:textId="723890C6" w:rsidR="00A32A91" w:rsidRDefault="00BB41A5">
      <w:pPr>
        <w:jc w:val="both"/>
        <w:rPr>
          <w:rFonts w:ascii="Arial" w:hAnsi="Arial" w:cs="Arial"/>
          <w:bCs/>
          <w:sz w:val="28"/>
          <w:szCs w:val="28"/>
        </w:rPr>
      </w:pPr>
      <w:r>
        <w:rPr>
          <w:rFonts w:ascii="Arial" w:hAnsi="Arial" w:cs="Arial"/>
          <w:bCs/>
          <w:sz w:val="28"/>
          <w:szCs w:val="28"/>
        </w:rPr>
        <w:t xml:space="preserve">The Occupiers Liability Act (OLA) 1957 is relevant in relation to Leo. Leo is a visitor to the </w:t>
      </w:r>
      <w:r w:rsidR="0096268A">
        <w:rPr>
          <w:rFonts w:ascii="Arial" w:hAnsi="Arial" w:cs="Arial"/>
          <w:bCs/>
          <w:sz w:val="28"/>
          <w:szCs w:val="28"/>
        </w:rPr>
        <w:t>Theme Park</w:t>
      </w:r>
      <w:r>
        <w:rPr>
          <w:rFonts w:ascii="Arial" w:hAnsi="Arial" w:cs="Arial"/>
          <w:bCs/>
          <w:sz w:val="28"/>
          <w:szCs w:val="28"/>
        </w:rPr>
        <w:t xml:space="preserve">. CPL owe him a duty of care to ensure he is safe while on the premises. s1(1) of the Occupiers Liability Act 1957 says that ‘An occupier of premises owes to his visitors in respect of dangers due to the state of the premises or to things done or omitted to be done on them. Also, OLA 1984 s1(2a): An occupier of premises owes the same duty of care to all his visitors. The persons who are to be treated as his visitors are any person who owes in relation to (who has permission to be on) the premises and they are owe them the common duty of care </w:t>
      </w:r>
      <w:proofErr w:type="gramStart"/>
      <w:r>
        <w:rPr>
          <w:rFonts w:ascii="Arial" w:hAnsi="Arial" w:cs="Arial"/>
          <w:bCs/>
          <w:sz w:val="28"/>
          <w:szCs w:val="28"/>
        </w:rPr>
        <w:t>and also</w:t>
      </w:r>
      <w:proofErr w:type="gramEnd"/>
      <w:r>
        <w:rPr>
          <w:rFonts w:ascii="Arial" w:hAnsi="Arial" w:cs="Arial"/>
          <w:bCs/>
          <w:sz w:val="28"/>
          <w:szCs w:val="28"/>
        </w:rPr>
        <w:t xml:space="preserve"> those who are his visitor for that purpose.</w:t>
      </w:r>
    </w:p>
    <w:p w14:paraId="021D4F14" w14:textId="77777777" w:rsidR="00A32A91" w:rsidRDefault="00BB41A5">
      <w:pPr>
        <w:jc w:val="both"/>
        <w:rPr>
          <w:rFonts w:ascii="Arial" w:hAnsi="Arial" w:cs="Arial"/>
          <w:bCs/>
          <w:sz w:val="28"/>
          <w:szCs w:val="28"/>
        </w:rPr>
      </w:pPr>
      <w:r>
        <w:rPr>
          <w:rFonts w:ascii="Arial" w:hAnsi="Arial" w:cs="Arial"/>
          <w:bCs/>
          <w:sz w:val="28"/>
          <w:szCs w:val="28"/>
        </w:rPr>
        <w:t xml:space="preserve">CPL’s responsibility towards Leo is that of the ‘common duty’. s2(1) of the OLA 1957 “An occupier of premises owes the same duty, the “common duty of care”, to all his visitors, except in so far as he is free to and does extend, restrict, modify or exclude his duty to any visitor or visitors by agreement or otherwise”. “The common duty of care is a duty to take such care as in all the circumstances of the case is reasonable to see that the visitor will be reasonably safe in using the premises for the purpose for which he is invited or permitted by the occupier to be there” (s2(2) OLA 1957). Leo and his parents </w:t>
      </w:r>
      <w:bookmarkStart w:id="1" w:name="_Hlk92402308"/>
      <w:r>
        <w:rPr>
          <w:rFonts w:ascii="Arial" w:hAnsi="Arial" w:cs="Arial"/>
          <w:bCs/>
          <w:sz w:val="28"/>
          <w:szCs w:val="28"/>
        </w:rPr>
        <w:t>paid the single entrance fee for admittance to enter the</w:t>
      </w:r>
      <w:bookmarkEnd w:id="1"/>
      <w:r>
        <w:rPr>
          <w:rFonts w:ascii="Arial" w:hAnsi="Arial" w:cs="Arial"/>
          <w:bCs/>
          <w:sz w:val="28"/>
          <w:szCs w:val="28"/>
        </w:rPr>
        <w:t xml:space="preserve"> fun house. The occupier owes them the common duty to ensure they are safe in using the premises for the purpose.” The occupier is to ensure that those who are his visitor for that purpose (</w:t>
      </w:r>
      <w:bookmarkStart w:id="2" w:name="_Hlk92393016"/>
      <w:r>
        <w:rPr>
          <w:rFonts w:ascii="Arial" w:hAnsi="Arial" w:cs="Arial"/>
          <w:bCs/>
          <w:sz w:val="28"/>
          <w:szCs w:val="28"/>
        </w:rPr>
        <w:t>to take such care as in all circumstances of the case to see that the visitor will be reasonably safe in using the premises for which he was invited or permitted</w:t>
      </w:r>
      <w:bookmarkEnd w:id="2"/>
      <w:r>
        <w:rPr>
          <w:rFonts w:ascii="Arial" w:hAnsi="Arial" w:cs="Arial"/>
          <w:bCs/>
          <w:sz w:val="28"/>
          <w:szCs w:val="28"/>
        </w:rPr>
        <w:t>” (s 1(2b) OLA 1984).</w:t>
      </w:r>
    </w:p>
    <w:p w14:paraId="396F715B" w14:textId="77777777" w:rsidR="00A32A91" w:rsidRDefault="00BB41A5">
      <w:pPr>
        <w:jc w:val="both"/>
      </w:pPr>
      <w:r>
        <w:rPr>
          <w:rFonts w:ascii="Arial" w:hAnsi="Arial" w:cs="Arial"/>
          <w:bCs/>
          <w:sz w:val="28"/>
          <w:szCs w:val="28"/>
        </w:rPr>
        <w:t xml:space="preserve">Leo leaned against the wooden fence that separated the steps from the concrete floor below. </w:t>
      </w:r>
      <w:r>
        <w:rPr>
          <w:rFonts w:ascii="Arial" w:hAnsi="Arial" w:cs="Arial"/>
          <w:sz w:val="28"/>
          <w:szCs w:val="28"/>
        </w:rPr>
        <w:t xml:space="preserve">The fence gave way and he fell 3 metres onto the concrete path. </w:t>
      </w:r>
      <w:r>
        <w:rPr>
          <w:rFonts w:ascii="Arial" w:hAnsi="Arial" w:cs="Arial"/>
          <w:bCs/>
          <w:sz w:val="28"/>
          <w:szCs w:val="28"/>
        </w:rPr>
        <w:t xml:space="preserve">The occupier owes Leo a degree and want of care as a child. They should expect that most of the customers that would be coming to the theme park would be children, teenagers, young </w:t>
      </w:r>
      <w:proofErr w:type="gramStart"/>
      <w:r>
        <w:rPr>
          <w:rFonts w:ascii="Arial" w:hAnsi="Arial" w:cs="Arial"/>
          <w:bCs/>
          <w:sz w:val="28"/>
          <w:szCs w:val="28"/>
        </w:rPr>
        <w:t>adults</w:t>
      </w:r>
      <w:proofErr w:type="gramEnd"/>
      <w:r>
        <w:rPr>
          <w:rFonts w:ascii="Arial" w:hAnsi="Arial" w:cs="Arial"/>
          <w:bCs/>
          <w:sz w:val="28"/>
          <w:szCs w:val="28"/>
        </w:rPr>
        <w:t xml:space="preserve"> and students, though accompanied by their parents or any other responsible adults. So, they should have taken reasonable care, be extremely careful and ensured their ‘common duty of care’. They should be prepared for children to be less careful than adults. s2(3) OLA 1957 says “The circumstances relevant for the present purpose include the degree of care and of want of care, which would or ordinarily be looked for in such a visitor, so that (for example) in proper case”. “An occupier must be prepared for children to be less careful than adults (s2(3a) OLA 1957).</w:t>
      </w:r>
    </w:p>
    <w:p w14:paraId="035C87A8" w14:textId="77777777" w:rsidR="00A32A91" w:rsidRDefault="00BB41A5">
      <w:pPr>
        <w:spacing w:before="240"/>
        <w:jc w:val="both"/>
      </w:pPr>
      <w:r>
        <w:rPr>
          <w:rFonts w:ascii="Arial" w:hAnsi="Arial" w:cs="Arial"/>
          <w:bCs/>
          <w:sz w:val="28"/>
          <w:szCs w:val="28"/>
        </w:rPr>
        <w:lastRenderedPageBreak/>
        <w:t>CPL would be liable for the accident. If anyone that was not even a child had leaned on the wooden fence, it would still have given way because it was negligently not maintained or checked regularly. If the weight of a child leaning against the fence can cause it to give way, how much more the weight of any other person.</w:t>
      </w:r>
      <w:r>
        <w:rPr>
          <w:rFonts w:ascii="Arial" w:hAnsi="Arial" w:cs="Arial"/>
          <w:sz w:val="28"/>
          <w:szCs w:val="28"/>
        </w:rPr>
        <w:t xml:space="preserve"> CPL later investigated the circumstances surrounding Leo’s accident and it was established that the fence had become rotten overtime due to water dripping onto it from the funhouse roof above.</w:t>
      </w:r>
      <w:r>
        <w:rPr>
          <w:rFonts w:ascii="Arial" w:hAnsi="Arial" w:cs="Arial"/>
          <w:bCs/>
          <w:sz w:val="28"/>
          <w:szCs w:val="28"/>
        </w:rPr>
        <w:t xml:space="preserve"> This is a case of gross negligence. “A court considering a considering a claim in negligence or breach of statutory duty may in determining whether the defendant should have taken particular steps to meet a standard of care (whether by taking precautions against a risk or otherwise), have regard to whether a requirement to take those steps might prevent a desirable activity from being undertaken at all, to a particular extent or in a particular way” (s 1, s 1(a) Compensation Act (CA) 2006).</w:t>
      </w:r>
    </w:p>
    <w:p w14:paraId="0FCCE91D" w14:textId="77777777" w:rsidR="00A32A91" w:rsidRDefault="00BB41A5">
      <w:pPr>
        <w:spacing w:before="240"/>
        <w:jc w:val="both"/>
        <w:rPr>
          <w:rFonts w:ascii="Arial" w:hAnsi="Arial" w:cs="Arial"/>
          <w:bCs/>
          <w:sz w:val="28"/>
          <w:szCs w:val="28"/>
        </w:rPr>
      </w:pPr>
      <w:r>
        <w:rPr>
          <w:rFonts w:ascii="Arial" w:hAnsi="Arial" w:cs="Arial"/>
          <w:bCs/>
          <w:sz w:val="28"/>
          <w:szCs w:val="28"/>
        </w:rPr>
        <w:t xml:space="preserve">There are reasonable grounds for them to know that the children are in the vicinity of danger or that they may come into the vicinity of danger so they are reasonable expected to offer them some protection against any risk they may </w:t>
      </w:r>
      <w:proofErr w:type="gramStart"/>
      <w:r>
        <w:rPr>
          <w:rFonts w:ascii="Arial" w:hAnsi="Arial" w:cs="Arial"/>
          <w:bCs/>
          <w:sz w:val="28"/>
          <w:szCs w:val="28"/>
        </w:rPr>
        <w:t>come in contact with</w:t>
      </w:r>
      <w:proofErr w:type="gramEnd"/>
      <w:r>
        <w:rPr>
          <w:rFonts w:ascii="Arial" w:hAnsi="Arial" w:cs="Arial"/>
          <w:bCs/>
          <w:sz w:val="28"/>
          <w:szCs w:val="28"/>
        </w:rPr>
        <w:t>. s1(3) OLA 1984 “An occupier of premises owes a duty to another in respect of any such risks” If he knows or has reasonable grounds, to believe that the other is in the vicinity of the danger concerned or that he may come into the vicinity of the danger” s 1(3b) OLA 1984. “The risk is one against which in all the circumstances of the case, he may reasonably be expected to offer the other some protection” (s1(3c) OLA 1984).</w:t>
      </w:r>
    </w:p>
    <w:p w14:paraId="4317B009" w14:textId="77777777" w:rsidR="00A32A91" w:rsidRDefault="00BB41A5">
      <w:pPr>
        <w:spacing w:before="240"/>
        <w:jc w:val="both"/>
      </w:pPr>
      <w:r>
        <w:rPr>
          <w:rFonts w:ascii="Arial" w:hAnsi="Arial" w:cs="Arial"/>
          <w:bCs/>
          <w:sz w:val="28"/>
          <w:szCs w:val="28"/>
        </w:rPr>
        <w:t xml:space="preserve">CPL has a duty of care towards </w:t>
      </w:r>
      <w:proofErr w:type="gramStart"/>
      <w:r>
        <w:rPr>
          <w:rFonts w:ascii="Arial" w:hAnsi="Arial" w:cs="Arial"/>
          <w:bCs/>
          <w:sz w:val="28"/>
          <w:szCs w:val="28"/>
        </w:rPr>
        <w:t>Leo</w:t>
      </w:r>
      <w:proofErr w:type="gramEnd"/>
      <w:r>
        <w:rPr>
          <w:rFonts w:ascii="Arial" w:hAnsi="Arial" w:cs="Arial"/>
          <w:bCs/>
          <w:sz w:val="28"/>
          <w:szCs w:val="28"/>
        </w:rPr>
        <w:t xml:space="preserve"> and they failed in their common duty of care. They breached that </w:t>
      </w:r>
      <w:proofErr w:type="gramStart"/>
      <w:r>
        <w:rPr>
          <w:rFonts w:ascii="Arial" w:hAnsi="Arial" w:cs="Arial"/>
          <w:bCs/>
          <w:sz w:val="28"/>
          <w:szCs w:val="28"/>
        </w:rPr>
        <w:t>duty</w:t>
      </w:r>
      <w:proofErr w:type="gramEnd"/>
      <w:r>
        <w:rPr>
          <w:rFonts w:ascii="Arial" w:hAnsi="Arial" w:cs="Arial"/>
          <w:bCs/>
          <w:sz w:val="28"/>
          <w:szCs w:val="28"/>
        </w:rPr>
        <w:t xml:space="preserve"> and it was as a result of that that there was a damage. They breached the duty since the maintenance of the fence would have been part of their periodic management duties. They should have been able to foresee that damage would occur </w:t>
      </w:r>
      <w:proofErr w:type="gramStart"/>
      <w:r>
        <w:rPr>
          <w:rFonts w:ascii="Arial" w:hAnsi="Arial" w:cs="Arial"/>
          <w:bCs/>
          <w:sz w:val="28"/>
          <w:szCs w:val="28"/>
        </w:rPr>
        <w:t>as a result of</w:t>
      </w:r>
      <w:proofErr w:type="gramEnd"/>
      <w:r>
        <w:rPr>
          <w:rFonts w:ascii="Arial" w:hAnsi="Arial" w:cs="Arial"/>
          <w:bCs/>
          <w:sz w:val="28"/>
          <w:szCs w:val="28"/>
        </w:rPr>
        <w:t xml:space="preserve"> routine maintenance not carried out in their equipment and premises to the extent that the fence became rotten</w:t>
      </w:r>
      <w:r>
        <w:rPr>
          <w:rFonts w:ascii="Arial" w:hAnsi="Arial" w:cs="Arial"/>
          <w:sz w:val="28"/>
          <w:szCs w:val="28"/>
        </w:rPr>
        <w:t xml:space="preserve"> overtime due to water dripping onto it from the funhouse roof above.</w:t>
      </w:r>
    </w:p>
    <w:p w14:paraId="7EC93370" w14:textId="77777777" w:rsidR="00A32A91" w:rsidRDefault="00BB41A5">
      <w:pPr>
        <w:shd w:val="clear" w:color="auto" w:fill="FFFFFF"/>
        <w:spacing w:after="240" w:line="336" w:lineRule="atLeast"/>
        <w:jc w:val="both"/>
      </w:pPr>
      <w:r>
        <w:rPr>
          <w:rFonts w:ascii="Arial" w:hAnsi="Arial" w:cs="Arial"/>
          <w:bCs/>
          <w:sz w:val="28"/>
          <w:szCs w:val="28"/>
        </w:rPr>
        <w:t xml:space="preserve">In the case Wheat v </w:t>
      </w:r>
      <w:proofErr w:type="spellStart"/>
      <w:r>
        <w:rPr>
          <w:rFonts w:ascii="Arial" w:hAnsi="Arial" w:cs="Arial"/>
          <w:bCs/>
          <w:sz w:val="28"/>
          <w:szCs w:val="28"/>
        </w:rPr>
        <w:t>Lacon</w:t>
      </w:r>
      <w:proofErr w:type="spellEnd"/>
      <w:r>
        <w:rPr>
          <w:rFonts w:ascii="Arial" w:hAnsi="Arial" w:cs="Arial"/>
          <w:bCs/>
          <w:sz w:val="28"/>
          <w:szCs w:val="28"/>
        </w:rPr>
        <w:t xml:space="preserve"> [1966] ACC 552 HL, the claimant brought an action under the OLA 1957 against the Brewery company, </w:t>
      </w:r>
      <w:proofErr w:type="spellStart"/>
      <w:r>
        <w:rPr>
          <w:rFonts w:ascii="Arial" w:hAnsi="Arial" w:cs="Arial"/>
          <w:bCs/>
          <w:sz w:val="28"/>
          <w:szCs w:val="28"/>
        </w:rPr>
        <w:t>Lacon</w:t>
      </w:r>
      <w:proofErr w:type="spellEnd"/>
      <w:r>
        <w:rPr>
          <w:rFonts w:ascii="Arial" w:hAnsi="Arial" w:cs="Arial"/>
          <w:bCs/>
          <w:sz w:val="28"/>
          <w:szCs w:val="28"/>
        </w:rPr>
        <w:t xml:space="preserve">, which owed the Golfer’s Arms and against the Managers of the Pub, </w:t>
      </w:r>
      <w:proofErr w:type="gramStart"/>
      <w:r>
        <w:rPr>
          <w:rFonts w:ascii="Arial" w:hAnsi="Arial" w:cs="Arial"/>
          <w:bCs/>
          <w:sz w:val="28"/>
          <w:szCs w:val="28"/>
        </w:rPr>
        <w:t>Mr</w:t>
      </w:r>
      <w:proofErr w:type="gramEnd"/>
      <w:r>
        <w:rPr>
          <w:rFonts w:ascii="Arial" w:hAnsi="Arial" w:cs="Arial"/>
          <w:bCs/>
          <w:sz w:val="28"/>
          <w:szCs w:val="28"/>
        </w:rPr>
        <w:t xml:space="preserve"> and Mrs Richardson, who occupied the Pub as a licensee. The claimant and her family stayed at the Golfers Arms Great Yarmouth for a holiday. Unfortunately, her husband fell down the stairs, hit his head and died. The </w:t>
      </w:r>
      <w:r>
        <w:rPr>
          <w:rFonts w:ascii="Arial" w:hAnsi="Arial" w:cs="Arial"/>
          <w:bCs/>
          <w:sz w:val="28"/>
          <w:szCs w:val="28"/>
        </w:rPr>
        <w:lastRenderedPageBreak/>
        <w:t xml:space="preserve">steps were steep and narrow. The handrail also stopped two steps from the bottom of the stairs and there was no bulb in the light. The House of Lords held that both Mr and Mrs Richardson and </w:t>
      </w:r>
      <w:proofErr w:type="spellStart"/>
      <w:r>
        <w:rPr>
          <w:rFonts w:ascii="Arial" w:hAnsi="Arial" w:cs="Arial"/>
          <w:bCs/>
          <w:sz w:val="28"/>
          <w:szCs w:val="28"/>
        </w:rPr>
        <w:t>Lacon</w:t>
      </w:r>
      <w:proofErr w:type="spellEnd"/>
      <w:r>
        <w:rPr>
          <w:rFonts w:ascii="Arial" w:hAnsi="Arial" w:cs="Arial"/>
          <w:bCs/>
          <w:sz w:val="28"/>
          <w:szCs w:val="28"/>
        </w:rPr>
        <w:t xml:space="preserve"> were occupiers for the purpose of the OLA 1957 and therefore, they both owed the common duty of care. The presiding Lord, </w:t>
      </w:r>
      <w:r>
        <w:rPr>
          <w:rFonts w:ascii="Arial" w:eastAsia="Times New Roman" w:hAnsi="Arial" w:cs="Arial"/>
          <w:color w:val="000000"/>
          <w:sz w:val="28"/>
          <w:szCs w:val="28"/>
          <w:lang w:eastAsia="en-GB"/>
        </w:rPr>
        <w:t xml:space="preserve">Lord Denning says “wherever a person has a sufficient degree of control over premises that he ought to realise that any failure on his part to use care may result in injury to a person coming lawfully there, then he is an " occupier " and the person coming lawfully there is his " visitor ": and the " occupier " is under a duty to his " visitor " to use reasonable care. </w:t>
      </w:r>
      <w:proofErr w:type="gramStart"/>
      <w:r>
        <w:rPr>
          <w:rFonts w:ascii="Arial" w:eastAsia="Times New Roman" w:hAnsi="Arial" w:cs="Arial"/>
          <w:color w:val="000000"/>
          <w:sz w:val="28"/>
          <w:szCs w:val="28"/>
          <w:lang w:eastAsia="en-GB"/>
        </w:rPr>
        <w:t>In order to</w:t>
      </w:r>
      <w:proofErr w:type="gramEnd"/>
      <w:r>
        <w:rPr>
          <w:rFonts w:ascii="Arial" w:eastAsia="Times New Roman" w:hAnsi="Arial" w:cs="Arial"/>
          <w:color w:val="000000"/>
          <w:sz w:val="28"/>
          <w:szCs w:val="28"/>
          <w:lang w:eastAsia="en-GB"/>
        </w:rPr>
        <w:t xml:space="preserve"> be an " occupier " it is not necessary for a person to have entire control over the premises. He need not have exclusive occupation. Suffice it that he has some degree of control. He may share the control with others. Two or more may be " occupiers ". And whenever this happens, each is under a duty to use care towards persons coming lawfully on to the premises, dependent on his degree of control. If each fails in his duty, each is liable to a visitor who is injured in consequence of his failure, but each may have a claim to contribution from the </w:t>
      </w:r>
      <w:proofErr w:type="spellStart"/>
      <w:r>
        <w:rPr>
          <w:rFonts w:ascii="Arial" w:eastAsia="Times New Roman" w:hAnsi="Arial" w:cs="Arial"/>
          <w:color w:val="000000"/>
          <w:sz w:val="28"/>
          <w:szCs w:val="28"/>
          <w:lang w:eastAsia="en-GB"/>
        </w:rPr>
        <w:t>other</w:t>
      </w:r>
      <w:proofErr w:type="gramStart"/>
      <w:r>
        <w:rPr>
          <w:rFonts w:ascii="Arial" w:eastAsia="Times New Roman" w:hAnsi="Arial" w:cs="Arial"/>
          <w:color w:val="000000"/>
          <w:sz w:val="28"/>
          <w:szCs w:val="28"/>
          <w:lang w:eastAsia="en-GB"/>
        </w:rPr>
        <w:t>.”However</w:t>
      </w:r>
      <w:proofErr w:type="spellEnd"/>
      <w:proofErr w:type="gramEnd"/>
      <w:r>
        <w:rPr>
          <w:rFonts w:ascii="Arial" w:eastAsia="Times New Roman" w:hAnsi="Arial" w:cs="Arial"/>
          <w:color w:val="000000"/>
          <w:sz w:val="28"/>
          <w:szCs w:val="28"/>
          <w:lang w:eastAsia="en-GB"/>
        </w:rPr>
        <w:t xml:space="preserve">, it was found that </w:t>
      </w:r>
      <w:proofErr w:type="spellStart"/>
      <w:r>
        <w:rPr>
          <w:rFonts w:ascii="Arial" w:eastAsia="Times New Roman" w:hAnsi="Arial" w:cs="Arial"/>
          <w:color w:val="000000"/>
          <w:sz w:val="28"/>
          <w:szCs w:val="28"/>
          <w:lang w:eastAsia="en-GB"/>
        </w:rPr>
        <w:t>Lacon</w:t>
      </w:r>
      <w:proofErr w:type="spellEnd"/>
      <w:r>
        <w:rPr>
          <w:rFonts w:ascii="Arial" w:eastAsia="Times New Roman" w:hAnsi="Arial" w:cs="Arial"/>
          <w:color w:val="000000"/>
          <w:sz w:val="28"/>
          <w:szCs w:val="28"/>
          <w:lang w:eastAsia="en-GB"/>
        </w:rPr>
        <w:t xml:space="preserve"> was not in breach of duty since the provision of light bulb would have been part of the day to day management duties of the Richardson. Since the Richardson were not party to the appeal, the claimant action failed.</w:t>
      </w:r>
    </w:p>
    <w:p w14:paraId="07C75EA8" w14:textId="77777777" w:rsidR="00A32A91" w:rsidRDefault="00BB41A5">
      <w:pPr>
        <w:jc w:val="both"/>
        <w:rPr>
          <w:rFonts w:ascii="Arial" w:hAnsi="Arial" w:cs="Arial"/>
          <w:bCs/>
          <w:sz w:val="28"/>
          <w:szCs w:val="28"/>
        </w:rPr>
      </w:pPr>
      <w:r>
        <w:rPr>
          <w:rFonts w:ascii="Arial" w:hAnsi="Arial" w:cs="Arial"/>
          <w:bCs/>
          <w:sz w:val="28"/>
          <w:szCs w:val="28"/>
        </w:rPr>
        <w:t xml:space="preserve">CPL would have mitigated the risk to see that anyone that comes into the premises would be safe (s1(2b) OLA 1984). That is, those who are his visitor for that purpose to take such care as in all circumstances of the case to see that the visitor will be reasonably safe in using the premises for which he was invited or permitted (s 2 OLA 1957)) by putting up a notice. </w:t>
      </w:r>
      <w:proofErr w:type="gramStart"/>
      <w:r>
        <w:rPr>
          <w:rFonts w:ascii="Arial" w:hAnsi="Arial" w:cs="Arial"/>
          <w:bCs/>
          <w:sz w:val="28"/>
          <w:szCs w:val="28"/>
        </w:rPr>
        <w:t>( s</w:t>
      </w:r>
      <w:proofErr w:type="gramEnd"/>
      <w:r>
        <w:rPr>
          <w:rFonts w:ascii="Arial" w:hAnsi="Arial" w:cs="Arial"/>
          <w:bCs/>
          <w:sz w:val="28"/>
          <w:szCs w:val="28"/>
        </w:rPr>
        <w:t xml:space="preserve"> 1(5) OLA 1984 “Any duty owed by virtue of this section in respect of a risk may, in an appropriate case, be discharged by taking such steps as are reasonable in all the circumstances of the case to give warning of the danger concerned or to discourage persons from incurring the risk”) for people to be careful with the wooden fence so that they would not suffer any injury. (s 1(4) OLA 1984) “Where, by virtue of this section, an occupier of premises owes a duty to another in respect of such a risk, the duty is to take such care as in reasonable in all the circumstances of the case to see that he does not suffer injury on the premises by reason of the danger concerned”.</w:t>
      </w:r>
    </w:p>
    <w:p w14:paraId="0686F607" w14:textId="77777777" w:rsidR="00A32A91" w:rsidRDefault="00BB41A5">
      <w:pPr>
        <w:jc w:val="both"/>
        <w:rPr>
          <w:rFonts w:ascii="Arial" w:hAnsi="Arial" w:cs="Arial"/>
          <w:bCs/>
          <w:sz w:val="28"/>
          <w:szCs w:val="28"/>
        </w:rPr>
      </w:pPr>
      <w:r>
        <w:rPr>
          <w:rFonts w:ascii="Arial" w:hAnsi="Arial" w:cs="Arial"/>
          <w:bCs/>
          <w:sz w:val="28"/>
          <w:szCs w:val="28"/>
        </w:rPr>
        <w:t xml:space="preserve">There should have been a routine maintenance/renovation work that is carried out by CPL on all their equipment/premises to ensure that the premises are not left in a dangerous state and that people that use the premises are safe. s 2 OLA 1984 says of visitors using premises for </w:t>
      </w:r>
      <w:r>
        <w:rPr>
          <w:rFonts w:ascii="Arial" w:hAnsi="Arial" w:cs="Arial"/>
          <w:bCs/>
          <w:sz w:val="28"/>
          <w:szCs w:val="28"/>
        </w:rPr>
        <w:lastRenderedPageBreak/>
        <w:t>recreation “But liability of an occupier of premises for breach of an obligation or duty towards a person obtaining access to the premises for recreational or educational purposes, being liability for loss or damage suffered by reason of the dangerous state of the premises, is not a business liability of the occupier unless granting that person such access for the purposes concerned falls within the business purposes of the occupier”).</w:t>
      </w:r>
    </w:p>
    <w:p w14:paraId="0299175B" w14:textId="77777777" w:rsidR="00A32A91" w:rsidRDefault="00BB41A5">
      <w:pPr>
        <w:jc w:val="both"/>
        <w:rPr>
          <w:rFonts w:ascii="Arial" w:hAnsi="Arial" w:cs="Arial"/>
          <w:bCs/>
          <w:sz w:val="28"/>
          <w:szCs w:val="28"/>
        </w:rPr>
      </w:pPr>
      <w:r>
        <w:rPr>
          <w:rFonts w:ascii="Arial" w:hAnsi="Arial" w:cs="Arial"/>
          <w:bCs/>
          <w:sz w:val="28"/>
          <w:szCs w:val="28"/>
        </w:rPr>
        <w:t>s 2(1) UFCTA 1977- “A person cannot by reference to any contract term or to a notice given to persons generally or to a particular person exclude or restrict his liability for death or personal injury resulting from negligence”.</w:t>
      </w:r>
    </w:p>
    <w:p w14:paraId="4621A300" w14:textId="77777777" w:rsidR="00A32A91" w:rsidRDefault="00BB41A5">
      <w:pPr>
        <w:jc w:val="both"/>
        <w:rPr>
          <w:rFonts w:ascii="Arial" w:hAnsi="Arial" w:cs="Arial"/>
          <w:bCs/>
          <w:sz w:val="28"/>
          <w:szCs w:val="28"/>
        </w:rPr>
      </w:pPr>
      <w:r>
        <w:rPr>
          <w:rFonts w:ascii="Arial" w:hAnsi="Arial" w:cs="Arial"/>
          <w:bCs/>
          <w:sz w:val="28"/>
          <w:szCs w:val="28"/>
        </w:rPr>
        <w:t>s 2(2) UFCTA 1977 “In the case of other loss or damage, a person cannot so exclude or restrict his liability for negligence except in so far as the term or notice satisfies the requirements of reasonableness).</w:t>
      </w:r>
    </w:p>
    <w:p w14:paraId="1376FF89" w14:textId="77777777" w:rsidR="00A32A91" w:rsidRDefault="00A32A91">
      <w:pPr>
        <w:jc w:val="both"/>
        <w:rPr>
          <w:rFonts w:ascii="Arial" w:hAnsi="Arial" w:cs="Arial"/>
          <w:bCs/>
          <w:sz w:val="28"/>
          <w:szCs w:val="28"/>
        </w:rPr>
      </w:pPr>
    </w:p>
    <w:p w14:paraId="5735EEA7" w14:textId="77777777" w:rsidR="00A32A91" w:rsidRDefault="00A32A91">
      <w:pPr>
        <w:jc w:val="both"/>
        <w:rPr>
          <w:rFonts w:ascii="Arial" w:hAnsi="Arial" w:cs="Arial"/>
          <w:bCs/>
          <w:sz w:val="28"/>
          <w:szCs w:val="28"/>
        </w:rPr>
      </w:pPr>
    </w:p>
    <w:p w14:paraId="4B116C3C" w14:textId="77777777" w:rsidR="00A32A91" w:rsidRDefault="00A32A91">
      <w:pPr>
        <w:jc w:val="both"/>
        <w:rPr>
          <w:rFonts w:ascii="Arial" w:hAnsi="Arial" w:cs="Arial"/>
          <w:bCs/>
          <w:sz w:val="28"/>
          <w:szCs w:val="28"/>
        </w:rPr>
      </w:pPr>
    </w:p>
    <w:p w14:paraId="76722564" w14:textId="77777777" w:rsidR="00A32A91" w:rsidRDefault="00A32A91">
      <w:pPr>
        <w:jc w:val="both"/>
        <w:rPr>
          <w:rFonts w:ascii="Arial" w:hAnsi="Arial" w:cs="Arial"/>
          <w:bCs/>
          <w:sz w:val="28"/>
          <w:szCs w:val="28"/>
        </w:rPr>
      </w:pPr>
    </w:p>
    <w:p w14:paraId="1411673D" w14:textId="77777777" w:rsidR="00A32A91" w:rsidRDefault="00A32A91">
      <w:pPr>
        <w:jc w:val="both"/>
        <w:rPr>
          <w:rFonts w:ascii="Arial" w:hAnsi="Arial" w:cs="Arial"/>
          <w:bCs/>
          <w:sz w:val="28"/>
          <w:szCs w:val="28"/>
        </w:rPr>
      </w:pPr>
    </w:p>
    <w:p w14:paraId="7AB25703" w14:textId="77777777" w:rsidR="00A32A91" w:rsidRDefault="00A32A91">
      <w:pPr>
        <w:jc w:val="both"/>
        <w:rPr>
          <w:rFonts w:ascii="Arial" w:hAnsi="Arial" w:cs="Arial"/>
          <w:bCs/>
          <w:sz w:val="28"/>
          <w:szCs w:val="28"/>
        </w:rPr>
      </w:pPr>
    </w:p>
    <w:p w14:paraId="26C115B6" w14:textId="77777777" w:rsidR="00A32A91" w:rsidRDefault="00A32A91">
      <w:pPr>
        <w:jc w:val="both"/>
        <w:rPr>
          <w:rFonts w:ascii="Arial" w:hAnsi="Arial" w:cs="Arial"/>
          <w:bCs/>
          <w:sz w:val="28"/>
          <w:szCs w:val="28"/>
          <w:shd w:val="clear" w:color="auto" w:fill="FFFF00"/>
        </w:rPr>
      </w:pPr>
    </w:p>
    <w:p w14:paraId="586AB843" w14:textId="77777777" w:rsidR="00A32A91" w:rsidRDefault="00A32A91">
      <w:pPr>
        <w:jc w:val="both"/>
        <w:rPr>
          <w:rFonts w:ascii="Arial" w:hAnsi="Arial" w:cs="Arial"/>
          <w:bCs/>
          <w:sz w:val="28"/>
          <w:szCs w:val="28"/>
        </w:rPr>
      </w:pPr>
    </w:p>
    <w:p w14:paraId="112BD7AE" w14:textId="77777777" w:rsidR="00A32A91" w:rsidRDefault="00A32A91">
      <w:pPr>
        <w:jc w:val="both"/>
        <w:rPr>
          <w:rFonts w:ascii="Arial" w:hAnsi="Arial" w:cs="Arial"/>
          <w:bCs/>
          <w:sz w:val="28"/>
          <w:szCs w:val="28"/>
        </w:rPr>
      </w:pPr>
    </w:p>
    <w:p w14:paraId="59FDF2EB" w14:textId="77777777" w:rsidR="00A32A91" w:rsidRDefault="00A32A91">
      <w:pPr>
        <w:jc w:val="both"/>
        <w:rPr>
          <w:rFonts w:ascii="Arial" w:hAnsi="Arial" w:cs="Arial"/>
          <w:bCs/>
          <w:sz w:val="28"/>
          <w:szCs w:val="28"/>
        </w:rPr>
      </w:pPr>
    </w:p>
    <w:p w14:paraId="7E5D10DC" w14:textId="77777777" w:rsidR="00A32A91" w:rsidRDefault="00A32A91">
      <w:pPr>
        <w:jc w:val="both"/>
        <w:rPr>
          <w:rFonts w:ascii="Arial" w:hAnsi="Arial" w:cs="Arial"/>
          <w:bCs/>
          <w:sz w:val="28"/>
          <w:szCs w:val="28"/>
        </w:rPr>
      </w:pPr>
    </w:p>
    <w:p w14:paraId="535CD2EA" w14:textId="77777777" w:rsidR="00A32A91" w:rsidRDefault="00A32A91">
      <w:pPr>
        <w:jc w:val="both"/>
        <w:rPr>
          <w:rFonts w:ascii="Arial" w:hAnsi="Arial" w:cs="Arial"/>
          <w:bCs/>
          <w:sz w:val="28"/>
          <w:szCs w:val="28"/>
        </w:rPr>
      </w:pPr>
    </w:p>
    <w:p w14:paraId="2B1432C0" w14:textId="77777777" w:rsidR="00A32A91" w:rsidRDefault="00A32A91">
      <w:pPr>
        <w:jc w:val="both"/>
        <w:rPr>
          <w:rFonts w:ascii="Arial" w:hAnsi="Arial" w:cs="Arial"/>
          <w:bCs/>
          <w:sz w:val="28"/>
          <w:szCs w:val="28"/>
        </w:rPr>
      </w:pPr>
    </w:p>
    <w:p w14:paraId="40EBBE20" w14:textId="77777777" w:rsidR="00A32A91" w:rsidRDefault="00A32A91">
      <w:pPr>
        <w:jc w:val="both"/>
        <w:rPr>
          <w:rFonts w:ascii="Arial" w:hAnsi="Arial" w:cs="Arial"/>
          <w:bCs/>
          <w:sz w:val="28"/>
          <w:szCs w:val="28"/>
        </w:rPr>
      </w:pPr>
    </w:p>
    <w:p w14:paraId="2EE9AB51" w14:textId="77777777" w:rsidR="00A32A91" w:rsidRDefault="00A32A91">
      <w:pPr>
        <w:jc w:val="both"/>
        <w:rPr>
          <w:rFonts w:ascii="Arial" w:hAnsi="Arial" w:cs="Arial"/>
          <w:bCs/>
          <w:sz w:val="28"/>
          <w:szCs w:val="28"/>
        </w:rPr>
      </w:pPr>
    </w:p>
    <w:p w14:paraId="555E0629" w14:textId="77777777" w:rsidR="00A32A91" w:rsidRDefault="00A32A91">
      <w:pPr>
        <w:jc w:val="both"/>
        <w:rPr>
          <w:rFonts w:ascii="Arial" w:hAnsi="Arial" w:cs="Arial"/>
          <w:bCs/>
          <w:sz w:val="28"/>
          <w:szCs w:val="28"/>
        </w:rPr>
      </w:pPr>
    </w:p>
    <w:p w14:paraId="131F3487" w14:textId="77777777" w:rsidR="00A32A91" w:rsidRDefault="00A32A91">
      <w:pPr>
        <w:jc w:val="both"/>
        <w:rPr>
          <w:rFonts w:ascii="Arial" w:hAnsi="Arial" w:cs="Arial"/>
          <w:bCs/>
          <w:sz w:val="28"/>
          <w:szCs w:val="28"/>
        </w:rPr>
      </w:pPr>
    </w:p>
    <w:p w14:paraId="2F2EEC85" w14:textId="77777777" w:rsidR="00A32A91" w:rsidRDefault="00A32A91">
      <w:pPr>
        <w:jc w:val="both"/>
        <w:rPr>
          <w:rFonts w:ascii="Arial" w:hAnsi="Arial" w:cs="Arial"/>
          <w:bCs/>
          <w:sz w:val="28"/>
          <w:szCs w:val="28"/>
        </w:rPr>
      </w:pPr>
    </w:p>
    <w:p w14:paraId="53C50272" w14:textId="60935D3A" w:rsidR="00E45D39" w:rsidRDefault="00E45D39">
      <w:pPr>
        <w:jc w:val="both"/>
        <w:rPr>
          <w:rFonts w:ascii="Arial" w:hAnsi="Arial" w:cs="Arial"/>
          <w:bCs/>
          <w:sz w:val="28"/>
          <w:szCs w:val="28"/>
        </w:rPr>
      </w:pPr>
      <w:r>
        <w:rPr>
          <w:rFonts w:ascii="Arial" w:hAnsi="Arial" w:cs="Arial"/>
          <w:bCs/>
          <w:sz w:val="28"/>
          <w:szCs w:val="28"/>
        </w:rPr>
        <w:lastRenderedPageBreak/>
        <w:t>CPL’s Liability to Mille</w:t>
      </w:r>
    </w:p>
    <w:p w14:paraId="36347D1D" w14:textId="42445D88" w:rsidR="00A32A91" w:rsidRDefault="00BB41A5">
      <w:pPr>
        <w:jc w:val="both"/>
        <w:rPr>
          <w:rFonts w:ascii="Arial" w:hAnsi="Arial" w:cs="Arial"/>
          <w:bCs/>
          <w:sz w:val="28"/>
          <w:szCs w:val="28"/>
        </w:rPr>
      </w:pPr>
      <w:r>
        <w:rPr>
          <w:rFonts w:ascii="Arial" w:hAnsi="Arial" w:cs="Arial"/>
          <w:bCs/>
          <w:sz w:val="28"/>
          <w:szCs w:val="28"/>
        </w:rPr>
        <w:t xml:space="preserve">The Occupiers Liability Act 1984 is relevant in the case of Millie because Millie is not a visitor, permission </w:t>
      </w:r>
      <w:proofErr w:type="gramStart"/>
      <w:r>
        <w:rPr>
          <w:rFonts w:ascii="Arial" w:hAnsi="Arial" w:cs="Arial"/>
          <w:bCs/>
          <w:sz w:val="28"/>
          <w:szCs w:val="28"/>
        </w:rPr>
        <w:t>was</w:t>
      </w:r>
      <w:proofErr w:type="gramEnd"/>
      <w:r>
        <w:rPr>
          <w:rFonts w:ascii="Arial" w:hAnsi="Arial" w:cs="Arial"/>
          <w:bCs/>
          <w:sz w:val="28"/>
          <w:szCs w:val="28"/>
        </w:rPr>
        <w:t xml:space="preserve"> not granted her to enter the premises. Mille is a trespasser. She has not been given the permission to enter the park nor to climb the perimeter fence and jump in. Permission is granted only when you pay the single entrance fee. She cannot be treated as a visitor nor an invitee but the occupier owe her a duty based on the OLA 1984 s1(1) (a) “A duty is owed by a person as occupier of premises to persons other than his visitor in respect of any risk of their suffering injury on the premises by reason of any danger due to the state of the premises or to things done or omitted to be done on </w:t>
      </w:r>
      <w:proofErr w:type="gramStart"/>
      <w:r>
        <w:rPr>
          <w:rFonts w:ascii="Arial" w:hAnsi="Arial" w:cs="Arial"/>
          <w:bCs/>
          <w:sz w:val="28"/>
          <w:szCs w:val="28"/>
        </w:rPr>
        <w:t>them”…</w:t>
      </w:r>
      <w:proofErr w:type="gramEnd"/>
    </w:p>
    <w:p w14:paraId="16B0905D" w14:textId="77777777" w:rsidR="00A32A91" w:rsidRDefault="00BB41A5">
      <w:pPr>
        <w:jc w:val="both"/>
        <w:rPr>
          <w:rFonts w:ascii="Arial" w:hAnsi="Arial" w:cs="Arial"/>
          <w:bCs/>
          <w:sz w:val="28"/>
          <w:szCs w:val="28"/>
        </w:rPr>
      </w:pPr>
      <w:r>
        <w:rPr>
          <w:rFonts w:ascii="Arial" w:hAnsi="Arial" w:cs="Arial"/>
          <w:bCs/>
          <w:sz w:val="28"/>
          <w:szCs w:val="28"/>
        </w:rPr>
        <w:t xml:space="preserve">CPL owe Mille a duty of care. Though she is not a visitor but under the OLA 1984 s1(1) (a), they owe her a duty of care. They should have been well prepared and aware that some children or students may be naughty and want to enter the </w:t>
      </w:r>
      <w:proofErr w:type="gramStart"/>
      <w:r>
        <w:rPr>
          <w:rFonts w:ascii="Arial" w:hAnsi="Arial" w:cs="Arial"/>
          <w:bCs/>
          <w:sz w:val="28"/>
          <w:szCs w:val="28"/>
        </w:rPr>
        <w:t>premises by all means</w:t>
      </w:r>
      <w:proofErr w:type="gramEnd"/>
      <w:r>
        <w:rPr>
          <w:rFonts w:ascii="Arial" w:hAnsi="Arial" w:cs="Arial"/>
          <w:bCs/>
          <w:sz w:val="28"/>
          <w:szCs w:val="28"/>
        </w:rPr>
        <w:t>. Ward LJ in says in the case Tomlinson v Congleton Borough (2003) that “I accept that the council must have known that there was a possibility that some boisterous teenager would injure himself by horseplay in the shadows’’. They should have put up notices that everyone can see an engage the services of more staff to patrol the fence and watch out for trespassers.</w:t>
      </w:r>
    </w:p>
    <w:p w14:paraId="0E9EF690" w14:textId="77777777" w:rsidR="00A32A91" w:rsidRDefault="00BB41A5">
      <w:pPr>
        <w:jc w:val="both"/>
        <w:rPr>
          <w:rFonts w:ascii="Arial" w:hAnsi="Arial" w:cs="Arial"/>
          <w:bCs/>
          <w:sz w:val="28"/>
          <w:szCs w:val="28"/>
        </w:rPr>
      </w:pPr>
      <w:r>
        <w:rPr>
          <w:rFonts w:ascii="Arial" w:hAnsi="Arial" w:cs="Arial"/>
          <w:bCs/>
          <w:sz w:val="28"/>
          <w:szCs w:val="28"/>
        </w:rPr>
        <w:t>OLA 1984 s1(3)- “An occupier of premises owes a duty to another in respect of any such risks” …</w:t>
      </w:r>
    </w:p>
    <w:p w14:paraId="03659D53" w14:textId="77777777" w:rsidR="00A32A91" w:rsidRDefault="00BB41A5">
      <w:pPr>
        <w:jc w:val="both"/>
        <w:rPr>
          <w:rFonts w:ascii="Arial" w:hAnsi="Arial" w:cs="Arial"/>
          <w:bCs/>
          <w:sz w:val="28"/>
          <w:szCs w:val="28"/>
        </w:rPr>
      </w:pPr>
      <w:r>
        <w:rPr>
          <w:rFonts w:ascii="Arial" w:hAnsi="Arial" w:cs="Arial"/>
          <w:bCs/>
          <w:sz w:val="28"/>
          <w:szCs w:val="28"/>
        </w:rPr>
        <w:t>OLA 1984 s1(3b)” He knows or has reasonable grounds, to believe that the other is in the vicinity of the danger concerned or that he may come into the vicinity of the danger (in either case, whether the other has lawful authority for being in that vicinity or not”.</w:t>
      </w:r>
    </w:p>
    <w:p w14:paraId="6C5136AB" w14:textId="77777777" w:rsidR="00A32A91" w:rsidRDefault="00BB41A5">
      <w:pPr>
        <w:jc w:val="both"/>
        <w:rPr>
          <w:rFonts w:ascii="Arial" w:hAnsi="Arial" w:cs="Arial"/>
          <w:bCs/>
          <w:sz w:val="28"/>
          <w:szCs w:val="28"/>
        </w:rPr>
      </w:pPr>
      <w:r>
        <w:rPr>
          <w:rFonts w:ascii="Arial" w:hAnsi="Arial" w:cs="Arial"/>
          <w:bCs/>
          <w:sz w:val="28"/>
          <w:szCs w:val="28"/>
        </w:rPr>
        <w:t>OLA 1984 s1(3c) “The risk is one against which in all the circumstances of the case, he may reasonably be expected to offer the other some protection”.</w:t>
      </w:r>
    </w:p>
    <w:p w14:paraId="02AB1CD6" w14:textId="77777777" w:rsidR="00A32A91" w:rsidRDefault="00BB41A5">
      <w:pPr>
        <w:jc w:val="both"/>
        <w:rPr>
          <w:rFonts w:ascii="Arial" w:hAnsi="Arial" w:cs="Arial"/>
          <w:bCs/>
          <w:sz w:val="28"/>
          <w:szCs w:val="28"/>
        </w:rPr>
      </w:pPr>
      <w:r>
        <w:rPr>
          <w:rFonts w:ascii="Arial" w:hAnsi="Arial" w:cs="Arial"/>
          <w:bCs/>
          <w:sz w:val="28"/>
          <w:szCs w:val="28"/>
        </w:rPr>
        <w:t>OLA 1984 s1(4) “Where, by virtue of this section, an occupier of premises owes a duty to another in respect of such a risk, the duty is to take such care as in reasonable in all the circumstances of the case to see that he does not suffer injury on the premises by reason of the danger concerned”.</w:t>
      </w:r>
    </w:p>
    <w:p w14:paraId="797DE1A1" w14:textId="77777777" w:rsidR="00A32A91" w:rsidRDefault="00BB41A5">
      <w:pPr>
        <w:jc w:val="both"/>
        <w:rPr>
          <w:rFonts w:ascii="Arial" w:hAnsi="Arial" w:cs="Arial"/>
          <w:bCs/>
          <w:sz w:val="28"/>
          <w:szCs w:val="28"/>
        </w:rPr>
      </w:pPr>
      <w:r>
        <w:rPr>
          <w:rFonts w:ascii="Arial" w:hAnsi="Arial" w:cs="Arial"/>
          <w:bCs/>
          <w:sz w:val="28"/>
          <w:szCs w:val="28"/>
        </w:rPr>
        <w:t>OLA 1984 s1(5) “Any duty owed by virtue of this section in respect of a risk may, in an appropriate case, be discharged by taking such steps as are reasonable in all the circumstances of the case to give warning of the danger concerned or to discourage persons from incurring the risk”.</w:t>
      </w:r>
    </w:p>
    <w:p w14:paraId="6D45DDEA" w14:textId="77777777" w:rsidR="00A32A91" w:rsidRDefault="00BB41A5">
      <w:pPr>
        <w:jc w:val="both"/>
        <w:rPr>
          <w:rFonts w:ascii="Arial" w:hAnsi="Arial" w:cs="Arial"/>
          <w:bCs/>
          <w:sz w:val="28"/>
          <w:szCs w:val="28"/>
        </w:rPr>
      </w:pPr>
      <w:r>
        <w:rPr>
          <w:rFonts w:ascii="Arial" w:hAnsi="Arial" w:cs="Arial"/>
          <w:bCs/>
          <w:sz w:val="28"/>
          <w:szCs w:val="28"/>
        </w:rPr>
        <w:lastRenderedPageBreak/>
        <w:t>Tomlinson v Congleton Borough Council (2003) 3 WLR 705 House of Lords</w:t>
      </w:r>
    </w:p>
    <w:p w14:paraId="2C5F57AA" w14:textId="77777777" w:rsidR="00A32A91" w:rsidRDefault="00BB41A5">
      <w:pPr>
        <w:jc w:val="both"/>
        <w:rPr>
          <w:rFonts w:ascii="Arial" w:hAnsi="Arial" w:cs="Arial"/>
          <w:bCs/>
          <w:sz w:val="28"/>
          <w:szCs w:val="28"/>
        </w:rPr>
      </w:pPr>
      <w:r>
        <w:rPr>
          <w:rFonts w:ascii="Arial" w:hAnsi="Arial" w:cs="Arial"/>
          <w:bCs/>
          <w:sz w:val="28"/>
          <w:szCs w:val="28"/>
        </w:rPr>
        <w:t xml:space="preserve">The defendant owned Brereton Heath Country Park. It was previously a sand quarry and they transformed it to a country park and opened for public use. There is a lake in the park and swimming was prohibited in the lake. Notices were posted at the entrance </w:t>
      </w:r>
      <w:proofErr w:type="gramStart"/>
      <w:r>
        <w:rPr>
          <w:rFonts w:ascii="Arial" w:hAnsi="Arial" w:cs="Arial"/>
          <w:bCs/>
          <w:sz w:val="28"/>
          <w:szCs w:val="28"/>
        </w:rPr>
        <w:t>saying</w:t>
      </w:r>
      <w:proofErr w:type="gramEnd"/>
      <w:r>
        <w:rPr>
          <w:rFonts w:ascii="Arial" w:hAnsi="Arial" w:cs="Arial"/>
          <w:bCs/>
          <w:sz w:val="28"/>
          <w:szCs w:val="28"/>
        </w:rPr>
        <w:t xml:space="preserve"> ‘dangerous water’, ‘no swimming’.  However, despite this, people still swim in the lake. Rangers were even employed to prevent </w:t>
      </w:r>
      <w:proofErr w:type="gramStart"/>
      <w:r>
        <w:rPr>
          <w:rFonts w:ascii="Arial" w:hAnsi="Arial" w:cs="Arial"/>
          <w:bCs/>
          <w:sz w:val="28"/>
          <w:szCs w:val="28"/>
        </w:rPr>
        <w:t>swimming</w:t>
      </w:r>
      <w:proofErr w:type="gramEnd"/>
      <w:r>
        <w:rPr>
          <w:rFonts w:ascii="Arial" w:hAnsi="Arial" w:cs="Arial"/>
          <w:bCs/>
          <w:sz w:val="28"/>
          <w:szCs w:val="28"/>
        </w:rPr>
        <w:t xml:space="preserve"> but many people would not listen to them. The claimant was injured when he dived into the shallow water and broke his neck. He sought damages in negligence under the OLA 1957. The court of appeal held that he was a </w:t>
      </w:r>
      <w:proofErr w:type="gramStart"/>
      <w:r>
        <w:rPr>
          <w:rFonts w:ascii="Arial" w:hAnsi="Arial" w:cs="Arial"/>
          <w:bCs/>
          <w:sz w:val="28"/>
          <w:szCs w:val="28"/>
        </w:rPr>
        <w:t>trespasser</w:t>
      </w:r>
      <w:proofErr w:type="gramEnd"/>
      <w:r>
        <w:rPr>
          <w:rFonts w:ascii="Arial" w:hAnsi="Arial" w:cs="Arial"/>
          <w:bCs/>
          <w:sz w:val="28"/>
          <w:szCs w:val="28"/>
        </w:rPr>
        <w:t xml:space="preserve"> so the case fell under OLA 1984. Based on the provisions under the act, he was awarded damages but contributory negligence. Under the Law reform (Contributory Negligence) Act 1945. The council appealed to the House of Lords. The issue for the HL was to establish whether the premises constituted a risk that the occupier should have offered the claimant protection, even as a trespasser under s 1(3) (c) OLA 1984. Whether the council had taken such steps as were necessary to reduce the risk under s 1 (4) of the Act.</w:t>
      </w:r>
    </w:p>
    <w:p w14:paraId="60B2DFC2" w14:textId="77777777" w:rsidR="00A32A91" w:rsidRDefault="00BB41A5">
      <w:pPr>
        <w:jc w:val="both"/>
        <w:rPr>
          <w:rFonts w:ascii="Arial" w:hAnsi="Arial" w:cs="Arial"/>
          <w:bCs/>
          <w:sz w:val="28"/>
          <w:szCs w:val="28"/>
        </w:rPr>
      </w:pPr>
      <w:r>
        <w:rPr>
          <w:rFonts w:ascii="Arial" w:hAnsi="Arial" w:cs="Arial"/>
          <w:bCs/>
          <w:sz w:val="28"/>
          <w:szCs w:val="28"/>
        </w:rPr>
        <w:t>‘The appeal was allowed. The council has no liability to the claimant. The risk of danger was so obvious that it could be said that no risk arose from the state of the premises under s 1 (3) OLA 1984. Instead, the risk arose from the claimant’s own action who voluntarily engaged in this risk in it. There was nothing inherent about the state of the premises which rendered them any more dangerous than could be expected, and no question of the council being expected to take any further steps to ensure that trespassers dis not use the lake.</w:t>
      </w:r>
    </w:p>
    <w:p w14:paraId="493F0EDC" w14:textId="77777777" w:rsidR="00A32A91" w:rsidRDefault="00BB41A5">
      <w:pPr>
        <w:jc w:val="both"/>
        <w:rPr>
          <w:rFonts w:ascii="Arial" w:hAnsi="Arial" w:cs="Arial"/>
          <w:bCs/>
          <w:sz w:val="28"/>
          <w:szCs w:val="28"/>
        </w:rPr>
      </w:pPr>
      <w:r>
        <w:rPr>
          <w:rFonts w:ascii="Arial" w:hAnsi="Arial" w:cs="Arial"/>
          <w:bCs/>
          <w:sz w:val="28"/>
          <w:szCs w:val="28"/>
        </w:rPr>
        <w:t xml:space="preserve">Though CPL were not aware that this </w:t>
      </w:r>
      <w:proofErr w:type="gramStart"/>
      <w:r>
        <w:rPr>
          <w:rFonts w:ascii="Arial" w:hAnsi="Arial" w:cs="Arial"/>
          <w:bCs/>
          <w:sz w:val="28"/>
          <w:szCs w:val="28"/>
        </w:rPr>
        <w:t>particular danger</w:t>
      </w:r>
      <w:proofErr w:type="gramEnd"/>
      <w:r>
        <w:rPr>
          <w:rFonts w:ascii="Arial" w:hAnsi="Arial" w:cs="Arial"/>
          <w:bCs/>
          <w:sz w:val="28"/>
          <w:szCs w:val="28"/>
        </w:rPr>
        <w:t xml:space="preserve"> existed because they may never have envisaged that someone would go to that extent to gain access into the premises. OLA 1984 s 1(a) so there was </w:t>
      </w:r>
      <w:proofErr w:type="gramStart"/>
      <w:r>
        <w:rPr>
          <w:rFonts w:ascii="Arial" w:hAnsi="Arial" w:cs="Arial"/>
          <w:bCs/>
          <w:sz w:val="28"/>
          <w:szCs w:val="28"/>
        </w:rPr>
        <w:t>no</w:t>
      </w:r>
      <w:proofErr w:type="gramEnd"/>
      <w:r>
        <w:rPr>
          <w:rFonts w:ascii="Arial" w:hAnsi="Arial" w:cs="Arial"/>
          <w:bCs/>
          <w:sz w:val="28"/>
          <w:szCs w:val="28"/>
        </w:rPr>
        <w:t xml:space="preserve"> how they would have prepared for the risk of injury of any danger due to the state of the premises or to things done or omitted to be done on them’’ but they would have still offered Millie some protection.</w:t>
      </w:r>
    </w:p>
    <w:p w14:paraId="1329F1A8" w14:textId="77777777" w:rsidR="00A32A91" w:rsidRDefault="00BB41A5">
      <w:pPr>
        <w:jc w:val="both"/>
        <w:rPr>
          <w:rFonts w:ascii="Arial" w:hAnsi="Arial" w:cs="Arial"/>
          <w:bCs/>
          <w:sz w:val="28"/>
          <w:szCs w:val="28"/>
        </w:rPr>
      </w:pPr>
      <w:r>
        <w:rPr>
          <w:rFonts w:ascii="Arial" w:hAnsi="Arial" w:cs="Arial"/>
          <w:bCs/>
          <w:sz w:val="28"/>
          <w:szCs w:val="28"/>
        </w:rPr>
        <w:t>Based on the above, they may not be reasonably expected to offer her some protection (s 1(3) (c) OLA 1984) although they owe her a duty of care of such risk, reasonable care so she doesn’t suffer injury on the premises by virtue of the danger concerned s 1(4) OLA 1984).</w:t>
      </w:r>
    </w:p>
    <w:p w14:paraId="4B286471" w14:textId="77777777" w:rsidR="00A32A91" w:rsidRDefault="00BB41A5">
      <w:pPr>
        <w:jc w:val="both"/>
        <w:rPr>
          <w:rFonts w:ascii="Arial" w:hAnsi="Arial" w:cs="Arial"/>
          <w:bCs/>
          <w:sz w:val="28"/>
          <w:szCs w:val="28"/>
        </w:rPr>
      </w:pPr>
      <w:r>
        <w:rPr>
          <w:rFonts w:ascii="Arial" w:hAnsi="Arial" w:cs="Arial"/>
          <w:bCs/>
          <w:sz w:val="28"/>
          <w:szCs w:val="28"/>
        </w:rPr>
        <w:t xml:space="preserve">They would not have been able to foresee that someone would go up the roof above where the electric and the lights are and that the lights and </w:t>
      </w:r>
      <w:r>
        <w:rPr>
          <w:rFonts w:ascii="Arial" w:hAnsi="Arial" w:cs="Arial"/>
          <w:bCs/>
          <w:sz w:val="28"/>
          <w:szCs w:val="28"/>
        </w:rPr>
        <w:lastRenderedPageBreak/>
        <w:t>electrics would come loose and fall onto Millie’s head causing a fractured skull and broke her sunglasses.</w:t>
      </w:r>
    </w:p>
    <w:p w14:paraId="67A2158B" w14:textId="77777777" w:rsidR="00A32A91" w:rsidRDefault="00BB41A5">
      <w:pPr>
        <w:jc w:val="both"/>
        <w:rPr>
          <w:rFonts w:ascii="Arial" w:hAnsi="Arial" w:cs="Arial"/>
          <w:bCs/>
          <w:sz w:val="28"/>
          <w:szCs w:val="28"/>
        </w:rPr>
      </w:pPr>
      <w:r>
        <w:rPr>
          <w:rFonts w:ascii="Arial" w:hAnsi="Arial" w:cs="Arial"/>
          <w:bCs/>
          <w:sz w:val="28"/>
          <w:szCs w:val="28"/>
        </w:rPr>
        <w:t>They would not have been able to offer Millie protection because they did not foresee someone would go up the roof above where the electric and the lights are.</w:t>
      </w:r>
    </w:p>
    <w:p w14:paraId="5021752C" w14:textId="77777777" w:rsidR="00A32A91" w:rsidRDefault="00BB41A5">
      <w:pPr>
        <w:jc w:val="both"/>
        <w:rPr>
          <w:rFonts w:ascii="Arial" w:hAnsi="Arial" w:cs="Arial"/>
          <w:bCs/>
          <w:sz w:val="28"/>
          <w:szCs w:val="28"/>
        </w:rPr>
      </w:pPr>
      <w:r>
        <w:rPr>
          <w:rFonts w:ascii="Arial" w:hAnsi="Arial" w:cs="Arial"/>
          <w:bCs/>
          <w:sz w:val="28"/>
          <w:szCs w:val="28"/>
        </w:rPr>
        <w:t xml:space="preserve">Ward LJ in his opinion </w:t>
      </w:r>
      <w:proofErr w:type="gramStart"/>
      <w:r>
        <w:rPr>
          <w:rFonts w:ascii="Arial" w:hAnsi="Arial" w:cs="Arial"/>
          <w:bCs/>
          <w:sz w:val="28"/>
          <w:szCs w:val="28"/>
        </w:rPr>
        <w:t>says</w:t>
      </w:r>
      <w:proofErr w:type="gramEnd"/>
      <w:r>
        <w:rPr>
          <w:rFonts w:ascii="Arial" w:hAnsi="Arial" w:cs="Arial"/>
          <w:bCs/>
          <w:sz w:val="28"/>
          <w:szCs w:val="28"/>
        </w:rPr>
        <w:t xml:space="preserve"> “things done or omitted to de done” means “activities or the lack of precautions which cause risk….”</w:t>
      </w:r>
    </w:p>
    <w:p w14:paraId="2E99069B" w14:textId="77777777" w:rsidR="00A32A91" w:rsidRDefault="00BB41A5">
      <w:pPr>
        <w:jc w:val="both"/>
        <w:rPr>
          <w:rFonts w:ascii="Arial" w:hAnsi="Arial" w:cs="Arial"/>
          <w:bCs/>
          <w:sz w:val="28"/>
          <w:szCs w:val="28"/>
        </w:rPr>
      </w:pPr>
      <w:r>
        <w:rPr>
          <w:rFonts w:ascii="Arial" w:hAnsi="Arial" w:cs="Arial"/>
          <w:bCs/>
          <w:sz w:val="28"/>
          <w:szCs w:val="28"/>
        </w:rPr>
        <w:t xml:space="preserve">Millie is the process of avoiding paying voluntarily engaged in an activity which had inherent risk. When she jumped, she should be aware of the risk. The court could rule that the risk arose from the decision she took and not out of the state of the premises or things done or omitted to be done. She might argue that the premises were not safe after the first incident but that particular </w:t>
      </w:r>
      <w:proofErr w:type="gramStart"/>
      <w:r>
        <w:rPr>
          <w:rFonts w:ascii="Arial" w:hAnsi="Arial" w:cs="Arial"/>
          <w:bCs/>
          <w:sz w:val="28"/>
          <w:szCs w:val="28"/>
        </w:rPr>
        <w:t>danger</w:t>
      </w:r>
      <w:proofErr w:type="gramEnd"/>
      <w:r>
        <w:rPr>
          <w:rFonts w:ascii="Arial" w:hAnsi="Arial" w:cs="Arial"/>
          <w:bCs/>
          <w:sz w:val="28"/>
          <w:szCs w:val="28"/>
        </w:rPr>
        <w:t xml:space="preserve"> but the court could rule that that particular danger was not one CPL would be aware of. There was therefore no risk to the claimant due to the state of the premises or anything done or omitted.</w:t>
      </w:r>
    </w:p>
    <w:p w14:paraId="3F9F382F" w14:textId="77777777" w:rsidR="00A32A91" w:rsidRDefault="00BB41A5">
      <w:pPr>
        <w:jc w:val="both"/>
        <w:rPr>
          <w:rFonts w:ascii="Arial" w:hAnsi="Arial" w:cs="Arial"/>
          <w:bCs/>
          <w:sz w:val="28"/>
          <w:szCs w:val="28"/>
        </w:rPr>
      </w:pPr>
      <w:r>
        <w:rPr>
          <w:rFonts w:ascii="Arial" w:hAnsi="Arial" w:cs="Arial"/>
          <w:bCs/>
          <w:sz w:val="28"/>
          <w:szCs w:val="28"/>
        </w:rPr>
        <w:t xml:space="preserve">According to Ward LJ, if there had been a risk then there are three conditions which must be satisfied under </w:t>
      </w:r>
      <w:bookmarkStart w:id="3" w:name="_Hlk92410151"/>
      <w:r>
        <w:rPr>
          <w:rFonts w:ascii="Arial" w:hAnsi="Arial" w:cs="Arial"/>
          <w:bCs/>
          <w:sz w:val="28"/>
          <w:szCs w:val="28"/>
        </w:rPr>
        <w:t xml:space="preserve">s 1(3) of the OLA 1984 Act </w:t>
      </w:r>
      <w:bookmarkEnd w:id="3"/>
      <w:r>
        <w:rPr>
          <w:rFonts w:ascii="Arial" w:hAnsi="Arial" w:cs="Arial"/>
          <w:bCs/>
          <w:sz w:val="28"/>
          <w:szCs w:val="28"/>
        </w:rPr>
        <w:t xml:space="preserve">for the existence of a duty- to establish if a duty of care </w:t>
      </w:r>
      <w:proofErr w:type="gramStart"/>
      <w:r>
        <w:rPr>
          <w:rFonts w:ascii="Arial" w:hAnsi="Arial" w:cs="Arial"/>
          <w:bCs/>
          <w:sz w:val="28"/>
          <w:szCs w:val="28"/>
        </w:rPr>
        <w:t>was</w:t>
      </w:r>
      <w:proofErr w:type="gramEnd"/>
      <w:r>
        <w:rPr>
          <w:rFonts w:ascii="Arial" w:hAnsi="Arial" w:cs="Arial"/>
          <w:bCs/>
          <w:sz w:val="28"/>
          <w:szCs w:val="28"/>
        </w:rPr>
        <w:t xml:space="preserve"> owed her:</w:t>
      </w:r>
    </w:p>
    <w:p w14:paraId="5A3B2EAD" w14:textId="77777777" w:rsidR="00A32A91" w:rsidRDefault="00BB41A5">
      <w:pPr>
        <w:jc w:val="both"/>
        <w:rPr>
          <w:rFonts w:ascii="Arial" w:hAnsi="Arial" w:cs="Arial"/>
          <w:bCs/>
          <w:sz w:val="28"/>
          <w:szCs w:val="28"/>
        </w:rPr>
      </w:pPr>
      <w:r>
        <w:rPr>
          <w:rFonts w:ascii="Arial" w:hAnsi="Arial" w:cs="Arial"/>
          <w:bCs/>
          <w:sz w:val="28"/>
          <w:szCs w:val="28"/>
        </w:rPr>
        <w:t>Knowledge of the foresight of the danger.  S 1 (3) (a), the occupier must be aware of the danger or have reasonable grounds to believe that it exists. We need to say what the danger was. Though the council would not have imagined what she did but when the first incidence happened, then CPL would have been more careful and taken necessary precautionary steps.</w:t>
      </w:r>
    </w:p>
    <w:p w14:paraId="2B7A8741" w14:textId="77777777" w:rsidR="00A32A91" w:rsidRDefault="00BB41A5">
      <w:pPr>
        <w:jc w:val="both"/>
        <w:rPr>
          <w:rFonts w:ascii="Arial" w:hAnsi="Arial" w:cs="Arial"/>
          <w:bCs/>
          <w:sz w:val="28"/>
          <w:szCs w:val="28"/>
        </w:rPr>
      </w:pPr>
      <w:r>
        <w:rPr>
          <w:rFonts w:ascii="Arial" w:hAnsi="Arial" w:cs="Arial"/>
          <w:bCs/>
          <w:sz w:val="28"/>
          <w:szCs w:val="28"/>
        </w:rPr>
        <w:t>Knowledge of the presence of the trespassers. s 1(3) (b) CPL did not know that Millie was in the premises because they expected everyone to pay the entrance fee at the gate before entering the park. Millie did not pay, so she is a trespasser.</w:t>
      </w:r>
    </w:p>
    <w:p w14:paraId="16A38B61" w14:textId="77777777" w:rsidR="00A32A91" w:rsidRDefault="00BB41A5">
      <w:pPr>
        <w:jc w:val="both"/>
        <w:rPr>
          <w:rFonts w:ascii="Arial" w:hAnsi="Arial" w:cs="Arial"/>
          <w:bCs/>
          <w:sz w:val="28"/>
          <w:szCs w:val="28"/>
        </w:rPr>
      </w:pPr>
      <w:r>
        <w:rPr>
          <w:rFonts w:ascii="Arial" w:hAnsi="Arial" w:cs="Arial"/>
          <w:bCs/>
          <w:sz w:val="28"/>
          <w:szCs w:val="28"/>
        </w:rPr>
        <w:t>Reasonable to expect protection s 1(3)(c) Was the risk one against which in all the circumstances of the case, CPL may reasonably be expected to offer the other some protection”. The danger and risk of injury of jumping the perimeter fencing is not one that CPL would be able to offer protection.</w:t>
      </w:r>
    </w:p>
    <w:p w14:paraId="1B26B5A6" w14:textId="77777777" w:rsidR="00A32A91" w:rsidRDefault="00BB41A5">
      <w:pPr>
        <w:jc w:val="both"/>
        <w:rPr>
          <w:rFonts w:ascii="Arial" w:hAnsi="Arial" w:cs="Arial"/>
          <w:bCs/>
          <w:sz w:val="28"/>
          <w:szCs w:val="28"/>
        </w:rPr>
      </w:pPr>
      <w:r>
        <w:rPr>
          <w:rFonts w:ascii="Arial" w:hAnsi="Arial" w:cs="Arial"/>
          <w:bCs/>
          <w:sz w:val="28"/>
          <w:szCs w:val="28"/>
        </w:rPr>
        <w:t xml:space="preserve">Even there had been a notice put up to warn people to be careful with the premises, they were still negligent and would still be held liable for the injury Leo sustained in that there should have been a routine check on the premises given the kind of business they do, the customers they are likely </w:t>
      </w:r>
      <w:r>
        <w:rPr>
          <w:rFonts w:ascii="Arial" w:hAnsi="Arial" w:cs="Arial"/>
          <w:bCs/>
          <w:sz w:val="28"/>
          <w:szCs w:val="28"/>
        </w:rPr>
        <w:lastRenderedPageBreak/>
        <w:t>to attract and the vulnerability of their clients, in this case, children (Unfair Contract Terms Act (UFCTA)1977 s 2 Negligence Liability</w:t>
      </w:r>
    </w:p>
    <w:p w14:paraId="371357A1" w14:textId="77777777" w:rsidR="00A32A91" w:rsidRDefault="00A32A91">
      <w:pPr>
        <w:jc w:val="both"/>
        <w:rPr>
          <w:rFonts w:ascii="Arial" w:hAnsi="Arial" w:cs="Arial"/>
          <w:bCs/>
          <w:sz w:val="28"/>
          <w:szCs w:val="28"/>
        </w:rPr>
      </w:pPr>
    </w:p>
    <w:p w14:paraId="7C158969" w14:textId="77777777" w:rsidR="00A32A91" w:rsidRDefault="00BB41A5">
      <w:pPr>
        <w:jc w:val="both"/>
        <w:rPr>
          <w:rFonts w:ascii="Arial" w:hAnsi="Arial" w:cs="Arial"/>
          <w:bCs/>
          <w:sz w:val="28"/>
          <w:szCs w:val="28"/>
        </w:rPr>
      </w:pPr>
      <w:r>
        <w:rPr>
          <w:rFonts w:ascii="Arial" w:hAnsi="Arial" w:cs="Arial"/>
          <w:bCs/>
          <w:sz w:val="28"/>
          <w:szCs w:val="28"/>
        </w:rPr>
        <w:t xml:space="preserve">Though it can be argued that although there were not aware that </w:t>
      </w:r>
      <w:proofErr w:type="gramStart"/>
      <w:r>
        <w:rPr>
          <w:rFonts w:ascii="Arial" w:hAnsi="Arial" w:cs="Arial"/>
          <w:bCs/>
          <w:sz w:val="28"/>
          <w:szCs w:val="28"/>
        </w:rPr>
        <w:t>particular danger</w:t>
      </w:r>
      <w:proofErr w:type="gramEnd"/>
      <w:r>
        <w:rPr>
          <w:rFonts w:ascii="Arial" w:hAnsi="Arial" w:cs="Arial"/>
          <w:bCs/>
          <w:sz w:val="28"/>
          <w:szCs w:val="28"/>
        </w:rPr>
        <w:t xml:space="preserve"> existed, they were aware other dangers existed and they should have taken necessary steps all the equipment on the premises. When the incident of Leo happened some days ago, that was enough for them to shut down and carry out a general maintenance on all their equipment and premises. That is Gross Negligence. It could also be argued that even if they had carried out a general maintenance and Millie had gate crashed, the accident would have still happened.</w:t>
      </w:r>
    </w:p>
    <w:p w14:paraId="61457DC0" w14:textId="77777777" w:rsidR="00A32A91" w:rsidRDefault="00BB41A5">
      <w:pPr>
        <w:jc w:val="both"/>
        <w:rPr>
          <w:rFonts w:ascii="Arial" w:hAnsi="Arial" w:cs="Arial"/>
          <w:bCs/>
          <w:sz w:val="28"/>
          <w:szCs w:val="28"/>
        </w:rPr>
      </w:pPr>
      <w:r>
        <w:rPr>
          <w:rFonts w:ascii="Arial" w:hAnsi="Arial" w:cs="Arial"/>
          <w:bCs/>
          <w:sz w:val="28"/>
          <w:szCs w:val="28"/>
        </w:rPr>
        <w:t xml:space="preserve">They should be aware that considering the peculiarities of their customers (Children, </w:t>
      </w:r>
      <w:proofErr w:type="gramStart"/>
      <w:r>
        <w:rPr>
          <w:rFonts w:ascii="Arial" w:hAnsi="Arial" w:cs="Arial"/>
          <w:bCs/>
          <w:sz w:val="28"/>
          <w:szCs w:val="28"/>
        </w:rPr>
        <w:t>teenagers</w:t>
      </w:r>
      <w:proofErr w:type="gramEnd"/>
      <w:r>
        <w:rPr>
          <w:rFonts w:ascii="Arial" w:hAnsi="Arial" w:cs="Arial"/>
          <w:bCs/>
          <w:sz w:val="28"/>
          <w:szCs w:val="28"/>
        </w:rPr>
        <w:t xml:space="preserve"> and students) could be naughty and want to gate crashed, get into the premises by all means without paying. There might be reasonable grounds that the danger existed though they could argue that they did not foresee the danger of the lights coming off, they are not aware of the danger of have reasonable grounds that it existed (s 1(3) (a) OLA 1984). They should have been prepared for any risk. Anyone can come into the vicinity of danger even if she does not have lawful authority to be there (s 1(3) (b) OLA 1984).</w:t>
      </w:r>
    </w:p>
    <w:p w14:paraId="41F60B49" w14:textId="77777777" w:rsidR="00A32A91" w:rsidRDefault="00BB41A5">
      <w:pPr>
        <w:jc w:val="both"/>
      </w:pPr>
      <w:r>
        <w:rPr>
          <w:rFonts w:ascii="Arial" w:hAnsi="Arial" w:cs="Arial"/>
          <w:bCs/>
          <w:sz w:val="28"/>
          <w:szCs w:val="28"/>
        </w:rPr>
        <w:t xml:space="preserve">According to the OA 1984, CPL owe Millie a duty of care (s1(1) (a) OLA 1984). They owe her a duty of care even if she was not a visitor s 1(3) OLA 1984), but they did not breach that duty of care because she was not a visitor on the premises, they were not aware she was there. Therefore, the court could apportion Contributory negligence to both CPL and Millie. </w:t>
      </w:r>
      <w:r>
        <w:rPr>
          <w:rFonts w:ascii="Arial" w:hAnsi="Arial" w:cs="Arial"/>
          <w:color w:val="000000"/>
          <w:sz w:val="28"/>
          <w:szCs w:val="28"/>
          <w:shd w:val="clear" w:color="auto" w:fill="FFFFFF"/>
        </w:rPr>
        <w:t xml:space="preserve">“Where any person suffers damage as the result partly of his own fault and partly of the fault of any other person or persons, a claim in respect of that damage shall not be defeated by reason of the fault of the person suffering the damage, but the damages recoverable in respect thereof shall be reduced to such extent as the court thinks just and equitable having regard to the claimant’s share in the responsibility for the damage” (s 1 </w:t>
      </w:r>
      <w:r>
        <w:rPr>
          <w:rFonts w:ascii="Arial" w:hAnsi="Arial" w:cs="Arial"/>
          <w:bCs/>
          <w:sz w:val="28"/>
          <w:szCs w:val="28"/>
        </w:rPr>
        <w:t>Contributory Negligence) Act 1945).</w:t>
      </w:r>
    </w:p>
    <w:p w14:paraId="171BD5E0" w14:textId="77777777" w:rsidR="00A32A91" w:rsidRDefault="00A32A91">
      <w:pPr>
        <w:jc w:val="both"/>
        <w:rPr>
          <w:rFonts w:ascii="Arial" w:hAnsi="Arial" w:cs="Arial"/>
          <w:bCs/>
          <w:sz w:val="28"/>
          <w:szCs w:val="28"/>
          <w:shd w:val="clear" w:color="auto" w:fill="FFFF00"/>
        </w:rPr>
      </w:pPr>
    </w:p>
    <w:p w14:paraId="21E8AA80" w14:textId="77777777" w:rsidR="00A32A91" w:rsidRDefault="00A32A91">
      <w:pPr>
        <w:jc w:val="both"/>
        <w:rPr>
          <w:rFonts w:ascii="Arial" w:hAnsi="Arial" w:cs="Arial"/>
          <w:bCs/>
          <w:sz w:val="28"/>
          <w:szCs w:val="28"/>
          <w:shd w:val="clear" w:color="auto" w:fill="FFFF00"/>
        </w:rPr>
      </w:pPr>
    </w:p>
    <w:p w14:paraId="75E1A5D9" w14:textId="77777777" w:rsidR="00A32A91" w:rsidRDefault="00A32A91">
      <w:pPr>
        <w:jc w:val="both"/>
        <w:rPr>
          <w:rFonts w:ascii="Arial" w:hAnsi="Arial" w:cs="Arial"/>
          <w:bCs/>
          <w:sz w:val="28"/>
          <w:szCs w:val="28"/>
          <w:shd w:val="clear" w:color="auto" w:fill="FFFF00"/>
        </w:rPr>
      </w:pPr>
    </w:p>
    <w:p w14:paraId="6CA45C42" w14:textId="77777777" w:rsidR="00A32A91" w:rsidRDefault="00A32A91">
      <w:pPr>
        <w:jc w:val="both"/>
        <w:rPr>
          <w:rFonts w:ascii="Arial" w:hAnsi="Arial" w:cs="Arial"/>
          <w:bCs/>
          <w:sz w:val="28"/>
          <w:szCs w:val="28"/>
        </w:rPr>
      </w:pPr>
    </w:p>
    <w:p w14:paraId="2DE8AEB3" w14:textId="77777777" w:rsidR="00E45D39" w:rsidRDefault="00E45D39">
      <w:pPr>
        <w:jc w:val="both"/>
        <w:rPr>
          <w:rFonts w:ascii="Arial" w:hAnsi="Arial" w:cs="Arial"/>
          <w:bCs/>
          <w:sz w:val="28"/>
          <w:szCs w:val="28"/>
        </w:rPr>
      </w:pPr>
    </w:p>
    <w:p w14:paraId="3CD9A365" w14:textId="045E3A21" w:rsidR="00E45D39" w:rsidRDefault="00E45D39">
      <w:pPr>
        <w:jc w:val="both"/>
        <w:rPr>
          <w:rFonts w:ascii="Arial" w:hAnsi="Arial" w:cs="Arial"/>
          <w:bCs/>
          <w:sz w:val="28"/>
          <w:szCs w:val="28"/>
        </w:rPr>
      </w:pPr>
      <w:r>
        <w:rPr>
          <w:rFonts w:ascii="Arial" w:hAnsi="Arial" w:cs="Arial"/>
          <w:bCs/>
          <w:sz w:val="28"/>
          <w:szCs w:val="28"/>
        </w:rPr>
        <w:lastRenderedPageBreak/>
        <w:t>CPL’s liability to Nia and Owen (SEPARATE THEM)</w:t>
      </w:r>
    </w:p>
    <w:p w14:paraId="252A7E14" w14:textId="6210E2CC" w:rsidR="00A32A91" w:rsidRDefault="00BB41A5">
      <w:pPr>
        <w:jc w:val="both"/>
        <w:rPr>
          <w:rFonts w:ascii="Arial" w:hAnsi="Arial" w:cs="Arial"/>
          <w:bCs/>
          <w:sz w:val="28"/>
          <w:szCs w:val="28"/>
        </w:rPr>
      </w:pPr>
      <w:r>
        <w:rPr>
          <w:rFonts w:ascii="Arial" w:hAnsi="Arial" w:cs="Arial"/>
          <w:bCs/>
          <w:sz w:val="28"/>
          <w:szCs w:val="28"/>
        </w:rPr>
        <w:t>The relevant Occupiers Liability legislation in the case of Nia and Owen is the OLA 1957. Breach of duty would be established because CPL owe Nia a duty of care as a customer to ensure she is reasonable safe on the premises. The extent of the duty is to take such care as is reasonable to see that the visitor will be reasonably safe in using the premises for the purpose for which they are invited by the occupier to be there. s1(1) of the Occupiers Liability Act 1957 says that ‘An occupier of premises owes to his visitors in respect of dangers due to the state of the premises or to things done or omitted to be done on them.</w:t>
      </w:r>
    </w:p>
    <w:p w14:paraId="6A3380FB" w14:textId="77777777" w:rsidR="00A32A91" w:rsidRDefault="00BB41A5">
      <w:pPr>
        <w:jc w:val="both"/>
        <w:rPr>
          <w:rFonts w:ascii="Arial" w:hAnsi="Arial" w:cs="Arial"/>
          <w:bCs/>
          <w:sz w:val="28"/>
          <w:szCs w:val="28"/>
        </w:rPr>
      </w:pPr>
      <w:r>
        <w:rPr>
          <w:rFonts w:ascii="Arial" w:hAnsi="Arial" w:cs="Arial"/>
          <w:bCs/>
          <w:sz w:val="28"/>
          <w:szCs w:val="28"/>
        </w:rPr>
        <w:t>OLA 1957 s2(1) “An occupier of premises owes the same duty, the “common duty of care”, to all his visitors, except in so far as he is free to and does extend, restrict, modify or exclude his duty to any visitor or visitors by agreement or otherwise”.</w:t>
      </w:r>
    </w:p>
    <w:p w14:paraId="54E81478" w14:textId="77777777" w:rsidR="00A32A91" w:rsidRDefault="00BB41A5">
      <w:pPr>
        <w:jc w:val="both"/>
        <w:rPr>
          <w:rFonts w:ascii="Arial" w:hAnsi="Arial" w:cs="Arial"/>
          <w:bCs/>
          <w:sz w:val="28"/>
          <w:szCs w:val="28"/>
        </w:rPr>
      </w:pPr>
      <w:r>
        <w:rPr>
          <w:rFonts w:ascii="Arial" w:hAnsi="Arial" w:cs="Arial"/>
          <w:bCs/>
          <w:sz w:val="28"/>
          <w:szCs w:val="28"/>
        </w:rPr>
        <w:t>OLA 1957 s2(2) “The common duty of care is a duty to take such care as in all the circumstances of the case is reasonable to see that the visitor will be reasonably safe in using the premises for the purpose for which he is invited or permitted by the occupier to be there.</w:t>
      </w:r>
    </w:p>
    <w:p w14:paraId="66662006" w14:textId="77777777" w:rsidR="00A32A91" w:rsidRDefault="00BB41A5">
      <w:pPr>
        <w:jc w:val="both"/>
        <w:rPr>
          <w:rFonts w:ascii="Arial" w:hAnsi="Arial" w:cs="Arial"/>
          <w:bCs/>
          <w:sz w:val="28"/>
          <w:szCs w:val="28"/>
        </w:rPr>
      </w:pPr>
      <w:r>
        <w:rPr>
          <w:rFonts w:ascii="Arial" w:hAnsi="Arial" w:cs="Arial"/>
          <w:bCs/>
          <w:sz w:val="28"/>
          <w:szCs w:val="28"/>
        </w:rPr>
        <w:t xml:space="preserve">There are reasonable grounds to believe that the </w:t>
      </w:r>
      <w:proofErr w:type="spellStart"/>
      <w:r>
        <w:rPr>
          <w:rFonts w:ascii="Arial" w:hAnsi="Arial" w:cs="Arial"/>
          <w:bCs/>
          <w:sz w:val="28"/>
          <w:szCs w:val="28"/>
        </w:rPr>
        <w:t>waltzers</w:t>
      </w:r>
      <w:proofErr w:type="spellEnd"/>
      <w:r>
        <w:rPr>
          <w:rFonts w:ascii="Arial" w:hAnsi="Arial" w:cs="Arial"/>
          <w:bCs/>
          <w:sz w:val="28"/>
          <w:szCs w:val="28"/>
        </w:rPr>
        <w:t xml:space="preserve">- (car spins around with) works with electric. The moving disco lights and electrics in the roof above could cause a fire outbreak. Some of the lights and electric that came loose and made the sparks from the electric to start a fire which spread rapidly and engulfed the whole </w:t>
      </w:r>
      <w:proofErr w:type="spellStart"/>
      <w:r>
        <w:rPr>
          <w:rFonts w:ascii="Arial" w:hAnsi="Arial" w:cs="Arial"/>
          <w:bCs/>
          <w:sz w:val="28"/>
          <w:szCs w:val="28"/>
        </w:rPr>
        <w:t>waltzers</w:t>
      </w:r>
      <w:proofErr w:type="spellEnd"/>
      <w:r>
        <w:rPr>
          <w:rFonts w:ascii="Arial" w:hAnsi="Arial" w:cs="Arial"/>
          <w:bCs/>
          <w:sz w:val="28"/>
          <w:szCs w:val="28"/>
        </w:rPr>
        <w:t xml:space="preserve"> ride. Though Nia managed to escape without physical injury</w:t>
      </w:r>
    </w:p>
    <w:p w14:paraId="76E77D9D" w14:textId="77777777" w:rsidR="00A32A91" w:rsidRDefault="00BB41A5">
      <w:pPr>
        <w:jc w:val="both"/>
      </w:pPr>
      <w:r>
        <w:rPr>
          <w:rFonts w:ascii="Arial" w:hAnsi="Arial" w:cs="Arial"/>
          <w:bCs/>
          <w:sz w:val="28"/>
          <w:szCs w:val="28"/>
        </w:rPr>
        <w:t xml:space="preserve">Nia is a primary victim while Owen is a secondary victim. A primary victim is a claimant who was directly involved as a participant in the incident that caused their psychiatric injury They could be said to be suffering from Psychiatric injury- primary victim. </w:t>
      </w:r>
      <w:r>
        <w:rPr>
          <w:rFonts w:ascii="Arial" w:hAnsi="Arial" w:cs="Arial"/>
          <w:sz w:val="28"/>
          <w:szCs w:val="28"/>
        </w:rPr>
        <w:t xml:space="preserve">since the incident Nia has suffered from posttraumatic stress disorder </w:t>
      </w:r>
      <w:proofErr w:type="gramStart"/>
      <w:r>
        <w:rPr>
          <w:rFonts w:ascii="Arial" w:hAnsi="Arial" w:cs="Arial"/>
          <w:sz w:val="28"/>
          <w:szCs w:val="28"/>
        </w:rPr>
        <w:t>as a result of</w:t>
      </w:r>
      <w:proofErr w:type="gramEnd"/>
      <w:r>
        <w:rPr>
          <w:rFonts w:ascii="Arial" w:hAnsi="Arial" w:cs="Arial"/>
          <w:sz w:val="28"/>
          <w:szCs w:val="28"/>
        </w:rPr>
        <w:t xml:space="preserve"> her experience</w:t>
      </w:r>
      <w:r>
        <w:rPr>
          <w:rFonts w:ascii="Arial" w:hAnsi="Arial" w:cs="Arial"/>
          <w:bCs/>
          <w:sz w:val="28"/>
          <w:szCs w:val="28"/>
        </w:rPr>
        <w:t xml:space="preserve">. Lord Oliver in </w:t>
      </w:r>
      <w:proofErr w:type="spellStart"/>
      <w:r>
        <w:rPr>
          <w:rFonts w:ascii="Arial" w:hAnsi="Arial" w:cs="Arial"/>
          <w:bCs/>
          <w:sz w:val="28"/>
          <w:szCs w:val="28"/>
        </w:rPr>
        <w:t>Alcock</w:t>
      </w:r>
      <w:proofErr w:type="spellEnd"/>
      <w:r>
        <w:rPr>
          <w:rFonts w:ascii="Arial" w:hAnsi="Arial" w:cs="Arial"/>
          <w:bCs/>
          <w:sz w:val="28"/>
          <w:szCs w:val="28"/>
        </w:rPr>
        <w:t xml:space="preserve"> v Chief Constable South Yorkshire clarified who a Primary victim is by outlining three examples of claimants who he would classify as primary victims. This is called the </w:t>
      </w:r>
      <w:proofErr w:type="spellStart"/>
      <w:r>
        <w:rPr>
          <w:rFonts w:ascii="Arial" w:hAnsi="Arial" w:cs="Arial"/>
          <w:bCs/>
          <w:sz w:val="28"/>
          <w:szCs w:val="28"/>
        </w:rPr>
        <w:t>the</w:t>
      </w:r>
      <w:proofErr w:type="spellEnd"/>
      <w:r>
        <w:rPr>
          <w:rFonts w:ascii="Arial" w:hAnsi="Arial" w:cs="Arial"/>
          <w:bCs/>
          <w:sz w:val="28"/>
          <w:szCs w:val="28"/>
        </w:rPr>
        <w:t xml:space="preserve"> </w:t>
      </w:r>
      <w:proofErr w:type="spellStart"/>
      <w:r>
        <w:rPr>
          <w:rFonts w:ascii="Arial" w:hAnsi="Arial" w:cs="Arial"/>
          <w:bCs/>
          <w:sz w:val="28"/>
          <w:szCs w:val="28"/>
        </w:rPr>
        <w:t>Alcock</w:t>
      </w:r>
      <w:proofErr w:type="spellEnd"/>
      <w:r>
        <w:rPr>
          <w:rFonts w:ascii="Arial" w:hAnsi="Arial" w:cs="Arial"/>
          <w:bCs/>
          <w:sz w:val="28"/>
          <w:szCs w:val="28"/>
        </w:rPr>
        <w:t xml:space="preserve"> Test.</w:t>
      </w:r>
    </w:p>
    <w:p w14:paraId="29CADE68" w14:textId="77777777" w:rsidR="00A32A91" w:rsidRDefault="00BB41A5">
      <w:pPr>
        <w:jc w:val="both"/>
      </w:pPr>
      <w:r>
        <w:rPr>
          <w:rFonts w:ascii="Arial" w:eastAsia="Times New Roman" w:hAnsi="Arial" w:cs="Arial"/>
          <w:color w:val="000000"/>
          <w:sz w:val="28"/>
          <w:szCs w:val="28"/>
          <w:lang w:eastAsia="en-GB"/>
        </w:rPr>
        <w:t xml:space="preserve">This case arose from the disaster that occurred at in the FA cup semi-final match between Liverpool and Nottingham Forest took place at Hillsborough football stadium in Sheffield in 1989. South Yorkshire Police had been responsible for crowd control at the football match and had been negligent in directing an excessively large number of spectators to one end of the stadium which resulted in the fatal crush in which 95 people </w:t>
      </w:r>
      <w:r>
        <w:rPr>
          <w:rFonts w:ascii="Arial" w:eastAsia="Times New Roman" w:hAnsi="Arial" w:cs="Arial"/>
          <w:color w:val="000000"/>
          <w:sz w:val="28"/>
          <w:szCs w:val="28"/>
          <w:lang w:eastAsia="en-GB"/>
        </w:rPr>
        <w:lastRenderedPageBreak/>
        <w:t xml:space="preserve">were killed and over 400 were physically injured. Sixteen claims were brought against the defendant for nervous shock resulting in psychiatric injury. At trial ten of the claims were successful. The defendant appealed against the findings in nine and the unsuccessful claimants appealed. The Court of Appeal found for the defendants in </w:t>
      </w:r>
      <w:proofErr w:type="gramStart"/>
      <w:r>
        <w:rPr>
          <w:rFonts w:ascii="Arial" w:eastAsia="Times New Roman" w:hAnsi="Arial" w:cs="Arial"/>
          <w:color w:val="000000"/>
          <w:sz w:val="28"/>
          <w:szCs w:val="28"/>
          <w:lang w:eastAsia="en-GB"/>
        </w:rPr>
        <w:t>all of</w:t>
      </w:r>
      <w:proofErr w:type="gramEnd"/>
      <w:r>
        <w:rPr>
          <w:rFonts w:ascii="Arial" w:eastAsia="Times New Roman" w:hAnsi="Arial" w:cs="Arial"/>
          <w:color w:val="000000"/>
          <w:sz w:val="28"/>
          <w:szCs w:val="28"/>
          <w:lang w:eastAsia="en-GB"/>
        </w:rPr>
        <w:t xml:space="preserve"> the claims. Ten appeals were made to the House of Lords. These included claims made by brothers, sisters, parents, a grand-</w:t>
      </w:r>
      <w:proofErr w:type="gramStart"/>
      <w:r>
        <w:rPr>
          <w:rFonts w:ascii="Arial" w:eastAsia="Times New Roman" w:hAnsi="Arial" w:cs="Arial"/>
          <w:color w:val="000000"/>
          <w:sz w:val="28"/>
          <w:szCs w:val="28"/>
          <w:lang w:eastAsia="en-GB"/>
        </w:rPr>
        <w:t>parent</w:t>
      </w:r>
      <w:proofErr w:type="gramEnd"/>
      <w:r>
        <w:rPr>
          <w:rFonts w:ascii="Arial" w:eastAsia="Times New Roman" w:hAnsi="Arial" w:cs="Arial"/>
          <w:color w:val="000000"/>
          <w:sz w:val="28"/>
          <w:szCs w:val="28"/>
          <w:lang w:eastAsia="en-GB"/>
        </w:rPr>
        <w:t xml:space="preserve"> and a fiancé. Two of the claimants had been at the ground but in a different area. Some had seen the events unfold on the television because it was broadcasted live, some had heard about the events in other ways. Some had identified bodies at the makeshift mortuary.</w:t>
      </w:r>
    </w:p>
    <w:p w14:paraId="66C304AF" w14:textId="77777777" w:rsidR="00A32A91" w:rsidRDefault="00BB41A5">
      <w:pPr>
        <w:shd w:val="clear" w:color="auto" w:fill="FFFFFF"/>
        <w:spacing w:after="200" w:line="240" w:lineRule="auto"/>
        <w:jc w:val="both"/>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The appeals were dismissed. Lord Oliver set out the distinction between primary and secondary victims.</w:t>
      </w:r>
    </w:p>
    <w:p w14:paraId="6297A3A9" w14:textId="77777777" w:rsidR="00A32A91" w:rsidRDefault="00BB41A5">
      <w:pPr>
        <w:shd w:val="clear" w:color="auto" w:fill="FFFFFF"/>
        <w:spacing w:after="200" w:line="240" w:lineRule="auto"/>
        <w:jc w:val="both"/>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A primary victim one involved mediately or immediately as a participant and a secondary victim one who is no more than a passive and unwilling witness of injury to others. The claimants were all classed as secondary victims since they were not in the physical zone of danger. For secondary victims to succeed in a claim for psychiatric harm they must meet the following criteria:</w:t>
      </w:r>
    </w:p>
    <w:p w14:paraId="6E6E6E6C" w14:textId="77777777" w:rsidR="00A32A91" w:rsidRDefault="00BB41A5">
      <w:pPr>
        <w:shd w:val="clear" w:color="auto" w:fill="FFFFFF"/>
        <w:spacing w:after="200" w:line="240" w:lineRule="auto"/>
        <w:jc w:val="both"/>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1. A close tie of love and affection to a primary victim</w:t>
      </w:r>
    </w:p>
    <w:p w14:paraId="1D8F11E2" w14:textId="77777777" w:rsidR="00A32A91" w:rsidRDefault="00BB41A5">
      <w:pPr>
        <w:shd w:val="clear" w:color="auto" w:fill="FFFFFF"/>
        <w:spacing w:after="200" w:line="240" w:lineRule="auto"/>
        <w:jc w:val="both"/>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2. Witness the event with their own unaided senses</w:t>
      </w:r>
    </w:p>
    <w:p w14:paraId="14ADCD44" w14:textId="77777777" w:rsidR="00A32A91" w:rsidRDefault="00BB41A5">
      <w:pPr>
        <w:shd w:val="clear" w:color="auto" w:fill="FFFFFF"/>
        <w:spacing w:after="200" w:line="240" w:lineRule="auto"/>
        <w:jc w:val="both"/>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3. Proximity to the event or its immediate aftermath and</w:t>
      </w:r>
    </w:p>
    <w:p w14:paraId="6AA86C16" w14:textId="77777777" w:rsidR="00A32A91" w:rsidRDefault="00BB41A5">
      <w:pPr>
        <w:shd w:val="clear" w:color="auto" w:fill="FFFFFF"/>
        <w:spacing w:after="200" w:line="240" w:lineRule="auto"/>
        <w:jc w:val="both"/>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4. The psychiatric injury must be caused by a shocking event.</w:t>
      </w:r>
    </w:p>
    <w:p w14:paraId="5A4785A5" w14:textId="77777777" w:rsidR="00A32A91" w:rsidRDefault="00BB41A5">
      <w:pPr>
        <w:jc w:val="both"/>
        <w:rPr>
          <w:rFonts w:ascii="Arial" w:hAnsi="Arial" w:cs="Arial"/>
          <w:bCs/>
          <w:sz w:val="28"/>
          <w:szCs w:val="28"/>
        </w:rPr>
      </w:pPr>
      <w:r>
        <w:rPr>
          <w:rFonts w:ascii="Arial" w:hAnsi="Arial" w:cs="Arial"/>
          <w:bCs/>
          <w:sz w:val="28"/>
          <w:szCs w:val="28"/>
        </w:rPr>
        <w:t xml:space="preserve">Unwilling Participation- Lord Oliver in </w:t>
      </w:r>
      <w:proofErr w:type="spellStart"/>
      <w:r>
        <w:rPr>
          <w:rFonts w:ascii="Arial" w:hAnsi="Arial" w:cs="Arial"/>
          <w:bCs/>
          <w:sz w:val="28"/>
          <w:szCs w:val="28"/>
        </w:rPr>
        <w:t>Alcock</w:t>
      </w:r>
      <w:proofErr w:type="spellEnd"/>
      <w:r>
        <w:rPr>
          <w:rFonts w:ascii="Arial" w:hAnsi="Arial" w:cs="Arial"/>
          <w:bCs/>
          <w:sz w:val="28"/>
          <w:szCs w:val="28"/>
        </w:rPr>
        <w:t xml:space="preserve"> also suggested primary victims include claimants who involuntarily caused the death or injury of a third party because of the defendant’s negligence or reasonably believed that they had done so. Again, it is doubtful whether this distinct category has survived White </w:t>
      </w:r>
      <w:proofErr w:type="gramStart"/>
      <w:r>
        <w:rPr>
          <w:rFonts w:ascii="Arial" w:hAnsi="Arial" w:cs="Arial"/>
          <w:bCs/>
          <w:sz w:val="28"/>
          <w:szCs w:val="28"/>
        </w:rPr>
        <w:t>In</w:t>
      </w:r>
      <w:proofErr w:type="gramEnd"/>
      <w:r>
        <w:rPr>
          <w:rFonts w:ascii="Arial" w:hAnsi="Arial" w:cs="Arial"/>
          <w:bCs/>
          <w:sz w:val="28"/>
          <w:szCs w:val="28"/>
        </w:rPr>
        <w:t xml:space="preserve"> Hunter v British Coal, the court refused compensation to a claim that Evidence proves the injury was as a result of the accident or negligence.</w:t>
      </w:r>
    </w:p>
    <w:p w14:paraId="04DEFC3D" w14:textId="77777777" w:rsidR="00A32A91" w:rsidRDefault="00BB41A5">
      <w:pPr>
        <w:shd w:val="clear" w:color="auto" w:fill="FFFFFF"/>
        <w:spacing w:after="200" w:line="240" w:lineRule="auto"/>
        <w:jc w:val="both"/>
      </w:pPr>
      <w:r>
        <w:rPr>
          <w:rFonts w:ascii="Arial" w:eastAsia="Times New Roman" w:hAnsi="Arial" w:cs="Arial"/>
          <w:color w:val="000000"/>
          <w:sz w:val="28"/>
          <w:szCs w:val="28"/>
          <w:lang w:eastAsia="en-GB"/>
        </w:rPr>
        <w:t xml:space="preserve">Lord </w:t>
      </w:r>
      <w:proofErr w:type="spellStart"/>
      <w:r>
        <w:rPr>
          <w:rFonts w:ascii="Arial" w:eastAsia="Times New Roman" w:hAnsi="Arial" w:cs="Arial"/>
          <w:color w:val="000000"/>
          <w:sz w:val="28"/>
          <w:szCs w:val="28"/>
          <w:lang w:eastAsia="en-GB"/>
        </w:rPr>
        <w:t>Ackner</w:t>
      </w:r>
      <w:proofErr w:type="spellEnd"/>
      <w:r>
        <w:rPr>
          <w:rFonts w:ascii="Arial" w:eastAsia="Times New Roman" w:hAnsi="Arial" w:cs="Arial"/>
          <w:color w:val="000000"/>
          <w:sz w:val="28"/>
          <w:szCs w:val="28"/>
          <w:lang w:eastAsia="en-GB"/>
        </w:rPr>
        <w:t xml:space="preserve"> says that "'Shock', in the context of this cause of action, involves the sudden appreciation by sight or sound of a horrifying event, which violently agitates the mind. It has yet to include psychiatric illness caused by the accumulation over </w:t>
      </w:r>
      <w:proofErr w:type="gramStart"/>
      <w:r>
        <w:rPr>
          <w:rFonts w:ascii="Arial" w:eastAsia="Times New Roman" w:hAnsi="Arial" w:cs="Arial"/>
          <w:color w:val="000000"/>
          <w:sz w:val="28"/>
          <w:szCs w:val="28"/>
          <w:lang w:eastAsia="en-GB"/>
        </w:rPr>
        <w:t>a period of time</w:t>
      </w:r>
      <w:proofErr w:type="gramEnd"/>
      <w:r>
        <w:rPr>
          <w:rFonts w:ascii="Arial" w:eastAsia="Times New Roman" w:hAnsi="Arial" w:cs="Arial"/>
          <w:color w:val="000000"/>
          <w:sz w:val="28"/>
          <w:szCs w:val="28"/>
          <w:lang w:eastAsia="en-GB"/>
        </w:rPr>
        <w:t xml:space="preserve"> of more gradual assaults on the nervous system." (</w:t>
      </w:r>
      <w:proofErr w:type="spellStart"/>
      <w:r>
        <w:rPr>
          <w:rFonts w:ascii="Arial" w:eastAsia="Times New Roman" w:hAnsi="Arial" w:cs="Arial"/>
          <w:bCs/>
          <w:i/>
          <w:iCs/>
          <w:color w:val="000000"/>
          <w:sz w:val="28"/>
          <w:szCs w:val="28"/>
          <w:lang w:eastAsia="en-GB"/>
        </w:rPr>
        <w:t>Alcock</w:t>
      </w:r>
      <w:proofErr w:type="spellEnd"/>
      <w:r>
        <w:rPr>
          <w:rFonts w:ascii="Arial" w:eastAsia="Times New Roman" w:hAnsi="Arial" w:cs="Arial"/>
          <w:bCs/>
          <w:i/>
          <w:iCs/>
          <w:color w:val="000000"/>
          <w:sz w:val="28"/>
          <w:szCs w:val="28"/>
          <w:lang w:eastAsia="en-GB"/>
        </w:rPr>
        <w:t xml:space="preserve"> &amp; </w:t>
      </w:r>
      <w:proofErr w:type="spellStart"/>
      <w:r>
        <w:rPr>
          <w:rFonts w:ascii="Arial" w:eastAsia="Times New Roman" w:hAnsi="Arial" w:cs="Arial"/>
          <w:bCs/>
          <w:i/>
          <w:iCs/>
          <w:color w:val="000000"/>
          <w:sz w:val="28"/>
          <w:szCs w:val="28"/>
          <w:lang w:eastAsia="en-GB"/>
        </w:rPr>
        <w:t>ors</w:t>
      </w:r>
      <w:proofErr w:type="spellEnd"/>
      <w:r>
        <w:rPr>
          <w:rFonts w:ascii="Arial" w:eastAsia="Times New Roman" w:hAnsi="Arial" w:cs="Arial"/>
          <w:bCs/>
          <w:i/>
          <w:iCs/>
          <w:color w:val="000000"/>
          <w:sz w:val="28"/>
          <w:szCs w:val="28"/>
          <w:lang w:eastAsia="en-GB"/>
        </w:rPr>
        <w:t xml:space="preserve"> v Chief Constable of South Yorkshire</w:t>
      </w:r>
      <w:r>
        <w:rPr>
          <w:rFonts w:ascii="Arial" w:eastAsia="Times New Roman" w:hAnsi="Arial" w:cs="Arial"/>
          <w:color w:val="000000"/>
          <w:sz w:val="28"/>
          <w:szCs w:val="28"/>
          <w:lang w:eastAsia="en-GB"/>
        </w:rPr>
        <w:t> [1992] AC 310 House of Lords).</w:t>
      </w:r>
    </w:p>
    <w:p w14:paraId="797F55D9" w14:textId="77777777" w:rsidR="00A32A91" w:rsidRDefault="00BB41A5">
      <w:pPr>
        <w:jc w:val="both"/>
      </w:pPr>
      <w:r>
        <w:rPr>
          <w:rFonts w:ascii="Arial" w:hAnsi="Arial" w:cs="Arial"/>
          <w:sz w:val="28"/>
          <w:szCs w:val="28"/>
        </w:rPr>
        <w:lastRenderedPageBreak/>
        <w:t>Based on the above case, Nia satisfied the criteria for a primary victim and Owen as a secondary victim and</w:t>
      </w:r>
      <w:r>
        <w:rPr>
          <w:rFonts w:ascii="Arial" w:hAnsi="Arial" w:cs="Arial"/>
          <w:bCs/>
          <w:sz w:val="28"/>
          <w:szCs w:val="28"/>
        </w:rPr>
        <w:t xml:space="preserve"> they both could be said to be suffering from Psychiatric injury (Post Traumatic Stress Disorder (PSTD and Depression). A recognised psychiatric illness must be a specific psychiatric condition such as such as Post Traumatic Stress Disorder (PSTD), Depression, Chronic Fatigue Syndrome, Anxiety Disorder and many </w:t>
      </w:r>
      <w:proofErr w:type="gramStart"/>
      <w:r>
        <w:rPr>
          <w:rFonts w:ascii="Arial" w:hAnsi="Arial" w:cs="Arial"/>
          <w:bCs/>
          <w:sz w:val="28"/>
          <w:szCs w:val="28"/>
        </w:rPr>
        <w:t>Adjustment Disorder</w:t>
      </w:r>
      <w:proofErr w:type="gramEnd"/>
      <w:r>
        <w:rPr>
          <w:rFonts w:ascii="Arial" w:hAnsi="Arial" w:cs="Arial"/>
          <w:bCs/>
          <w:sz w:val="28"/>
          <w:szCs w:val="28"/>
        </w:rPr>
        <w:t xml:space="preserve">. </w:t>
      </w:r>
      <w:r>
        <w:rPr>
          <w:rFonts w:ascii="Arial" w:hAnsi="Arial" w:cs="Arial"/>
          <w:sz w:val="28"/>
          <w:szCs w:val="28"/>
        </w:rPr>
        <w:t xml:space="preserve">Nia and her brother are both visitors to the park and it was as a result of the tragedy she suffered PSTD </w:t>
      </w:r>
      <w:r>
        <w:rPr>
          <w:rFonts w:ascii="Arial" w:hAnsi="Arial" w:cs="Arial"/>
          <w:bCs/>
          <w:sz w:val="28"/>
          <w:szCs w:val="28"/>
        </w:rPr>
        <w:t xml:space="preserve">and her </w:t>
      </w:r>
      <w:r>
        <w:rPr>
          <w:rFonts w:ascii="Arial" w:hAnsi="Arial" w:cs="Arial"/>
          <w:sz w:val="28"/>
          <w:szCs w:val="28"/>
        </w:rPr>
        <w:t xml:space="preserve">brother, Owen, who was the other side of the park on a cable car but saw the events unfold and was so concerned for her safety that he was unable to lead a normal life again and had to take medication for depression because Nia had messaged him to say she was going to ride the </w:t>
      </w:r>
      <w:proofErr w:type="spellStart"/>
      <w:r>
        <w:rPr>
          <w:rFonts w:ascii="Arial" w:hAnsi="Arial" w:cs="Arial"/>
          <w:sz w:val="28"/>
          <w:szCs w:val="28"/>
        </w:rPr>
        <w:t>waltzers</w:t>
      </w:r>
      <w:proofErr w:type="spellEnd"/>
      <w:r>
        <w:rPr>
          <w:rFonts w:ascii="Arial" w:hAnsi="Arial" w:cs="Arial"/>
          <w:sz w:val="28"/>
          <w:szCs w:val="28"/>
        </w:rPr>
        <w:t>.</w:t>
      </w:r>
      <w:bookmarkStart w:id="4" w:name="_Hlk89811600"/>
      <w:r>
        <w:rPr>
          <w:rFonts w:ascii="Arial" w:hAnsi="Arial" w:cs="Arial"/>
          <w:bCs/>
          <w:sz w:val="28"/>
          <w:szCs w:val="28"/>
        </w:rPr>
        <w:t xml:space="preserve"> If one is to bring a claim for psychiatric injury, it must have been caused by someone else’s negligence, in this case CPL.</w:t>
      </w:r>
    </w:p>
    <w:p w14:paraId="250D4DAF" w14:textId="77777777" w:rsidR="00A32A91" w:rsidRDefault="00BB41A5">
      <w:pPr>
        <w:spacing w:line="360" w:lineRule="auto"/>
        <w:jc w:val="both"/>
      </w:pPr>
      <w:r>
        <w:rPr>
          <w:rFonts w:ascii="Arial" w:hAnsi="Arial" w:cs="Arial"/>
          <w:sz w:val="28"/>
          <w:szCs w:val="28"/>
        </w:rPr>
        <w:t xml:space="preserve">We also </w:t>
      </w:r>
      <w:proofErr w:type="gramStart"/>
      <w:r>
        <w:rPr>
          <w:rFonts w:ascii="Arial" w:hAnsi="Arial" w:cs="Arial"/>
          <w:sz w:val="28"/>
          <w:szCs w:val="28"/>
        </w:rPr>
        <w:t>have to</w:t>
      </w:r>
      <w:proofErr w:type="gramEnd"/>
      <w:r>
        <w:rPr>
          <w:rFonts w:ascii="Arial" w:hAnsi="Arial" w:cs="Arial"/>
          <w:sz w:val="28"/>
          <w:szCs w:val="28"/>
        </w:rPr>
        <w:t xml:space="preserve"> consider recovery from psychiatric injury. Nia suffered PSTD and may go on to recover while her brother has been unable to live a normal life since the incident may not recover. These </w:t>
      </w:r>
      <w:r>
        <w:rPr>
          <w:rFonts w:ascii="Arial" w:hAnsi="Arial" w:cs="Arial"/>
          <w:bCs/>
          <w:sz w:val="28"/>
          <w:szCs w:val="28"/>
        </w:rPr>
        <w:t xml:space="preserve">facts may change the victim status of Nia and may assist Owen. The first case permitted recovery for psychiatric harm/injury in the tort of negligence is usually traced to </w:t>
      </w:r>
      <w:proofErr w:type="spellStart"/>
      <w:r>
        <w:rPr>
          <w:rFonts w:ascii="Arial" w:hAnsi="Arial" w:cs="Arial"/>
          <w:bCs/>
          <w:sz w:val="28"/>
          <w:szCs w:val="28"/>
        </w:rPr>
        <w:t>Dulieu</w:t>
      </w:r>
      <w:proofErr w:type="spellEnd"/>
      <w:r>
        <w:rPr>
          <w:rFonts w:ascii="Arial" w:hAnsi="Arial" w:cs="Arial"/>
          <w:bCs/>
          <w:sz w:val="28"/>
          <w:szCs w:val="28"/>
        </w:rPr>
        <w:t xml:space="preserve"> v White &amp; Son [1901] 2 KB 669 (KB) and Bourhill v Young [1943] AC 92 (HL) 103 for primary and secondary victims, respectively.</w:t>
      </w:r>
    </w:p>
    <w:bookmarkEnd w:id="4"/>
    <w:p w14:paraId="0A6A0320" w14:textId="77777777" w:rsidR="00A32A91" w:rsidRDefault="00A32A91">
      <w:pPr>
        <w:jc w:val="both"/>
        <w:rPr>
          <w:rFonts w:ascii="Arial" w:hAnsi="Arial" w:cs="Arial"/>
          <w:bCs/>
          <w:sz w:val="28"/>
          <w:szCs w:val="28"/>
        </w:rPr>
      </w:pPr>
    </w:p>
    <w:p w14:paraId="2006A038" w14:textId="77777777" w:rsidR="00A32A91" w:rsidRDefault="00A32A91">
      <w:pPr>
        <w:jc w:val="both"/>
        <w:rPr>
          <w:rFonts w:ascii="Arial" w:hAnsi="Arial" w:cs="Arial"/>
          <w:sz w:val="28"/>
          <w:szCs w:val="28"/>
        </w:rPr>
      </w:pPr>
    </w:p>
    <w:p w14:paraId="393D43A9" w14:textId="77777777" w:rsidR="00A32A91" w:rsidRDefault="00A32A91">
      <w:pPr>
        <w:jc w:val="both"/>
        <w:rPr>
          <w:rFonts w:ascii="Arial" w:hAnsi="Arial" w:cs="Arial"/>
          <w:sz w:val="28"/>
          <w:szCs w:val="28"/>
        </w:rPr>
      </w:pPr>
    </w:p>
    <w:p w14:paraId="7E597086" w14:textId="77777777" w:rsidR="00A32A91" w:rsidRDefault="00A32A91">
      <w:pPr>
        <w:jc w:val="both"/>
        <w:rPr>
          <w:rFonts w:ascii="Arial" w:hAnsi="Arial" w:cs="Arial"/>
          <w:sz w:val="28"/>
          <w:szCs w:val="28"/>
        </w:rPr>
      </w:pPr>
    </w:p>
    <w:p w14:paraId="483EC57B" w14:textId="77777777" w:rsidR="00A32A91" w:rsidRDefault="00A32A91">
      <w:pPr>
        <w:jc w:val="both"/>
        <w:rPr>
          <w:rFonts w:ascii="Arial" w:hAnsi="Arial" w:cs="Arial"/>
          <w:sz w:val="28"/>
          <w:szCs w:val="28"/>
        </w:rPr>
      </w:pPr>
    </w:p>
    <w:p w14:paraId="2B2AE2D1" w14:textId="77777777" w:rsidR="00A32A91" w:rsidRDefault="00A32A91">
      <w:pPr>
        <w:jc w:val="both"/>
        <w:rPr>
          <w:rFonts w:ascii="Arial" w:hAnsi="Arial" w:cs="Arial"/>
          <w:sz w:val="28"/>
          <w:szCs w:val="28"/>
        </w:rPr>
      </w:pPr>
    </w:p>
    <w:p w14:paraId="274C2B51" w14:textId="77777777" w:rsidR="00A32A91" w:rsidRDefault="00A32A91">
      <w:pPr>
        <w:jc w:val="both"/>
        <w:rPr>
          <w:rFonts w:ascii="Arial" w:hAnsi="Arial" w:cs="Arial"/>
          <w:sz w:val="28"/>
          <w:szCs w:val="28"/>
        </w:rPr>
      </w:pPr>
    </w:p>
    <w:p w14:paraId="30268F87" w14:textId="77777777" w:rsidR="00A32A91" w:rsidRDefault="00A32A91">
      <w:pPr>
        <w:jc w:val="both"/>
        <w:rPr>
          <w:rFonts w:ascii="Arial" w:hAnsi="Arial" w:cs="Arial"/>
          <w:sz w:val="28"/>
          <w:szCs w:val="28"/>
        </w:rPr>
      </w:pPr>
    </w:p>
    <w:p w14:paraId="525D045C" w14:textId="77777777" w:rsidR="00A32A91" w:rsidRDefault="00A32A91">
      <w:pPr>
        <w:jc w:val="both"/>
        <w:rPr>
          <w:rFonts w:ascii="Arial" w:hAnsi="Arial" w:cs="Arial"/>
          <w:sz w:val="28"/>
          <w:szCs w:val="28"/>
        </w:rPr>
      </w:pPr>
    </w:p>
    <w:p w14:paraId="557D20DA" w14:textId="77777777" w:rsidR="00A32A91" w:rsidRDefault="00A32A91">
      <w:pPr>
        <w:jc w:val="both"/>
        <w:rPr>
          <w:rFonts w:ascii="Arial" w:hAnsi="Arial" w:cs="Arial"/>
          <w:sz w:val="28"/>
          <w:szCs w:val="28"/>
        </w:rPr>
      </w:pPr>
    </w:p>
    <w:p w14:paraId="3C622675" w14:textId="77777777" w:rsidR="00A32A91" w:rsidRDefault="00A32A91">
      <w:pPr>
        <w:jc w:val="both"/>
        <w:rPr>
          <w:rFonts w:ascii="Arial" w:hAnsi="Arial" w:cs="Arial"/>
          <w:sz w:val="28"/>
          <w:szCs w:val="28"/>
        </w:rPr>
      </w:pPr>
    </w:p>
    <w:p w14:paraId="1C6A397D" w14:textId="77777777" w:rsidR="00A32A91" w:rsidRDefault="00A32A91">
      <w:pPr>
        <w:jc w:val="both"/>
        <w:rPr>
          <w:rFonts w:ascii="Arial" w:hAnsi="Arial" w:cs="Arial"/>
          <w:sz w:val="28"/>
          <w:szCs w:val="28"/>
        </w:rPr>
      </w:pPr>
    </w:p>
    <w:p w14:paraId="322C21DD" w14:textId="77777777" w:rsidR="00A32A91" w:rsidRDefault="00A32A91">
      <w:pPr>
        <w:jc w:val="both"/>
        <w:rPr>
          <w:rFonts w:ascii="Arial" w:hAnsi="Arial" w:cs="Arial"/>
          <w:sz w:val="28"/>
          <w:szCs w:val="28"/>
        </w:rPr>
      </w:pPr>
    </w:p>
    <w:p w14:paraId="621BF0A0" w14:textId="77777777" w:rsidR="00A32A91" w:rsidRDefault="00BB41A5">
      <w:pPr>
        <w:jc w:val="both"/>
        <w:rPr>
          <w:rFonts w:ascii="Arial" w:hAnsi="Arial" w:cs="Arial"/>
          <w:sz w:val="28"/>
          <w:szCs w:val="28"/>
        </w:rPr>
      </w:pPr>
      <w:r>
        <w:rPr>
          <w:rFonts w:ascii="Arial" w:hAnsi="Arial" w:cs="Arial"/>
          <w:sz w:val="28"/>
          <w:szCs w:val="28"/>
        </w:rPr>
        <w:t>REFERENCES</w:t>
      </w:r>
    </w:p>
    <w:p w14:paraId="64EB260E" w14:textId="77777777" w:rsidR="00A32A91" w:rsidRDefault="00A47DDC">
      <w:pPr>
        <w:jc w:val="both"/>
      </w:pPr>
      <w:hyperlink r:id="rId6" w:history="1">
        <w:r w:rsidR="00BB41A5">
          <w:rPr>
            <w:rStyle w:val="Hyperlink"/>
            <w:rFonts w:ascii="Arial" w:hAnsi="Arial" w:cs="Arial"/>
            <w:sz w:val="28"/>
            <w:szCs w:val="28"/>
          </w:rPr>
          <w:t>www.parliament.uk</w:t>
        </w:r>
      </w:hyperlink>
      <w:r w:rsidR="00BB41A5">
        <w:rPr>
          <w:rFonts w:ascii="Arial" w:hAnsi="Arial" w:cs="Arial"/>
          <w:sz w:val="28"/>
          <w:szCs w:val="28"/>
        </w:rPr>
        <w:t xml:space="preserve"> Judgments-Tomlinson (FC) Original Respondent and Cross-appellant) v. Congleton Borough Council and others (Original Appellants and Cross-respondents) Available at: </w:t>
      </w:r>
      <w:hyperlink r:id="rId7" w:history="1">
        <w:r w:rsidR="00BB41A5">
          <w:rPr>
            <w:rStyle w:val="Hyperlink"/>
            <w:rFonts w:ascii="Arial" w:hAnsi="Arial" w:cs="Arial"/>
            <w:sz w:val="28"/>
            <w:szCs w:val="28"/>
          </w:rPr>
          <w:t>https://publications.parliament.uk/pa/ld200203/ldjudgmt/jd030731/tomlin-2.htm</w:t>
        </w:r>
      </w:hyperlink>
      <w:r w:rsidR="00BB41A5">
        <w:rPr>
          <w:rFonts w:ascii="Arial" w:hAnsi="Arial" w:cs="Arial"/>
          <w:sz w:val="28"/>
          <w:szCs w:val="28"/>
        </w:rPr>
        <w:t xml:space="preserve"> (Accessed: 6</w:t>
      </w:r>
      <w:r w:rsidR="00BB41A5">
        <w:rPr>
          <w:rFonts w:ascii="Arial" w:hAnsi="Arial" w:cs="Arial"/>
          <w:sz w:val="28"/>
          <w:szCs w:val="28"/>
          <w:vertAlign w:val="superscript"/>
        </w:rPr>
        <w:t>th</w:t>
      </w:r>
      <w:r w:rsidR="00BB41A5">
        <w:rPr>
          <w:rFonts w:ascii="Arial" w:hAnsi="Arial" w:cs="Arial"/>
          <w:sz w:val="28"/>
          <w:szCs w:val="28"/>
        </w:rPr>
        <w:t xml:space="preserve"> December 2021</w:t>
      </w:r>
    </w:p>
    <w:p w14:paraId="2C1FD190" w14:textId="77777777" w:rsidR="00A32A91" w:rsidRDefault="00BB41A5">
      <w:pPr>
        <w:jc w:val="both"/>
        <w:rPr>
          <w:rFonts w:ascii="Arial" w:hAnsi="Arial" w:cs="Arial"/>
          <w:bCs/>
          <w:sz w:val="28"/>
          <w:szCs w:val="28"/>
        </w:rPr>
      </w:pPr>
      <w:proofErr w:type="spellStart"/>
      <w:r>
        <w:rPr>
          <w:rFonts w:ascii="Arial" w:hAnsi="Arial" w:cs="Arial"/>
          <w:bCs/>
          <w:sz w:val="28"/>
          <w:szCs w:val="28"/>
        </w:rPr>
        <w:t>LexiNexis</w:t>
      </w:r>
      <w:proofErr w:type="spellEnd"/>
      <w:r>
        <w:rPr>
          <w:rFonts w:ascii="Arial" w:hAnsi="Arial" w:cs="Arial"/>
          <w:bCs/>
          <w:sz w:val="28"/>
          <w:szCs w:val="28"/>
        </w:rPr>
        <w:t>- lexisnexis.co.uk/legal/guidance/psychiatric-injury-primary-victims</w:t>
      </w:r>
    </w:p>
    <w:p w14:paraId="5BB7390F" w14:textId="77777777" w:rsidR="00A32A91" w:rsidRDefault="00A32A91">
      <w:pPr>
        <w:jc w:val="both"/>
        <w:rPr>
          <w:rFonts w:ascii="Arial" w:hAnsi="Arial" w:cs="Arial"/>
          <w:sz w:val="28"/>
          <w:szCs w:val="28"/>
        </w:rPr>
      </w:pPr>
    </w:p>
    <w:p w14:paraId="1F14D3AF" w14:textId="77777777" w:rsidR="00A32A91" w:rsidRDefault="00A32A91">
      <w:pPr>
        <w:jc w:val="both"/>
        <w:rPr>
          <w:rFonts w:ascii="Arial" w:hAnsi="Arial" w:cs="Arial"/>
          <w:sz w:val="28"/>
          <w:szCs w:val="28"/>
        </w:rPr>
      </w:pPr>
    </w:p>
    <w:p w14:paraId="7D09B53D" w14:textId="77777777" w:rsidR="00A32A91" w:rsidRDefault="00A32A91">
      <w:pPr>
        <w:jc w:val="both"/>
        <w:rPr>
          <w:rFonts w:ascii="Arial" w:hAnsi="Arial" w:cs="Arial"/>
          <w:sz w:val="28"/>
          <w:szCs w:val="28"/>
        </w:rPr>
      </w:pPr>
    </w:p>
    <w:p w14:paraId="787AEF1A" w14:textId="77777777" w:rsidR="00A32A91" w:rsidRDefault="00A32A91">
      <w:pPr>
        <w:jc w:val="both"/>
        <w:rPr>
          <w:rFonts w:ascii="Arial" w:hAnsi="Arial" w:cs="Arial"/>
          <w:sz w:val="28"/>
          <w:szCs w:val="28"/>
        </w:rPr>
      </w:pPr>
    </w:p>
    <w:p w14:paraId="1F33A1B9" w14:textId="77777777" w:rsidR="00A32A91" w:rsidRDefault="00A32A91">
      <w:pPr>
        <w:jc w:val="both"/>
        <w:rPr>
          <w:rFonts w:ascii="Arial" w:hAnsi="Arial" w:cs="Arial"/>
          <w:sz w:val="28"/>
          <w:szCs w:val="28"/>
        </w:rPr>
      </w:pPr>
    </w:p>
    <w:p w14:paraId="1ACFF1A1" w14:textId="77777777" w:rsidR="00A32A91" w:rsidRDefault="00A32A91">
      <w:pPr>
        <w:jc w:val="both"/>
        <w:rPr>
          <w:rFonts w:ascii="Arial" w:hAnsi="Arial" w:cs="Arial"/>
          <w:sz w:val="28"/>
          <w:szCs w:val="28"/>
        </w:rPr>
      </w:pPr>
    </w:p>
    <w:p w14:paraId="3675628A" w14:textId="77777777" w:rsidR="00A32A91" w:rsidRDefault="00A32A91">
      <w:pPr>
        <w:jc w:val="both"/>
        <w:rPr>
          <w:rFonts w:ascii="Arial" w:hAnsi="Arial" w:cs="Arial"/>
          <w:sz w:val="28"/>
          <w:szCs w:val="28"/>
        </w:rPr>
      </w:pPr>
    </w:p>
    <w:p w14:paraId="505212B0" w14:textId="77777777" w:rsidR="00A32A91" w:rsidRDefault="00A32A91">
      <w:pPr>
        <w:jc w:val="both"/>
        <w:rPr>
          <w:rFonts w:ascii="Arial" w:hAnsi="Arial" w:cs="Arial"/>
          <w:sz w:val="28"/>
          <w:szCs w:val="28"/>
        </w:rPr>
      </w:pPr>
    </w:p>
    <w:p w14:paraId="77A3B982" w14:textId="77777777" w:rsidR="00A32A91" w:rsidRDefault="00A32A91">
      <w:pPr>
        <w:jc w:val="both"/>
        <w:rPr>
          <w:rFonts w:ascii="Arial" w:hAnsi="Arial" w:cs="Arial"/>
          <w:sz w:val="28"/>
          <w:szCs w:val="28"/>
        </w:rPr>
      </w:pPr>
    </w:p>
    <w:p w14:paraId="5F10ACAE" w14:textId="77777777" w:rsidR="00A32A91" w:rsidRDefault="00A32A91">
      <w:pPr>
        <w:jc w:val="both"/>
        <w:rPr>
          <w:rFonts w:ascii="Arial" w:hAnsi="Arial" w:cs="Arial"/>
          <w:sz w:val="28"/>
          <w:szCs w:val="28"/>
        </w:rPr>
      </w:pPr>
    </w:p>
    <w:p w14:paraId="1DBD842D" w14:textId="77777777" w:rsidR="00A32A91" w:rsidRDefault="00A32A91">
      <w:pPr>
        <w:jc w:val="both"/>
        <w:rPr>
          <w:rFonts w:ascii="Arial" w:hAnsi="Arial" w:cs="Arial"/>
          <w:sz w:val="28"/>
          <w:szCs w:val="28"/>
        </w:rPr>
      </w:pPr>
    </w:p>
    <w:p w14:paraId="0A847A95" w14:textId="77777777" w:rsidR="00A32A91" w:rsidRDefault="00A32A91">
      <w:pPr>
        <w:jc w:val="both"/>
        <w:rPr>
          <w:rFonts w:ascii="Arial" w:hAnsi="Arial" w:cs="Arial"/>
          <w:sz w:val="28"/>
          <w:szCs w:val="28"/>
        </w:rPr>
      </w:pPr>
    </w:p>
    <w:p w14:paraId="175F5D81" w14:textId="77777777" w:rsidR="00A32A91" w:rsidRDefault="00A32A91">
      <w:pPr>
        <w:jc w:val="both"/>
        <w:rPr>
          <w:rFonts w:ascii="Arial" w:hAnsi="Arial" w:cs="Arial"/>
          <w:sz w:val="28"/>
          <w:szCs w:val="28"/>
        </w:rPr>
      </w:pPr>
    </w:p>
    <w:p w14:paraId="4092DA41" w14:textId="77777777" w:rsidR="00A32A91" w:rsidRDefault="00A32A91">
      <w:pPr>
        <w:jc w:val="both"/>
        <w:rPr>
          <w:rFonts w:ascii="Arial" w:hAnsi="Arial" w:cs="Arial"/>
          <w:sz w:val="28"/>
          <w:szCs w:val="28"/>
        </w:rPr>
      </w:pPr>
    </w:p>
    <w:p w14:paraId="5CCBD8E3" w14:textId="77777777" w:rsidR="00A32A91" w:rsidRDefault="00A32A91">
      <w:pPr>
        <w:jc w:val="both"/>
        <w:rPr>
          <w:rFonts w:ascii="Arial" w:hAnsi="Arial" w:cs="Arial"/>
          <w:sz w:val="28"/>
          <w:szCs w:val="28"/>
        </w:rPr>
      </w:pPr>
    </w:p>
    <w:p w14:paraId="134C5E2D" w14:textId="77777777" w:rsidR="00A32A91" w:rsidRDefault="00A32A91">
      <w:pPr>
        <w:jc w:val="both"/>
        <w:rPr>
          <w:rFonts w:ascii="Arial" w:hAnsi="Arial" w:cs="Arial"/>
          <w:sz w:val="28"/>
          <w:szCs w:val="28"/>
        </w:rPr>
      </w:pPr>
    </w:p>
    <w:p w14:paraId="73C5926D" w14:textId="77777777" w:rsidR="00A32A91" w:rsidRDefault="00A32A91">
      <w:pPr>
        <w:jc w:val="both"/>
        <w:rPr>
          <w:rFonts w:ascii="Arial" w:hAnsi="Arial" w:cs="Arial"/>
          <w:sz w:val="28"/>
          <w:szCs w:val="28"/>
        </w:rPr>
      </w:pPr>
    </w:p>
    <w:p w14:paraId="7D8F54A2" w14:textId="77777777" w:rsidR="00A32A91" w:rsidRDefault="00A32A91">
      <w:pPr>
        <w:jc w:val="both"/>
        <w:rPr>
          <w:rFonts w:ascii="Arial" w:hAnsi="Arial" w:cs="Arial"/>
          <w:sz w:val="28"/>
          <w:szCs w:val="28"/>
        </w:rPr>
      </w:pPr>
    </w:p>
    <w:p w14:paraId="7EAEC08F" w14:textId="77777777" w:rsidR="00A32A91" w:rsidRDefault="00A32A91">
      <w:pPr>
        <w:jc w:val="both"/>
        <w:rPr>
          <w:rFonts w:ascii="Arial" w:hAnsi="Arial" w:cs="Arial"/>
          <w:sz w:val="28"/>
          <w:szCs w:val="28"/>
        </w:rPr>
      </w:pPr>
    </w:p>
    <w:p w14:paraId="111E3BF1" w14:textId="77777777" w:rsidR="00A32A91" w:rsidRDefault="00A32A91">
      <w:pPr>
        <w:jc w:val="both"/>
        <w:rPr>
          <w:rFonts w:ascii="Arial" w:hAnsi="Arial" w:cs="Arial"/>
          <w:sz w:val="28"/>
          <w:szCs w:val="28"/>
        </w:rPr>
      </w:pPr>
    </w:p>
    <w:p w14:paraId="4FEE481E" w14:textId="77777777" w:rsidR="00A32A91" w:rsidRDefault="00A32A91">
      <w:pPr>
        <w:jc w:val="both"/>
        <w:rPr>
          <w:rFonts w:ascii="Arial" w:hAnsi="Arial" w:cs="Arial"/>
          <w:sz w:val="28"/>
          <w:szCs w:val="28"/>
        </w:rPr>
      </w:pPr>
    </w:p>
    <w:p w14:paraId="03519040" w14:textId="77777777" w:rsidR="00A32A91" w:rsidRDefault="00A32A91">
      <w:pPr>
        <w:jc w:val="both"/>
        <w:rPr>
          <w:rFonts w:ascii="Arial" w:hAnsi="Arial" w:cs="Arial"/>
          <w:sz w:val="28"/>
          <w:szCs w:val="28"/>
        </w:rPr>
      </w:pPr>
    </w:p>
    <w:p w14:paraId="6B17A98F" w14:textId="77777777" w:rsidR="00A32A91" w:rsidRDefault="00BB41A5">
      <w:pPr>
        <w:jc w:val="both"/>
        <w:rPr>
          <w:rFonts w:ascii="Arial" w:hAnsi="Arial" w:cs="Arial"/>
          <w:sz w:val="28"/>
          <w:szCs w:val="28"/>
        </w:rPr>
      </w:pPr>
      <w:r>
        <w:rPr>
          <w:rFonts w:ascii="Arial" w:hAnsi="Arial" w:cs="Arial"/>
          <w:sz w:val="28"/>
          <w:szCs w:val="28"/>
        </w:rPr>
        <w:t>CASE LAWS</w:t>
      </w:r>
    </w:p>
    <w:p w14:paraId="05D0C9A4" w14:textId="77777777" w:rsidR="00A32A91" w:rsidRDefault="00BB41A5">
      <w:pPr>
        <w:jc w:val="both"/>
        <w:rPr>
          <w:rFonts w:ascii="Arial" w:hAnsi="Arial" w:cs="Arial"/>
          <w:bCs/>
          <w:sz w:val="28"/>
          <w:szCs w:val="28"/>
        </w:rPr>
      </w:pPr>
      <w:r>
        <w:rPr>
          <w:rFonts w:ascii="Arial" w:hAnsi="Arial" w:cs="Arial"/>
          <w:bCs/>
          <w:sz w:val="28"/>
          <w:szCs w:val="28"/>
        </w:rPr>
        <w:t xml:space="preserve">Wheat v </w:t>
      </w:r>
      <w:proofErr w:type="spellStart"/>
      <w:r>
        <w:rPr>
          <w:rFonts w:ascii="Arial" w:hAnsi="Arial" w:cs="Arial"/>
          <w:bCs/>
          <w:sz w:val="28"/>
          <w:szCs w:val="28"/>
        </w:rPr>
        <w:t>Lacon</w:t>
      </w:r>
      <w:proofErr w:type="spellEnd"/>
      <w:r>
        <w:rPr>
          <w:rFonts w:ascii="Arial" w:hAnsi="Arial" w:cs="Arial"/>
          <w:bCs/>
          <w:sz w:val="28"/>
          <w:szCs w:val="28"/>
        </w:rPr>
        <w:t xml:space="preserve"> [1966]</w:t>
      </w:r>
    </w:p>
    <w:p w14:paraId="35D45858" w14:textId="678ECB7E" w:rsidR="00A32A91" w:rsidRDefault="00BB41A5">
      <w:pPr>
        <w:jc w:val="both"/>
        <w:rPr>
          <w:rFonts w:ascii="Arial" w:hAnsi="Arial" w:cs="Arial"/>
          <w:bCs/>
          <w:sz w:val="28"/>
          <w:szCs w:val="28"/>
        </w:rPr>
      </w:pPr>
      <w:r>
        <w:rPr>
          <w:rFonts w:ascii="Arial" w:hAnsi="Arial" w:cs="Arial"/>
          <w:bCs/>
          <w:sz w:val="28"/>
          <w:szCs w:val="28"/>
        </w:rPr>
        <w:t>Tomlinson v Congleton BC [2003]</w:t>
      </w:r>
      <w:r w:rsidR="00FA7671">
        <w:rPr>
          <w:rFonts w:ascii="Arial" w:hAnsi="Arial" w:cs="Arial"/>
          <w:bCs/>
          <w:sz w:val="28"/>
          <w:szCs w:val="28"/>
        </w:rPr>
        <w:t xml:space="preserve"> UKHL 47; [2004] 1 A.C. 46</w:t>
      </w:r>
      <w:r w:rsidR="00A035E2">
        <w:rPr>
          <w:rFonts w:ascii="Arial" w:hAnsi="Arial" w:cs="Arial"/>
          <w:bCs/>
          <w:sz w:val="28"/>
          <w:szCs w:val="28"/>
        </w:rPr>
        <w:t>.</w:t>
      </w:r>
    </w:p>
    <w:p w14:paraId="2E4DF18D" w14:textId="77777777" w:rsidR="00A32A91" w:rsidRDefault="00BB41A5">
      <w:pPr>
        <w:jc w:val="both"/>
        <w:rPr>
          <w:rFonts w:ascii="Arial" w:hAnsi="Arial" w:cs="Arial"/>
          <w:bCs/>
          <w:sz w:val="28"/>
          <w:szCs w:val="28"/>
        </w:rPr>
      </w:pPr>
      <w:r>
        <w:rPr>
          <w:rFonts w:ascii="Arial" w:hAnsi="Arial" w:cs="Arial"/>
          <w:bCs/>
          <w:sz w:val="28"/>
          <w:szCs w:val="28"/>
        </w:rPr>
        <w:t>Ward v Tesco Stores (1976)</w:t>
      </w:r>
    </w:p>
    <w:p w14:paraId="7F386FEE" w14:textId="6C219F53" w:rsidR="00A32A91" w:rsidRDefault="00BB41A5">
      <w:pPr>
        <w:jc w:val="both"/>
        <w:rPr>
          <w:rFonts w:ascii="Arial" w:hAnsi="Arial" w:cs="Arial"/>
          <w:bCs/>
          <w:sz w:val="28"/>
          <w:szCs w:val="28"/>
        </w:rPr>
      </w:pPr>
      <w:r>
        <w:rPr>
          <w:rFonts w:ascii="Arial" w:hAnsi="Arial" w:cs="Arial"/>
          <w:bCs/>
          <w:sz w:val="28"/>
          <w:szCs w:val="28"/>
        </w:rPr>
        <w:t xml:space="preserve">Page v Smith </w:t>
      </w:r>
      <w:r w:rsidR="00527118">
        <w:rPr>
          <w:rFonts w:ascii="Arial" w:hAnsi="Arial" w:cs="Arial"/>
          <w:bCs/>
          <w:sz w:val="28"/>
          <w:szCs w:val="28"/>
        </w:rPr>
        <w:t>[</w:t>
      </w:r>
      <w:r>
        <w:rPr>
          <w:rFonts w:ascii="Arial" w:hAnsi="Arial" w:cs="Arial"/>
          <w:bCs/>
          <w:sz w:val="28"/>
          <w:szCs w:val="28"/>
        </w:rPr>
        <w:t>1996</w:t>
      </w:r>
      <w:r w:rsidR="00527118">
        <w:rPr>
          <w:rFonts w:ascii="Arial" w:hAnsi="Arial" w:cs="Arial"/>
          <w:bCs/>
          <w:sz w:val="28"/>
          <w:szCs w:val="28"/>
        </w:rPr>
        <w:t>] A. C. 155</w:t>
      </w:r>
      <w:r w:rsidR="00A035E2">
        <w:rPr>
          <w:rFonts w:ascii="Arial" w:hAnsi="Arial" w:cs="Arial"/>
          <w:bCs/>
          <w:sz w:val="28"/>
          <w:szCs w:val="28"/>
        </w:rPr>
        <w:t>.</w:t>
      </w:r>
    </w:p>
    <w:p w14:paraId="332B0921" w14:textId="60EA2B56" w:rsidR="00A32A91" w:rsidRDefault="00BB41A5">
      <w:pPr>
        <w:shd w:val="clear" w:color="auto" w:fill="FFFFFF"/>
        <w:spacing w:after="200" w:line="240" w:lineRule="auto"/>
        <w:jc w:val="both"/>
      </w:pPr>
      <w:proofErr w:type="spellStart"/>
      <w:r>
        <w:rPr>
          <w:rFonts w:ascii="Arial" w:eastAsia="Times New Roman" w:hAnsi="Arial" w:cs="Arial"/>
          <w:bCs/>
          <w:i/>
          <w:iCs/>
          <w:color w:val="000000"/>
          <w:sz w:val="28"/>
          <w:szCs w:val="28"/>
          <w:lang w:eastAsia="en-GB"/>
        </w:rPr>
        <w:t>Alcock</w:t>
      </w:r>
      <w:proofErr w:type="spellEnd"/>
      <w:r>
        <w:rPr>
          <w:rFonts w:ascii="Arial" w:eastAsia="Times New Roman" w:hAnsi="Arial" w:cs="Arial"/>
          <w:bCs/>
          <w:i/>
          <w:iCs/>
          <w:color w:val="000000"/>
          <w:sz w:val="28"/>
          <w:szCs w:val="28"/>
          <w:lang w:eastAsia="en-GB"/>
        </w:rPr>
        <w:t xml:space="preserve"> &amp; </w:t>
      </w:r>
      <w:proofErr w:type="spellStart"/>
      <w:r>
        <w:rPr>
          <w:rFonts w:ascii="Arial" w:eastAsia="Times New Roman" w:hAnsi="Arial" w:cs="Arial"/>
          <w:bCs/>
          <w:i/>
          <w:iCs/>
          <w:color w:val="000000"/>
          <w:sz w:val="28"/>
          <w:szCs w:val="28"/>
          <w:lang w:eastAsia="en-GB"/>
        </w:rPr>
        <w:t>ors</w:t>
      </w:r>
      <w:proofErr w:type="spellEnd"/>
      <w:r>
        <w:rPr>
          <w:rFonts w:ascii="Arial" w:eastAsia="Times New Roman" w:hAnsi="Arial" w:cs="Arial"/>
          <w:bCs/>
          <w:i/>
          <w:iCs/>
          <w:color w:val="000000"/>
          <w:sz w:val="28"/>
          <w:szCs w:val="28"/>
          <w:lang w:eastAsia="en-GB"/>
        </w:rPr>
        <w:t xml:space="preserve"> v Chief Constable of South Yorkshire</w:t>
      </w:r>
      <w:r>
        <w:rPr>
          <w:rFonts w:ascii="Arial" w:eastAsia="Times New Roman" w:hAnsi="Arial" w:cs="Arial"/>
          <w:color w:val="000000"/>
          <w:sz w:val="28"/>
          <w:szCs w:val="28"/>
          <w:lang w:eastAsia="en-GB"/>
        </w:rPr>
        <w:t> [1992]</w:t>
      </w:r>
      <w:r w:rsidR="00527118">
        <w:rPr>
          <w:rFonts w:ascii="Arial" w:eastAsia="Times New Roman" w:hAnsi="Arial" w:cs="Arial"/>
          <w:color w:val="000000"/>
          <w:sz w:val="28"/>
          <w:szCs w:val="28"/>
          <w:lang w:eastAsia="en-GB"/>
        </w:rPr>
        <w:t xml:space="preserve"> 1 </w:t>
      </w:r>
      <w:r>
        <w:rPr>
          <w:rFonts w:ascii="Arial" w:eastAsia="Times New Roman" w:hAnsi="Arial" w:cs="Arial"/>
          <w:color w:val="000000"/>
          <w:sz w:val="28"/>
          <w:szCs w:val="28"/>
          <w:lang w:eastAsia="en-GB"/>
        </w:rPr>
        <w:t>A</w:t>
      </w:r>
      <w:r w:rsidR="00527118">
        <w:rPr>
          <w:rFonts w:ascii="Arial" w:eastAsia="Times New Roman" w:hAnsi="Arial" w:cs="Arial"/>
          <w:color w:val="000000"/>
          <w:sz w:val="28"/>
          <w:szCs w:val="28"/>
          <w:lang w:eastAsia="en-GB"/>
        </w:rPr>
        <w:t xml:space="preserve">. </w:t>
      </w:r>
      <w:r>
        <w:rPr>
          <w:rFonts w:ascii="Arial" w:eastAsia="Times New Roman" w:hAnsi="Arial" w:cs="Arial"/>
          <w:color w:val="000000"/>
          <w:sz w:val="28"/>
          <w:szCs w:val="28"/>
          <w:lang w:eastAsia="en-GB"/>
        </w:rPr>
        <w:t>C</w:t>
      </w:r>
      <w:r w:rsidR="00527118">
        <w:rPr>
          <w:rFonts w:ascii="Arial" w:eastAsia="Times New Roman" w:hAnsi="Arial" w:cs="Arial"/>
          <w:color w:val="000000"/>
          <w:sz w:val="28"/>
          <w:szCs w:val="28"/>
          <w:lang w:eastAsia="en-GB"/>
        </w:rPr>
        <w:t xml:space="preserve">. </w:t>
      </w:r>
      <w:r>
        <w:rPr>
          <w:rFonts w:ascii="Arial" w:eastAsia="Times New Roman" w:hAnsi="Arial" w:cs="Arial"/>
          <w:color w:val="000000"/>
          <w:sz w:val="28"/>
          <w:szCs w:val="28"/>
          <w:lang w:eastAsia="en-GB"/>
        </w:rPr>
        <w:t>310</w:t>
      </w:r>
      <w:r w:rsidR="00A035E2">
        <w:rPr>
          <w:rFonts w:ascii="Arial" w:eastAsia="Times New Roman" w:hAnsi="Arial" w:cs="Arial"/>
          <w:color w:val="000000"/>
          <w:sz w:val="28"/>
          <w:szCs w:val="28"/>
          <w:lang w:eastAsia="en-GB"/>
        </w:rPr>
        <w:t>.</w:t>
      </w:r>
      <w:r>
        <w:rPr>
          <w:rFonts w:ascii="Arial" w:eastAsia="Times New Roman" w:hAnsi="Arial" w:cs="Arial"/>
          <w:color w:val="000000"/>
          <w:sz w:val="28"/>
          <w:szCs w:val="28"/>
          <w:lang w:eastAsia="en-GB"/>
        </w:rPr>
        <w:t xml:space="preserve"> </w:t>
      </w:r>
      <w:r w:rsidR="00527118">
        <w:rPr>
          <w:rFonts w:ascii="Arial" w:eastAsia="Times New Roman" w:hAnsi="Arial" w:cs="Arial"/>
          <w:color w:val="000000"/>
          <w:sz w:val="28"/>
          <w:szCs w:val="28"/>
          <w:lang w:eastAsia="en-GB"/>
        </w:rPr>
        <w:t>(</w:t>
      </w:r>
      <w:r>
        <w:rPr>
          <w:rFonts w:ascii="Arial" w:eastAsia="Times New Roman" w:hAnsi="Arial" w:cs="Arial"/>
          <w:color w:val="000000"/>
          <w:sz w:val="28"/>
          <w:szCs w:val="28"/>
          <w:lang w:eastAsia="en-GB"/>
        </w:rPr>
        <w:t>HL</w:t>
      </w:r>
      <w:r w:rsidR="00527118">
        <w:rPr>
          <w:rFonts w:ascii="Arial" w:eastAsia="Times New Roman" w:hAnsi="Arial" w:cs="Arial"/>
          <w:color w:val="000000"/>
          <w:sz w:val="28"/>
          <w:szCs w:val="28"/>
          <w:lang w:eastAsia="en-GB"/>
        </w:rPr>
        <w:t>)?</w:t>
      </w:r>
    </w:p>
    <w:p w14:paraId="150A00A5" w14:textId="73D45927" w:rsidR="00A32A91" w:rsidRDefault="00AC50DD">
      <w:pPr>
        <w:jc w:val="both"/>
        <w:rPr>
          <w:rFonts w:ascii="Arial" w:hAnsi="Arial" w:cs="Arial"/>
          <w:bCs/>
          <w:sz w:val="28"/>
          <w:szCs w:val="28"/>
        </w:rPr>
      </w:pPr>
      <w:r>
        <w:rPr>
          <w:rFonts w:ascii="Arial" w:hAnsi="Arial" w:cs="Arial"/>
          <w:bCs/>
          <w:sz w:val="28"/>
          <w:szCs w:val="28"/>
        </w:rPr>
        <w:t>McLoughlin</w:t>
      </w:r>
      <w:r w:rsidR="00BB41A5">
        <w:rPr>
          <w:rFonts w:ascii="Arial" w:hAnsi="Arial" w:cs="Arial"/>
          <w:bCs/>
          <w:sz w:val="28"/>
          <w:szCs w:val="28"/>
        </w:rPr>
        <w:t xml:space="preserve"> v O’Brian </w:t>
      </w:r>
      <w:r>
        <w:rPr>
          <w:rFonts w:ascii="Arial" w:hAnsi="Arial" w:cs="Arial"/>
          <w:bCs/>
          <w:sz w:val="28"/>
          <w:szCs w:val="28"/>
        </w:rPr>
        <w:t>[</w:t>
      </w:r>
      <w:r w:rsidR="00BB41A5">
        <w:rPr>
          <w:rFonts w:ascii="Arial" w:hAnsi="Arial" w:cs="Arial"/>
          <w:bCs/>
          <w:sz w:val="28"/>
          <w:szCs w:val="28"/>
        </w:rPr>
        <w:t>1983</w:t>
      </w:r>
      <w:r>
        <w:rPr>
          <w:rFonts w:ascii="Arial" w:hAnsi="Arial" w:cs="Arial"/>
          <w:bCs/>
          <w:sz w:val="28"/>
          <w:szCs w:val="28"/>
        </w:rPr>
        <w:t>] A.C</w:t>
      </w:r>
      <w:r w:rsidR="00BB41A5">
        <w:rPr>
          <w:rFonts w:ascii="Arial" w:hAnsi="Arial" w:cs="Arial"/>
          <w:bCs/>
          <w:sz w:val="28"/>
          <w:szCs w:val="28"/>
        </w:rPr>
        <w:t>.</w:t>
      </w:r>
      <w:r>
        <w:rPr>
          <w:rFonts w:ascii="Arial" w:hAnsi="Arial" w:cs="Arial"/>
          <w:bCs/>
          <w:sz w:val="28"/>
          <w:szCs w:val="28"/>
        </w:rPr>
        <w:t xml:space="preserve"> 410.</w:t>
      </w:r>
    </w:p>
    <w:p w14:paraId="3BC7829F" w14:textId="346D25BB" w:rsidR="00A32A91" w:rsidRDefault="00BB41A5">
      <w:pPr>
        <w:jc w:val="both"/>
        <w:rPr>
          <w:rFonts w:ascii="Arial" w:hAnsi="Arial" w:cs="Arial"/>
          <w:bCs/>
          <w:sz w:val="28"/>
          <w:szCs w:val="28"/>
        </w:rPr>
      </w:pPr>
      <w:proofErr w:type="spellStart"/>
      <w:r>
        <w:rPr>
          <w:rFonts w:ascii="Arial" w:hAnsi="Arial" w:cs="Arial"/>
          <w:bCs/>
          <w:sz w:val="28"/>
          <w:szCs w:val="28"/>
        </w:rPr>
        <w:t>Dulieu</w:t>
      </w:r>
      <w:proofErr w:type="spellEnd"/>
      <w:r>
        <w:rPr>
          <w:rFonts w:ascii="Arial" w:hAnsi="Arial" w:cs="Arial"/>
          <w:bCs/>
          <w:sz w:val="28"/>
          <w:szCs w:val="28"/>
        </w:rPr>
        <w:t xml:space="preserve"> v White &amp; Son [1901] 2 K</w:t>
      </w:r>
      <w:r w:rsidR="00AC50DD">
        <w:rPr>
          <w:rFonts w:ascii="Arial" w:hAnsi="Arial" w:cs="Arial"/>
          <w:bCs/>
          <w:sz w:val="28"/>
          <w:szCs w:val="28"/>
        </w:rPr>
        <w:t>.</w:t>
      </w:r>
      <w:r>
        <w:rPr>
          <w:rFonts w:ascii="Arial" w:hAnsi="Arial" w:cs="Arial"/>
          <w:bCs/>
          <w:sz w:val="28"/>
          <w:szCs w:val="28"/>
        </w:rPr>
        <w:t>B</w:t>
      </w:r>
      <w:r w:rsidR="00AC50DD">
        <w:rPr>
          <w:rFonts w:ascii="Arial" w:hAnsi="Arial" w:cs="Arial"/>
          <w:bCs/>
          <w:sz w:val="28"/>
          <w:szCs w:val="28"/>
        </w:rPr>
        <w:t xml:space="preserve">. </w:t>
      </w:r>
      <w:r>
        <w:rPr>
          <w:rFonts w:ascii="Arial" w:hAnsi="Arial" w:cs="Arial"/>
          <w:bCs/>
          <w:sz w:val="28"/>
          <w:szCs w:val="28"/>
        </w:rPr>
        <w:t>669</w:t>
      </w:r>
      <w:r w:rsidR="00AC50DD">
        <w:rPr>
          <w:rFonts w:ascii="Arial" w:hAnsi="Arial" w:cs="Arial"/>
          <w:bCs/>
          <w:sz w:val="28"/>
          <w:szCs w:val="28"/>
        </w:rPr>
        <w:t>.</w:t>
      </w:r>
      <w:r>
        <w:rPr>
          <w:rFonts w:ascii="Arial" w:hAnsi="Arial" w:cs="Arial"/>
          <w:bCs/>
          <w:sz w:val="28"/>
          <w:szCs w:val="28"/>
        </w:rPr>
        <w:t xml:space="preserve"> (KB)</w:t>
      </w:r>
    </w:p>
    <w:p w14:paraId="6FEAEEF1" w14:textId="5EE1FE7C" w:rsidR="00A32A91" w:rsidRDefault="00BB41A5">
      <w:pPr>
        <w:jc w:val="both"/>
        <w:rPr>
          <w:rFonts w:ascii="Arial" w:hAnsi="Arial" w:cs="Arial"/>
          <w:bCs/>
          <w:sz w:val="28"/>
          <w:szCs w:val="28"/>
        </w:rPr>
      </w:pPr>
      <w:r>
        <w:rPr>
          <w:rFonts w:ascii="Arial" w:hAnsi="Arial" w:cs="Arial"/>
          <w:bCs/>
          <w:sz w:val="28"/>
          <w:szCs w:val="28"/>
        </w:rPr>
        <w:t>Bourhill v Young [1943] A</w:t>
      </w:r>
      <w:r w:rsidR="00D208B2">
        <w:rPr>
          <w:rFonts w:ascii="Arial" w:hAnsi="Arial" w:cs="Arial"/>
          <w:bCs/>
          <w:sz w:val="28"/>
          <w:szCs w:val="28"/>
        </w:rPr>
        <w:t>.</w:t>
      </w:r>
      <w:r>
        <w:rPr>
          <w:rFonts w:ascii="Arial" w:hAnsi="Arial" w:cs="Arial"/>
          <w:bCs/>
          <w:sz w:val="28"/>
          <w:szCs w:val="28"/>
        </w:rPr>
        <w:t>C</w:t>
      </w:r>
      <w:r w:rsidR="00D208B2">
        <w:rPr>
          <w:rFonts w:ascii="Arial" w:hAnsi="Arial" w:cs="Arial"/>
          <w:bCs/>
          <w:sz w:val="28"/>
          <w:szCs w:val="28"/>
        </w:rPr>
        <w:t>.</w:t>
      </w:r>
      <w:r>
        <w:rPr>
          <w:rFonts w:ascii="Arial" w:hAnsi="Arial" w:cs="Arial"/>
          <w:bCs/>
          <w:sz w:val="28"/>
          <w:szCs w:val="28"/>
        </w:rPr>
        <w:t xml:space="preserve"> 92</w:t>
      </w:r>
      <w:r w:rsidR="00AC50DD">
        <w:rPr>
          <w:rFonts w:ascii="Arial" w:hAnsi="Arial" w:cs="Arial"/>
          <w:bCs/>
          <w:sz w:val="28"/>
          <w:szCs w:val="28"/>
        </w:rPr>
        <w:t>.</w:t>
      </w:r>
      <w:r>
        <w:rPr>
          <w:rFonts w:ascii="Arial" w:hAnsi="Arial" w:cs="Arial"/>
          <w:bCs/>
          <w:sz w:val="28"/>
          <w:szCs w:val="28"/>
        </w:rPr>
        <w:t xml:space="preserve"> </w:t>
      </w:r>
      <w:r w:rsidR="00AC50DD">
        <w:rPr>
          <w:rFonts w:ascii="Arial" w:hAnsi="Arial" w:cs="Arial"/>
          <w:bCs/>
          <w:sz w:val="28"/>
          <w:szCs w:val="28"/>
        </w:rPr>
        <w:t>(</w:t>
      </w:r>
      <w:r>
        <w:rPr>
          <w:rFonts w:ascii="Arial" w:hAnsi="Arial" w:cs="Arial"/>
          <w:bCs/>
          <w:sz w:val="28"/>
          <w:szCs w:val="28"/>
        </w:rPr>
        <w:t>(HL) 103</w:t>
      </w:r>
      <w:r w:rsidR="00AC50DD">
        <w:rPr>
          <w:rFonts w:ascii="Arial" w:hAnsi="Arial" w:cs="Arial"/>
          <w:bCs/>
          <w:sz w:val="28"/>
          <w:szCs w:val="28"/>
        </w:rPr>
        <w:t>)?</w:t>
      </w:r>
    </w:p>
    <w:p w14:paraId="22DD83F2" w14:textId="77777777" w:rsidR="00A32A91" w:rsidRDefault="00A32A91">
      <w:pPr>
        <w:jc w:val="both"/>
        <w:rPr>
          <w:rFonts w:ascii="Arial" w:hAnsi="Arial" w:cs="Arial"/>
          <w:bCs/>
          <w:sz w:val="28"/>
          <w:szCs w:val="28"/>
        </w:rPr>
      </w:pPr>
    </w:p>
    <w:p w14:paraId="271BA013" w14:textId="77777777" w:rsidR="00A32A91" w:rsidRDefault="00A32A91">
      <w:pPr>
        <w:jc w:val="both"/>
        <w:rPr>
          <w:rFonts w:ascii="Arial" w:hAnsi="Arial" w:cs="Arial"/>
          <w:sz w:val="28"/>
          <w:szCs w:val="28"/>
        </w:rPr>
      </w:pPr>
    </w:p>
    <w:p w14:paraId="69D8C57A" w14:textId="77777777" w:rsidR="00A32A91" w:rsidRDefault="00A32A91">
      <w:pPr>
        <w:jc w:val="both"/>
        <w:rPr>
          <w:rFonts w:ascii="Arial" w:hAnsi="Arial" w:cs="Arial"/>
          <w:sz w:val="28"/>
          <w:szCs w:val="28"/>
        </w:rPr>
      </w:pPr>
    </w:p>
    <w:p w14:paraId="3C1CCB96" w14:textId="77777777" w:rsidR="00A32A91" w:rsidRDefault="00A32A91">
      <w:pPr>
        <w:jc w:val="both"/>
        <w:rPr>
          <w:rFonts w:ascii="Arial" w:hAnsi="Arial" w:cs="Arial"/>
          <w:sz w:val="28"/>
          <w:szCs w:val="28"/>
        </w:rPr>
      </w:pPr>
    </w:p>
    <w:p w14:paraId="37BB1368" w14:textId="77777777" w:rsidR="00A32A91" w:rsidRDefault="00A32A91">
      <w:pPr>
        <w:jc w:val="both"/>
        <w:rPr>
          <w:rFonts w:ascii="Arial" w:hAnsi="Arial" w:cs="Arial"/>
          <w:sz w:val="28"/>
          <w:szCs w:val="28"/>
        </w:rPr>
      </w:pPr>
    </w:p>
    <w:p w14:paraId="1EE4556C" w14:textId="77777777" w:rsidR="00A32A91" w:rsidRDefault="00A32A91">
      <w:pPr>
        <w:jc w:val="both"/>
        <w:rPr>
          <w:rFonts w:ascii="Arial" w:hAnsi="Arial" w:cs="Arial"/>
          <w:sz w:val="28"/>
          <w:szCs w:val="28"/>
        </w:rPr>
      </w:pPr>
    </w:p>
    <w:p w14:paraId="38ADE581" w14:textId="77777777" w:rsidR="00A32A91" w:rsidRDefault="00A32A91">
      <w:pPr>
        <w:jc w:val="both"/>
        <w:rPr>
          <w:rFonts w:ascii="Arial" w:hAnsi="Arial" w:cs="Arial"/>
          <w:sz w:val="28"/>
          <w:szCs w:val="28"/>
        </w:rPr>
      </w:pPr>
    </w:p>
    <w:p w14:paraId="024A5478" w14:textId="77777777" w:rsidR="00A32A91" w:rsidRDefault="00A32A91">
      <w:pPr>
        <w:jc w:val="both"/>
        <w:rPr>
          <w:rFonts w:ascii="Arial" w:hAnsi="Arial" w:cs="Arial"/>
          <w:sz w:val="28"/>
          <w:szCs w:val="28"/>
        </w:rPr>
      </w:pPr>
    </w:p>
    <w:p w14:paraId="78972175" w14:textId="77777777" w:rsidR="00A32A91" w:rsidRDefault="00A32A91">
      <w:pPr>
        <w:jc w:val="both"/>
        <w:rPr>
          <w:rFonts w:ascii="Arial" w:hAnsi="Arial" w:cs="Arial"/>
          <w:sz w:val="28"/>
          <w:szCs w:val="28"/>
        </w:rPr>
      </w:pPr>
    </w:p>
    <w:p w14:paraId="58EB899B" w14:textId="77777777" w:rsidR="00A32A91" w:rsidRDefault="00A32A91">
      <w:pPr>
        <w:jc w:val="both"/>
        <w:rPr>
          <w:rFonts w:ascii="Arial" w:hAnsi="Arial" w:cs="Arial"/>
          <w:sz w:val="28"/>
          <w:szCs w:val="28"/>
        </w:rPr>
      </w:pPr>
    </w:p>
    <w:p w14:paraId="5F0AD2B4" w14:textId="77777777" w:rsidR="00A32A91" w:rsidRDefault="00A32A91">
      <w:pPr>
        <w:jc w:val="both"/>
        <w:rPr>
          <w:rFonts w:ascii="Arial" w:hAnsi="Arial" w:cs="Arial"/>
          <w:sz w:val="28"/>
          <w:szCs w:val="28"/>
        </w:rPr>
      </w:pPr>
    </w:p>
    <w:p w14:paraId="3D422399" w14:textId="77777777" w:rsidR="00A32A91" w:rsidRDefault="00A32A91">
      <w:pPr>
        <w:jc w:val="both"/>
        <w:rPr>
          <w:rFonts w:ascii="Arial" w:hAnsi="Arial" w:cs="Arial"/>
          <w:sz w:val="28"/>
          <w:szCs w:val="28"/>
        </w:rPr>
      </w:pPr>
    </w:p>
    <w:p w14:paraId="2D5C871D" w14:textId="77777777" w:rsidR="00A32A91" w:rsidRDefault="00A32A91">
      <w:pPr>
        <w:jc w:val="both"/>
        <w:rPr>
          <w:rFonts w:ascii="Arial" w:hAnsi="Arial" w:cs="Arial"/>
          <w:sz w:val="28"/>
          <w:szCs w:val="28"/>
        </w:rPr>
      </w:pPr>
    </w:p>
    <w:p w14:paraId="51B837E7" w14:textId="77777777" w:rsidR="00A32A91" w:rsidRDefault="00A32A91">
      <w:pPr>
        <w:jc w:val="both"/>
        <w:rPr>
          <w:rFonts w:ascii="Arial" w:hAnsi="Arial" w:cs="Arial"/>
          <w:sz w:val="28"/>
          <w:szCs w:val="28"/>
        </w:rPr>
      </w:pPr>
    </w:p>
    <w:p w14:paraId="234586FD" w14:textId="77777777" w:rsidR="00A32A91" w:rsidRDefault="00A32A91">
      <w:pPr>
        <w:jc w:val="both"/>
        <w:rPr>
          <w:rFonts w:ascii="Arial" w:hAnsi="Arial" w:cs="Arial"/>
          <w:sz w:val="28"/>
          <w:szCs w:val="28"/>
        </w:rPr>
      </w:pPr>
    </w:p>
    <w:p w14:paraId="3D586B3B" w14:textId="77777777" w:rsidR="00A32A91" w:rsidRDefault="00A32A91">
      <w:pPr>
        <w:jc w:val="both"/>
        <w:rPr>
          <w:rFonts w:ascii="Arial" w:hAnsi="Arial" w:cs="Arial"/>
          <w:sz w:val="28"/>
          <w:szCs w:val="28"/>
        </w:rPr>
      </w:pPr>
    </w:p>
    <w:p w14:paraId="04168FAD" w14:textId="77777777" w:rsidR="00A32A91" w:rsidRDefault="00A32A91">
      <w:pPr>
        <w:jc w:val="both"/>
        <w:rPr>
          <w:rFonts w:ascii="Arial" w:hAnsi="Arial" w:cs="Arial"/>
          <w:sz w:val="28"/>
          <w:szCs w:val="28"/>
        </w:rPr>
      </w:pPr>
    </w:p>
    <w:p w14:paraId="7092A022" w14:textId="77777777" w:rsidR="00A32A91" w:rsidRDefault="00A32A91">
      <w:pPr>
        <w:jc w:val="both"/>
        <w:rPr>
          <w:rFonts w:ascii="Arial" w:hAnsi="Arial" w:cs="Arial"/>
          <w:sz w:val="28"/>
          <w:szCs w:val="28"/>
        </w:rPr>
      </w:pPr>
    </w:p>
    <w:p w14:paraId="441632B6" w14:textId="77777777" w:rsidR="00A32A91" w:rsidRDefault="00A32A91">
      <w:pPr>
        <w:jc w:val="both"/>
        <w:rPr>
          <w:rFonts w:ascii="Arial" w:hAnsi="Arial" w:cs="Arial"/>
          <w:sz w:val="28"/>
          <w:szCs w:val="28"/>
        </w:rPr>
      </w:pPr>
    </w:p>
    <w:p w14:paraId="22A43B6C" w14:textId="77777777" w:rsidR="00A32A91" w:rsidRDefault="00BB41A5">
      <w:pPr>
        <w:jc w:val="both"/>
        <w:rPr>
          <w:rFonts w:ascii="Arial" w:hAnsi="Arial" w:cs="Arial"/>
          <w:sz w:val="28"/>
          <w:szCs w:val="28"/>
        </w:rPr>
      </w:pPr>
      <w:r>
        <w:rPr>
          <w:rFonts w:ascii="Arial" w:hAnsi="Arial" w:cs="Arial"/>
          <w:sz w:val="28"/>
          <w:szCs w:val="28"/>
        </w:rPr>
        <w:t>STATUES</w:t>
      </w:r>
    </w:p>
    <w:p w14:paraId="118866C5" w14:textId="77777777" w:rsidR="00A32A91" w:rsidRDefault="00BB41A5">
      <w:pPr>
        <w:jc w:val="both"/>
        <w:rPr>
          <w:rFonts w:ascii="Arial" w:hAnsi="Arial" w:cs="Arial"/>
          <w:sz w:val="28"/>
          <w:szCs w:val="28"/>
        </w:rPr>
      </w:pPr>
      <w:r>
        <w:rPr>
          <w:rFonts w:ascii="Arial" w:hAnsi="Arial" w:cs="Arial"/>
          <w:sz w:val="28"/>
          <w:szCs w:val="28"/>
        </w:rPr>
        <w:t>Law Reform (Contributory Negligence) Act 1945</w:t>
      </w:r>
    </w:p>
    <w:p w14:paraId="38DB4073" w14:textId="77777777" w:rsidR="00A32A91" w:rsidRDefault="00BB41A5">
      <w:pPr>
        <w:jc w:val="both"/>
        <w:rPr>
          <w:rFonts w:ascii="Arial" w:hAnsi="Arial" w:cs="Arial"/>
          <w:sz w:val="28"/>
          <w:szCs w:val="28"/>
        </w:rPr>
      </w:pPr>
      <w:r>
        <w:rPr>
          <w:rFonts w:ascii="Arial" w:hAnsi="Arial" w:cs="Arial"/>
          <w:sz w:val="28"/>
          <w:szCs w:val="28"/>
        </w:rPr>
        <w:t>Occupiers Liability Act 1957</w:t>
      </w:r>
    </w:p>
    <w:p w14:paraId="4E444E0C" w14:textId="77777777" w:rsidR="00A32A91" w:rsidRDefault="00BB41A5">
      <w:pPr>
        <w:jc w:val="both"/>
        <w:rPr>
          <w:rFonts w:ascii="Arial" w:hAnsi="Arial" w:cs="Arial"/>
          <w:sz w:val="28"/>
          <w:szCs w:val="28"/>
        </w:rPr>
      </w:pPr>
      <w:r>
        <w:rPr>
          <w:rFonts w:ascii="Arial" w:hAnsi="Arial" w:cs="Arial"/>
          <w:sz w:val="28"/>
          <w:szCs w:val="28"/>
        </w:rPr>
        <w:t>Occupiers Liability Act 1984</w:t>
      </w:r>
    </w:p>
    <w:p w14:paraId="2D730D22" w14:textId="77777777" w:rsidR="00A32A91" w:rsidRDefault="00BB41A5">
      <w:pPr>
        <w:jc w:val="both"/>
        <w:rPr>
          <w:rFonts w:ascii="Arial" w:hAnsi="Arial" w:cs="Arial"/>
          <w:sz w:val="28"/>
          <w:szCs w:val="28"/>
        </w:rPr>
      </w:pPr>
      <w:r>
        <w:rPr>
          <w:rFonts w:ascii="Arial" w:hAnsi="Arial" w:cs="Arial"/>
          <w:sz w:val="28"/>
          <w:szCs w:val="28"/>
        </w:rPr>
        <w:t>Unfair Contract Term 1977</w:t>
      </w:r>
    </w:p>
    <w:p w14:paraId="31CBA4F9" w14:textId="77777777" w:rsidR="00A32A91" w:rsidRDefault="00BB41A5">
      <w:pPr>
        <w:jc w:val="both"/>
        <w:rPr>
          <w:rFonts w:ascii="Arial" w:hAnsi="Arial" w:cs="Arial"/>
          <w:sz w:val="28"/>
          <w:szCs w:val="28"/>
        </w:rPr>
      </w:pPr>
      <w:r>
        <w:rPr>
          <w:rFonts w:ascii="Arial" w:hAnsi="Arial" w:cs="Arial"/>
          <w:sz w:val="28"/>
          <w:szCs w:val="28"/>
        </w:rPr>
        <w:t>Civil Liability (Contributory Act) (CL(C)1978</w:t>
      </w:r>
    </w:p>
    <w:p w14:paraId="6C84B334" w14:textId="77777777" w:rsidR="00A32A91" w:rsidRDefault="00BB41A5">
      <w:pPr>
        <w:jc w:val="both"/>
        <w:rPr>
          <w:rFonts w:ascii="Arial" w:hAnsi="Arial" w:cs="Arial"/>
          <w:sz w:val="28"/>
          <w:szCs w:val="28"/>
        </w:rPr>
      </w:pPr>
      <w:r>
        <w:rPr>
          <w:rFonts w:ascii="Arial" w:hAnsi="Arial" w:cs="Arial"/>
          <w:sz w:val="28"/>
          <w:szCs w:val="28"/>
        </w:rPr>
        <w:t>Compensation Act 2006</w:t>
      </w:r>
    </w:p>
    <w:p w14:paraId="39DBCE6C" w14:textId="77777777" w:rsidR="00A32A91" w:rsidRDefault="00A32A91">
      <w:pPr>
        <w:jc w:val="both"/>
        <w:rPr>
          <w:rFonts w:ascii="Arial" w:hAnsi="Arial" w:cs="Arial"/>
          <w:sz w:val="28"/>
          <w:szCs w:val="28"/>
        </w:rPr>
      </w:pPr>
    </w:p>
    <w:p w14:paraId="408ADAE1" w14:textId="77777777" w:rsidR="00A32A91" w:rsidRDefault="00A32A91">
      <w:pPr>
        <w:jc w:val="both"/>
        <w:rPr>
          <w:rFonts w:ascii="Arial" w:hAnsi="Arial" w:cs="Arial"/>
          <w:sz w:val="28"/>
          <w:szCs w:val="28"/>
        </w:rPr>
      </w:pPr>
    </w:p>
    <w:sectPr w:rsidR="00A32A9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598EE" w14:textId="77777777" w:rsidR="00A47DDC" w:rsidRDefault="00A47DDC">
      <w:pPr>
        <w:spacing w:after="0" w:line="240" w:lineRule="auto"/>
      </w:pPr>
      <w:r>
        <w:separator/>
      </w:r>
    </w:p>
  </w:endnote>
  <w:endnote w:type="continuationSeparator" w:id="0">
    <w:p w14:paraId="3D86B1FE" w14:textId="77777777" w:rsidR="00A47DDC" w:rsidRDefault="00A47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20E71" w14:textId="77777777" w:rsidR="00A47DDC" w:rsidRDefault="00A47DDC">
      <w:pPr>
        <w:spacing w:after="0" w:line="240" w:lineRule="auto"/>
      </w:pPr>
      <w:r>
        <w:rPr>
          <w:color w:val="000000"/>
        </w:rPr>
        <w:separator/>
      </w:r>
    </w:p>
  </w:footnote>
  <w:footnote w:type="continuationSeparator" w:id="0">
    <w:p w14:paraId="32620C42" w14:textId="77777777" w:rsidR="00A47DDC" w:rsidRDefault="00A47D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2A91"/>
    <w:rsid w:val="001673B3"/>
    <w:rsid w:val="00527118"/>
    <w:rsid w:val="0096268A"/>
    <w:rsid w:val="0098283F"/>
    <w:rsid w:val="009E7FF3"/>
    <w:rsid w:val="00A035E2"/>
    <w:rsid w:val="00A32A91"/>
    <w:rsid w:val="00A47DDC"/>
    <w:rsid w:val="00AC50DD"/>
    <w:rsid w:val="00BB41A5"/>
    <w:rsid w:val="00D16528"/>
    <w:rsid w:val="00D208B2"/>
    <w:rsid w:val="00D3769A"/>
    <w:rsid w:val="00DD7E64"/>
    <w:rsid w:val="00E45D39"/>
    <w:rsid w:val="00FA767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4DA69F"/>
  <w15:docId w15:val="{8D061F46-A1B7-47B2-9837-9059A28A1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pPr>
  </w:style>
  <w:style w:type="paragraph" w:styleId="Header">
    <w:name w:val="header"/>
    <w:basedOn w:val="Normal"/>
    <w:link w:val="HeaderChar"/>
    <w:uiPriority w:val="99"/>
    <w:unhideWhenUsed/>
    <w:rsid w:val="00962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68A"/>
  </w:style>
  <w:style w:type="paragraph" w:styleId="Footer">
    <w:name w:val="footer"/>
    <w:basedOn w:val="Normal"/>
    <w:link w:val="FooterChar"/>
    <w:uiPriority w:val="99"/>
    <w:unhideWhenUsed/>
    <w:rsid w:val="00962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ublications.parliament.uk/pa/ld200203/ldjudgmt/jd030731/tomlin-2.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arliament.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14</Pages>
  <Words>3909</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Funmilayo Bunmi Olaniyan (2018882)</dc:creator>
  <dc:description/>
  <cp:lastModifiedBy>Funmilayo Bunmi Olaniyan (2018882)</cp:lastModifiedBy>
  <cp:revision>9</cp:revision>
  <dcterms:created xsi:type="dcterms:W3CDTF">2021-12-29T15:27:00Z</dcterms:created>
  <dcterms:modified xsi:type="dcterms:W3CDTF">2022-01-07T01:41:00Z</dcterms:modified>
</cp:coreProperties>
</file>