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756F8" w14:textId="77777777" w:rsidR="00C146A1" w:rsidRDefault="00C146A1" w:rsidP="00C146A1">
      <w:r>
        <w:t>Student number 2306147</w:t>
      </w:r>
    </w:p>
    <w:p w14:paraId="79C05350" w14:textId="77777777" w:rsidR="00C146A1" w:rsidRPr="006A5A9C" w:rsidRDefault="00C146A1" w:rsidP="00C146A1">
      <w:pPr>
        <w:rPr>
          <w:b/>
          <w:bCs/>
        </w:rPr>
      </w:pPr>
      <w:r w:rsidRPr="006A5A9C">
        <w:rPr>
          <w:b/>
          <w:bCs/>
        </w:rPr>
        <w:t>Ways of Perceiving (ADDA4023/C)</w:t>
      </w:r>
    </w:p>
    <w:p w14:paraId="6249217E" w14:textId="77777777" w:rsidR="00C146A1" w:rsidRDefault="00C146A1" w:rsidP="00C146A1">
      <w:r>
        <w:t xml:space="preserve">Word </w:t>
      </w:r>
      <w:proofErr w:type="gramStart"/>
      <w:r>
        <w:t>count :</w:t>
      </w:r>
      <w:proofErr w:type="gramEnd"/>
      <w:r>
        <w:t xml:space="preserve"> 1510</w:t>
      </w:r>
    </w:p>
    <w:p w14:paraId="1C3BB3E8" w14:textId="7FB8CA85" w:rsidR="00131FB7" w:rsidRDefault="00131FB7" w:rsidP="00C146A1">
      <w:r>
        <w:t>Martin Bush</w:t>
      </w:r>
    </w:p>
    <w:p w14:paraId="2A96BB50" w14:textId="77777777" w:rsidR="00C146A1" w:rsidRPr="006A5A9C" w:rsidRDefault="00C146A1" w:rsidP="00C146A1">
      <w:r w:rsidRPr="006A5A9C">
        <w:t>For this assessment, I confirm that I have not used Generative AI to support me in structuring my submission, including creating a draft argument structure, identifying parts and headings. I confirm that I have not used Generative AI to create text for my submission. I confirm that I have not used Generative AI for creative materials, such as images.</w:t>
      </w:r>
    </w:p>
    <w:p w14:paraId="6E943AF9" w14:textId="77777777" w:rsidR="00C146A1" w:rsidRDefault="00C146A1">
      <w:pPr>
        <w:rPr>
          <w:rFonts w:ascii="Arial" w:hAnsi="Arial" w:cs="Arial"/>
          <w:sz w:val="56"/>
          <w:szCs w:val="56"/>
        </w:rPr>
      </w:pPr>
    </w:p>
    <w:p w14:paraId="005DF32F" w14:textId="705100AF" w:rsidR="00EA33F5" w:rsidRPr="00D2418B" w:rsidRDefault="00EA33F5">
      <w:pPr>
        <w:rPr>
          <w:rFonts w:ascii="Arial" w:hAnsi="Arial" w:cs="Arial"/>
          <w:sz w:val="56"/>
          <w:szCs w:val="56"/>
        </w:rPr>
      </w:pPr>
      <w:r w:rsidRPr="00D2418B">
        <w:rPr>
          <w:rFonts w:ascii="Arial" w:hAnsi="Arial" w:cs="Arial"/>
          <w:sz w:val="56"/>
          <w:szCs w:val="56"/>
        </w:rPr>
        <w:t>Rewriting Histories: Art, Identity, and Resistance</w:t>
      </w:r>
    </w:p>
    <w:p w14:paraId="0FE614C1" w14:textId="77777777" w:rsidR="00EA33F5" w:rsidRPr="00EA33F5" w:rsidRDefault="00EA33F5" w:rsidP="00EA33F5">
      <w:pPr>
        <w:rPr>
          <w:rFonts w:ascii="Arial" w:hAnsi="Arial" w:cs="Arial"/>
          <w:sz w:val="22"/>
          <w:szCs w:val="22"/>
        </w:rPr>
      </w:pPr>
      <w:r w:rsidRPr="00EA33F5">
        <w:rPr>
          <w:rFonts w:ascii="Arial" w:hAnsi="Arial" w:cs="Arial"/>
          <w:sz w:val="22"/>
          <w:szCs w:val="22"/>
        </w:rPr>
        <w:t xml:space="preserve">For art and design historians, the Eurocentric and male-dominated narrative of histories has not only persisted, but has been upheld as the predominant history, significantly marginalizing women's contributions, contributions from the global majority, Indigenous Peoples and other minoritized groups. </w:t>
      </w:r>
      <w:proofErr w:type="gramStart"/>
      <w:r w:rsidRPr="00EA33F5">
        <w:rPr>
          <w:rFonts w:ascii="Arial" w:hAnsi="Arial" w:cs="Arial"/>
          <w:sz w:val="22"/>
          <w:szCs w:val="22"/>
        </w:rPr>
        <w:t>At this time</w:t>
      </w:r>
      <w:proofErr w:type="gramEnd"/>
      <w:r w:rsidRPr="00EA33F5">
        <w:rPr>
          <w:rFonts w:ascii="Arial" w:hAnsi="Arial" w:cs="Arial"/>
          <w:sz w:val="22"/>
          <w:szCs w:val="22"/>
        </w:rPr>
        <w:t>, deconstructing this narrative is urgent and imperative to aid in creating a more representative and authentic recognition of creativity and culture. This exhibition captures the…to what these researchers are doing to formally intervene with the archival, oral histories and critical visual analysis of histories of art and design. The exhibition also engages with three important theoretical perspectives: feminist theory, postcolonial theory, and queer theory, which these researchers are applying to think through and utilise as resources in rethinking the historical canon. It is important to remember that deconstructing histories is not solely for reflection, it is also an active practice to reconstruct a more equitable and complex understanding of history. The exhibition also offers the case study of the activist art of the Guerrilla Girls and the UAL Decolonising the Arts Curriculum Zine, as examples of how we can assert agency by challenging historical representations about the past.</w:t>
      </w:r>
    </w:p>
    <w:p w14:paraId="73A6F485" w14:textId="77777777" w:rsidR="00EA33F5" w:rsidRPr="00EA33F5" w:rsidRDefault="00EA33F5" w:rsidP="00EA33F5">
      <w:pPr>
        <w:rPr>
          <w:rFonts w:ascii="Arial" w:hAnsi="Arial" w:cs="Arial"/>
          <w:sz w:val="22"/>
          <w:szCs w:val="22"/>
        </w:rPr>
      </w:pPr>
      <w:r w:rsidRPr="00EA33F5">
        <w:rPr>
          <w:rFonts w:ascii="Arial" w:hAnsi="Arial" w:cs="Arial"/>
          <w:sz w:val="22"/>
          <w:szCs w:val="22"/>
        </w:rPr>
        <w:t>Historically, the construction of histories of art and design has reinforced a discourse of male and European artists while denying, appropriating or ignoring the creative and cultural contributions of all peoples who are not male or European (including women, non-European cultures and nations, and the LGBTQ+ community). This process established history as a hierarchy and denied potential histories as official histories. The process of deconstructing histories of art and design that are undertaken today are essential because they interrogate the authority of the scribe and decide who has the sovereign power to write and retain cultural memory.</w:t>
      </w:r>
    </w:p>
    <w:p w14:paraId="66FF77EB" w14:textId="77777777" w:rsidR="00EA33F5" w:rsidRPr="00EA33F5" w:rsidRDefault="00EA33F5" w:rsidP="00EA33F5">
      <w:pPr>
        <w:rPr>
          <w:rFonts w:ascii="Arial" w:hAnsi="Arial" w:cs="Arial"/>
          <w:sz w:val="22"/>
          <w:szCs w:val="22"/>
        </w:rPr>
      </w:pPr>
      <w:r w:rsidRPr="00EA33F5">
        <w:rPr>
          <w:rFonts w:ascii="Arial" w:hAnsi="Arial" w:cs="Arial"/>
          <w:sz w:val="22"/>
          <w:szCs w:val="22"/>
        </w:rPr>
        <w:lastRenderedPageBreak/>
        <w:t xml:space="preserve">Historically, when researchers conduct historical or archival research on </w:t>
      </w:r>
      <w:proofErr w:type="gramStart"/>
      <w:r w:rsidRPr="00EA33F5">
        <w:rPr>
          <w:rFonts w:ascii="Arial" w:hAnsi="Arial" w:cs="Arial"/>
          <w:sz w:val="22"/>
          <w:szCs w:val="22"/>
        </w:rPr>
        <w:t>art</w:t>
      </w:r>
      <w:proofErr w:type="gramEnd"/>
      <w:r w:rsidRPr="00EA33F5">
        <w:rPr>
          <w:rFonts w:ascii="Arial" w:hAnsi="Arial" w:cs="Arial"/>
          <w:sz w:val="22"/>
          <w:szCs w:val="22"/>
        </w:rPr>
        <w:t xml:space="preserve"> they not only interrogate conventional </w:t>
      </w:r>
      <w:proofErr w:type="gramStart"/>
      <w:r w:rsidRPr="00EA33F5">
        <w:rPr>
          <w:rFonts w:ascii="Arial" w:hAnsi="Arial" w:cs="Arial"/>
          <w:sz w:val="22"/>
          <w:szCs w:val="22"/>
        </w:rPr>
        <w:t>sources, but</w:t>
      </w:r>
      <w:proofErr w:type="gramEnd"/>
      <w:r w:rsidRPr="00EA33F5">
        <w:rPr>
          <w:rFonts w:ascii="Arial" w:hAnsi="Arial" w:cs="Arial"/>
          <w:sz w:val="22"/>
          <w:szCs w:val="22"/>
        </w:rPr>
        <w:t xml:space="preserve"> also begin to explore new lines of inquiry as well. Archives revealed to researchers what had been written as well as what was omitted. Archives have often been established or developed by the colonial system in addition to by elite institutions and they reflect a bias that ridged the worldview of the creator or builders. Tamar Garb observed that colonial collecting shaped how African art could be understood and any understanding of African art as a material - cultural represented in a metaphorically racialized system of belief.</w:t>
      </w:r>
    </w:p>
    <w:p w14:paraId="71A857E5" w14:textId="2F746F1C" w:rsidR="00EA33F5" w:rsidRPr="00EA33F5" w:rsidRDefault="00EA33F5" w:rsidP="00EA33F5">
      <w:pPr>
        <w:rPr>
          <w:rFonts w:ascii="Arial" w:hAnsi="Arial" w:cs="Arial"/>
          <w:sz w:val="22"/>
          <w:szCs w:val="22"/>
        </w:rPr>
      </w:pPr>
      <w:r w:rsidRPr="00EA33F5">
        <w:rPr>
          <w:rFonts w:ascii="Arial" w:hAnsi="Arial" w:cs="Arial"/>
          <w:sz w:val="22"/>
          <w:szCs w:val="22"/>
        </w:rPr>
        <w:t xml:space="preserve">Today, researchers employ a rigorous methodology and can question who devised the archive and in some </w:t>
      </w:r>
      <w:proofErr w:type="gramStart"/>
      <w:r w:rsidRPr="00EA33F5">
        <w:rPr>
          <w:rFonts w:ascii="Arial" w:hAnsi="Arial" w:cs="Arial"/>
          <w:sz w:val="22"/>
          <w:szCs w:val="22"/>
        </w:rPr>
        <w:t>cases</w:t>
      </w:r>
      <w:proofErr w:type="gramEnd"/>
      <w:r w:rsidRPr="00EA33F5">
        <w:rPr>
          <w:rFonts w:ascii="Arial" w:hAnsi="Arial" w:cs="Arial"/>
          <w:sz w:val="22"/>
          <w:szCs w:val="22"/>
        </w:rPr>
        <w:t xml:space="preserve"> they want to find new archives to make the missing voices visible. In that context, I cite the Black Archives in Amsterdam which was established to interrogate Eurocentric assumptions in a document orientation to historicize the histories of Black people and communities in the Netherlands.</w:t>
      </w:r>
    </w:p>
    <w:p w14:paraId="6240F11D" w14:textId="2D50A2C9" w:rsidR="00EA33F5" w:rsidRPr="00EA33F5" w:rsidRDefault="00D74E49" w:rsidP="00EA33F5">
      <w:pPr>
        <w:rPr>
          <w:rFonts w:ascii="Arial" w:hAnsi="Arial" w:cs="Arial"/>
          <w:sz w:val="22"/>
          <w:szCs w:val="22"/>
        </w:rPr>
      </w:pPr>
      <w:r w:rsidRPr="00D74E49">
        <w:rPr>
          <w:rFonts w:ascii="Arial" w:hAnsi="Arial" w:cs="Arial"/>
          <w:noProof/>
          <w:sz w:val="22"/>
          <w:szCs w:val="22"/>
        </w:rPr>
        <mc:AlternateContent>
          <mc:Choice Requires="wps">
            <w:drawing>
              <wp:anchor distT="45720" distB="45720" distL="114300" distR="114300" simplePos="0" relativeHeight="251669504" behindDoc="0" locked="0" layoutInCell="1" allowOverlap="1" wp14:anchorId="27F2CE24" wp14:editId="52F14A65">
                <wp:simplePos x="0" y="0"/>
                <wp:positionH relativeFrom="page">
                  <wp:posOffset>6115050</wp:posOffset>
                </wp:positionH>
                <wp:positionV relativeFrom="paragraph">
                  <wp:posOffset>1356995</wp:posOffset>
                </wp:positionV>
                <wp:extent cx="804545" cy="356870"/>
                <wp:effectExtent l="0" t="0" r="0" b="5080"/>
                <wp:wrapSquare wrapText="bothSides"/>
                <wp:docPr id="1733093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3568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F094D8" w14:textId="50DCDDA0" w:rsidR="00D74E49" w:rsidRPr="00D74E49" w:rsidRDefault="00D74E49" w:rsidP="00D74E49">
                            <w:pPr>
                              <w:rPr>
                                <w:i/>
                                <w:iCs/>
                              </w:rPr>
                            </w:pPr>
                            <w:r w:rsidRPr="00D74E49">
                              <w:rPr>
                                <w:i/>
                                <w:iCs/>
                              </w:rPr>
                              <w:t xml:space="preserve">Figure </w:t>
                            </w:r>
                            <w:r>
                              <w:rPr>
                                <w:i/>
                                <w:iCs/>
                              </w:rPr>
                              <w:t>1</w:t>
                            </w:r>
                            <w:r w:rsidRPr="00D74E49">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F2CE24" id="_x0000_t202" coordsize="21600,21600" o:spt="202" path="m,l,21600r21600,l21600,xe">
                <v:stroke joinstyle="miter"/>
                <v:path gradientshapeok="t" o:connecttype="rect"/>
              </v:shapetype>
              <v:shape id="Text Box 2" o:spid="_x0000_s1026" type="#_x0000_t202" style="position:absolute;margin-left:481.5pt;margin-top:106.85pt;width:63.35pt;height:28.1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" filled="f" stroked="f">
                <v:textbox>
                  <w:txbxContent>
                    <w:p w14:paraId="6FF094D8" w14:textId="50DCDDA0" w:rsidR="00D74E49" w:rsidRPr="00D74E49" w:rsidRDefault="00D74E49" w:rsidP="00D74E49">
                      <w:pPr>
                        <w:rPr>
                          <w:i/>
                          <w:iCs/>
                        </w:rPr>
                      </w:pPr>
                      <w:r w:rsidRPr="00D74E49">
                        <w:rPr>
                          <w:i/>
                          <w:iCs/>
                        </w:rPr>
                        <w:t xml:space="preserve">Figure </w:t>
                      </w:r>
                      <w:r>
                        <w:rPr>
                          <w:i/>
                          <w:iCs/>
                        </w:rPr>
                        <w:t>1</w:t>
                      </w:r>
                      <w:r w:rsidRPr="00D74E49">
                        <w:rPr>
                          <w:i/>
                          <w:iCs/>
                        </w:rPr>
                        <w:t>.</w:t>
                      </w:r>
                    </w:p>
                  </w:txbxContent>
                </v:textbox>
                <w10:wrap type="square" anchorx="page"/>
              </v:shape>
            </w:pict>
          </mc:Fallback>
        </mc:AlternateContent>
      </w:r>
      <w:r w:rsidR="00EB6C47" w:rsidRPr="00D2418B">
        <w:rPr>
          <w:rFonts w:ascii="Arial" w:hAnsi="Arial" w:cs="Arial"/>
          <w:noProof/>
        </w:rPr>
        <w:drawing>
          <wp:anchor distT="0" distB="0" distL="114300" distR="114300" simplePos="0" relativeHeight="251661312" behindDoc="1" locked="0" layoutInCell="1" allowOverlap="1" wp14:anchorId="0A4AE923" wp14:editId="6655BF93">
            <wp:simplePos x="0" y="0"/>
            <wp:positionH relativeFrom="margin">
              <wp:posOffset>3518852</wp:posOffset>
            </wp:positionH>
            <wp:positionV relativeFrom="paragraph">
              <wp:posOffset>23812</wp:posOffset>
            </wp:positionV>
            <wp:extent cx="2335530" cy="1320165"/>
            <wp:effectExtent l="0" t="0" r="7620" b="0"/>
            <wp:wrapSquare wrapText="bothSides"/>
            <wp:docPr id="2107651801" name="Picture 2" descr="Effective Techniques for Video Recording Interviews | Fstop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fective Techniques for Video Recording Interviews | Fstopp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5530" cy="1320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3F5" w:rsidRPr="00EA33F5">
        <w:rPr>
          <w:rFonts w:ascii="Arial" w:hAnsi="Arial" w:cs="Arial"/>
          <w:sz w:val="22"/>
          <w:szCs w:val="22"/>
        </w:rPr>
        <w:t xml:space="preserve">Oral histories emerged as another vital source for counter-producing new histories, </w:t>
      </w:r>
      <w:proofErr w:type="gramStart"/>
      <w:r w:rsidR="00EA33F5" w:rsidRPr="00EA33F5">
        <w:rPr>
          <w:rFonts w:ascii="Arial" w:hAnsi="Arial" w:cs="Arial"/>
          <w:sz w:val="22"/>
          <w:szCs w:val="22"/>
        </w:rPr>
        <w:t>as a result of</w:t>
      </w:r>
      <w:proofErr w:type="gramEnd"/>
      <w:r w:rsidR="00EA33F5" w:rsidRPr="00EA33F5">
        <w:rPr>
          <w:rFonts w:ascii="Arial" w:hAnsi="Arial" w:cs="Arial"/>
          <w:sz w:val="22"/>
          <w:szCs w:val="22"/>
        </w:rPr>
        <w:t xml:space="preserve"> the power and influence of written history. Some communities have strong oral traditions that have never been acknowledged in formal written histories and agreed to contribute their firsthand experience. For example, the British Library's Recording Lives postcards reiterated that craft and design practitioners have been neglected in canon and a new process of knowledge-making was evident through the experience of living.</w:t>
      </w:r>
    </w:p>
    <w:p w14:paraId="706EC85D" w14:textId="10153245" w:rsidR="00EA33F5" w:rsidRPr="00EA33F5" w:rsidRDefault="00EA33F5" w:rsidP="00EA33F5">
      <w:pPr>
        <w:rPr>
          <w:rFonts w:ascii="Arial" w:hAnsi="Arial" w:cs="Arial"/>
          <w:sz w:val="22"/>
          <w:szCs w:val="22"/>
        </w:rPr>
      </w:pPr>
      <w:r w:rsidRPr="00EA33F5">
        <w:rPr>
          <w:rFonts w:ascii="Arial" w:hAnsi="Arial" w:cs="Arial"/>
          <w:sz w:val="22"/>
          <w:szCs w:val="22"/>
        </w:rPr>
        <w:t>Critical visual analysis offered by Roland Barthes can also help researchers build the ability to understand what we can see in visual culture, and at the same time question us to interrogate what we don't see. Denotation and connotation encouraged researchers to explore how images construct social values about gender, race, and class. Critiques of artworks that go beyond expectation can reveal the structures of ideology, power, and immigration that are imbedded in forms of cultural production. Feminist theories, post-colonial theories, and queer theories provided comprehension of how histories have been produced through rationalized exclusion. For example, in 1971 Linda Nochlin wrote an essay entitled "Why Have There Been No Great Women Artists," in which she expounds on institutional barriers on path to a career as an artist. In addition, Griselda Pollock misplaced women’s art within radical spatiality of the domestic.</w:t>
      </w:r>
    </w:p>
    <w:p w14:paraId="65098807" w14:textId="059105F3" w:rsidR="00EA33F5" w:rsidRPr="00EA33F5" w:rsidRDefault="00EA33F5" w:rsidP="00EA33F5">
      <w:pPr>
        <w:rPr>
          <w:rFonts w:ascii="Arial" w:hAnsi="Arial" w:cs="Arial"/>
          <w:sz w:val="22"/>
          <w:szCs w:val="22"/>
        </w:rPr>
      </w:pPr>
      <w:r w:rsidRPr="00EA33F5">
        <w:rPr>
          <w:rFonts w:ascii="Arial" w:hAnsi="Arial" w:cs="Arial"/>
          <w:sz w:val="22"/>
          <w:szCs w:val="22"/>
        </w:rPr>
        <w:t xml:space="preserve">Postcolonial theorists like Edward Said have shaped critical discourse around how colonial powers represented the "Other." He critiqued representations of "Other" through Orientalist imagery. Rasheed </w:t>
      </w:r>
      <w:proofErr w:type="spellStart"/>
      <w:r w:rsidRPr="00EA33F5">
        <w:rPr>
          <w:rFonts w:ascii="Arial" w:hAnsi="Arial" w:cs="Arial"/>
          <w:sz w:val="22"/>
          <w:szCs w:val="22"/>
        </w:rPr>
        <w:t>Araeen's</w:t>
      </w:r>
      <w:proofErr w:type="spellEnd"/>
      <w:r w:rsidRPr="00EA33F5">
        <w:rPr>
          <w:rFonts w:ascii="Arial" w:hAnsi="Arial" w:cs="Arial"/>
          <w:sz w:val="22"/>
          <w:szCs w:val="22"/>
        </w:rPr>
        <w:t xml:space="preserve"> exhibition 'The Other Story' demonstrated how, in recognition of erased art histories, British art history could be rewritten by documenting African, Caribbean, and Asian artists.</w:t>
      </w:r>
    </w:p>
    <w:p w14:paraId="39B45247" w14:textId="3341DC71" w:rsidR="00EA33F5" w:rsidRPr="00EA33F5" w:rsidRDefault="00C146A1" w:rsidP="00EA33F5">
      <w:pPr>
        <w:rPr>
          <w:rFonts w:ascii="Arial" w:hAnsi="Arial" w:cs="Arial"/>
          <w:sz w:val="22"/>
          <w:szCs w:val="22"/>
        </w:rPr>
      </w:pPr>
      <w:r w:rsidRPr="00D74E49">
        <w:rPr>
          <w:rFonts w:ascii="Arial" w:hAnsi="Arial" w:cs="Arial"/>
          <w:noProof/>
          <w:sz w:val="22"/>
          <w:szCs w:val="22"/>
        </w:rPr>
        <w:lastRenderedPageBreak/>
        <mc:AlternateContent>
          <mc:Choice Requires="wps">
            <w:drawing>
              <wp:anchor distT="45720" distB="45720" distL="114300" distR="114300" simplePos="0" relativeHeight="251667456" behindDoc="0" locked="0" layoutInCell="1" allowOverlap="1" wp14:anchorId="48812E40" wp14:editId="096FA326">
                <wp:simplePos x="0" y="0"/>
                <wp:positionH relativeFrom="margin">
                  <wp:posOffset>5188902</wp:posOffset>
                </wp:positionH>
                <wp:positionV relativeFrom="paragraph">
                  <wp:posOffset>128270</wp:posOffset>
                </wp:positionV>
                <wp:extent cx="804545" cy="356870"/>
                <wp:effectExtent l="0" t="0" r="0" b="5080"/>
                <wp:wrapSquare wrapText="bothSides"/>
                <wp:docPr id="2490070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3568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D54E4F" w14:textId="73335DB3" w:rsidR="00D74E49" w:rsidRPr="00D74E49" w:rsidRDefault="00D74E49" w:rsidP="00D74E49">
                            <w:pPr>
                              <w:rPr>
                                <w:i/>
                                <w:iCs/>
                              </w:rPr>
                            </w:pPr>
                            <w:r w:rsidRPr="00D74E49">
                              <w:rPr>
                                <w:i/>
                                <w:iCs/>
                              </w:rPr>
                              <w:t xml:space="preserve">Figure </w:t>
                            </w:r>
                            <w:r>
                              <w:rPr>
                                <w:i/>
                                <w:iCs/>
                              </w:rPr>
                              <w:t>2</w:t>
                            </w:r>
                            <w:r w:rsidRPr="00D74E49">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12E40" id="_x0000_s1027" type="#_x0000_t202" style="position:absolute;margin-left:408.55pt;margin-top:10.1pt;width:63.35pt;height:28.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" filled="f" stroked="f">
                <v:textbox>
                  <w:txbxContent>
                    <w:p w14:paraId="63D54E4F" w14:textId="73335DB3" w:rsidR="00D74E49" w:rsidRPr="00D74E49" w:rsidRDefault="00D74E49" w:rsidP="00D74E49">
                      <w:pPr>
                        <w:rPr>
                          <w:i/>
                          <w:iCs/>
                        </w:rPr>
                      </w:pPr>
                      <w:r w:rsidRPr="00D74E49">
                        <w:rPr>
                          <w:i/>
                          <w:iCs/>
                        </w:rPr>
                        <w:t xml:space="preserve">Figure </w:t>
                      </w:r>
                      <w:r>
                        <w:rPr>
                          <w:i/>
                          <w:iCs/>
                        </w:rPr>
                        <w:t>2</w:t>
                      </w:r>
                      <w:r w:rsidRPr="00D74E49">
                        <w:rPr>
                          <w:i/>
                          <w:iCs/>
                        </w:rPr>
                        <w:t>.</w:t>
                      </w:r>
                    </w:p>
                  </w:txbxContent>
                </v:textbox>
                <w10:wrap type="square" anchorx="margin"/>
              </v:shape>
            </w:pict>
          </mc:Fallback>
        </mc:AlternateContent>
      </w:r>
      <w:r w:rsidR="00D74E49">
        <w:rPr>
          <w:noProof/>
        </w:rPr>
        <w:drawing>
          <wp:anchor distT="0" distB="0" distL="114300" distR="114300" simplePos="0" relativeHeight="251670528" behindDoc="1" locked="0" layoutInCell="1" allowOverlap="1" wp14:anchorId="3A6D0895" wp14:editId="27D138D3">
            <wp:simplePos x="0" y="0"/>
            <wp:positionH relativeFrom="column">
              <wp:posOffset>3335655</wp:posOffset>
            </wp:positionH>
            <wp:positionV relativeFrom="paragraph">
              <wp:posOffset>661670</wp:posOffset>
            </wp:positionV>
            <wp:extent cx="2602230" cy="1207770"/>
            <wp:effectExtent l="0" t="0" r="7620" b="0"/>
            <wp:wrapTight wrapText="bothSides">
              <wp:wrapPolygon edited="0">
                <wp:start x="0" y="0"/>
                <wp:lineTo x="0" y="21123"/>
                <wp:lineTo x="21505" y="21123"/>
                <wp:lineTo x="21505" y="0"/>
                <wp:lineTo x="0" y="0"/>
              </wp:wrapPolygon>
            </wp:wrapTight>
            <wp:docPr id="181333141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photo description availab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2230"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00EA33F5" w:rsidRPr="00EA33F5">
        <w:rPr>
          <w:rFonts w:ascii="Arial" w:hAnsi="Arial" w:cs="Arial"/>
          <w:sz w:val="22"/>
          <w:szCs w:val="22"/>
        </w:rPr>
        <w:t>Traditionally queer theory has disrupted assumptions that histories can be heteronormative and cisgender which has historically distanced studies from an inclusive historicity. For example, Amelia Jones has reinstated non-normative identities in art history through body art and performances. Keith Haring pushed queerness into popular visual culture through his work, and he moved public interventions into private domains that created colossal iconography.</w:t>
      </w:r>
    </w:p>
    <w:p w14:paraId="55C5508C" w14:textId="1E8D7157" w:rsidR="00EA33F5" w:rsidRPr="00EA33F5" w:rsidRDefault="00EA33F5" w:rsidP="00EA33F5">
      <w:pPr>
        <w:rPr>
          <w:rFonts w:ascii="Arial" w:hAnsi="Arial" w:cs="Arial"/>
          <w:sz w:val="22"/>
          <w:szCs w:val="22"/>
        </w:rPr>
      </w:pPr>
      <w:r w:rsidRPr="00EA33F5">
        <w:rPr>
          <w:rFonts w:ascii="Arial" w:hAnsi="Arial" w:cs="Arial"/>
          <w:sz w:val="22"/>
          <w:szCs w:val="22"/>
        </w:rPr>
        <w:t xml:space="preserve">As authors and researchers bring </w:t>
      </w:r>
      <w:proofErr w:type="gramStart"/>
      <w:r w:rsidRPr="00EA33F5">
        <w:rPr>
          <w:rFonts w:ascii="Arial" w:hAnsi="Arial" w:cs="Arial"/>
          <w:sz w:val="22"/>
          <w:szCs w:val="22"/>
        </w:rPr>
        <w:t>all of</w:t>
      </w:r>
      <w:proofErr w:type="gramEnd"/>
      <w:r w:rsidRPr="00EA33F5">
        <w:rPr>
          <w:rFonts w:ascii="Arial" w:hAnsi="Arial" w:cs="Arial"/>
          <w:sz w:val="22"/>
          <w:szCs w:val="22"/>
        </w:rPr>
        <w:t xml:space="preserve"> these theories and practices together, they are actively deconstructing a rich interconnected and contradictory overarching history of art and design, that considers the creativity of diverse identities across cultures and recognizes their contribution to the experience of art and design.</w:t>
      </w:r>
    </w:p>
    <w:p w14:paraId="0254B633" w14:textId="237666CB" w:rsidR="00EA33F5" w:rsidRPr="00EA33F5" w:rsidRDefault="00EA33F5" w:rsidP="00EA33F5">
      <w:pPr>
        <w:rPr>
          <w:rFonts w:ascii="Arial" w:hAnsi="Arial" w:cs="Arial"/>
          <w:sz w:val="22"/>
          <w:szCs w:val="22"/>
        </w:rPr>
      </w:pPr>
      <w:r w:rsidRPr="00EA33F5">
        <w:rPr>
          <w:rFonts w:ascii="Arial" w:hAnsi="Arial" w:cs="Arial"/>
          <w:sz w:val="22"/>
          <w:szCs w:val="22"/>
        </w:rPr>
        <w:t>Guerrilla Girls: Institutional Critique</w:t>
      </w:r>
    </w:p>
    <w:p w14:paraId="06DE79D4" w14:textId="11E15F92" w:rsidR="00EA33F5" w:rsidRPr="00EA33F5" w:rsidRDefault="00EA33F5" w:rsidP="00EA33F5">
      <w:pPr>
        <w:rPr>
          <w:rFonts w:ascii="Arial" w:hAnsi="Arial" w:cs="Arial"/>
          <w:sz w:val="22"/>
          <w:szCs w:val="22"/>
        </w:rPr>
      </w:pPr>
      <w:r w:rsidRPr="00EA33F5">
        <w:rPr>
          <w:rFonts w:ascii="Arial" w:hAnsi="Arial" w:cs="Arial"/>
          <w:sz w:val="22"/>
          <w:szCs w:val="22"/>
        </w:rPr>
        <w:t xml:space="preserve">Guerrilla Girls was founded in 1985 and employed art and activism to openly challenge sexism and racism in the art world. The gorilla group's 1989 poster Do Women Have </w:t>
      </w:r>
      <w:proofErr w:type="gramStart"/>
      <w:r w:rsidRPr="00EA33F5">
        <w:rPr>
          <w:rFonts w:ascii="Arial" w:hAnsi="Arial" w:cs="Arial"/>
          <w:sz w:val="22"/>
          <w:szCs w:val="22"/>
        </w:rPr>
        <w:t>To</w:t>
      </w:r>
      <w:proofErr w:type="gramEnd"/>
      <w:r w:rsidRPr="00EA33F5">
        <w:rPr>
          <w:rFonts w:ascii="Arial" w:hAnsi="Arial" w:cs="Arial"/>
          <w:sz w:val="22"/>
          <w:szCs w:val="22"/>
        </w:rPr>
        <w:t xml:space="preserve"> Be Naked </w:t>
      </w:r>
      <w:proofErr w:type="gramStart"/>
      <w:r w:rsidRPr="00EA33F5">
        <w:rPr>
          <w:rFonts w:ascii="Arial" w:hAnsi="Arial" w:cs="Arial"/>
          <w:sz w:val="22"/>
          <w:szCs w:val="22"/>
        </w:rPr>
        <w:t>To</w:t>
      </w:r>
      <w:proofErr w:type="gramEnd"/>
      <w:r w:rsidRPr="00EA33F5">
        <w:rPr>
          <w:rFonts w:ascii="Arial" w:hAnsi="Arial" w:cs="Arial"/>
          <w:sz w:val="22"/>
          <w:szCs w:val="22"/>
        </w:rPr>
        <w:t xml:space="preserve"> Get </w:t>
      </w:r>
      <w:proofErr w:type="gramStart"/>
      <w:r w:rsidRPr="00EA33F5">
        <w:rPr>
          <w:rFonts w:ascii="Arial" w:hAnsi="Arial" w:cs="Arial"/>
          <w:sz w:val="22"/>
          <w:szCs w:val="22"/>
        </w:rPr>
        <w:t>Into</w:t>
      </w:r>
      <w:proofErr w:type="gramEnd"/>
      <w:r w:rsidRPr="00EA33F5">
        <w:rPr>
          <w:rFonts w:ascii="Arial" w:hAnsi="Arial" w:cs="Arial"/>
          <w:sz w:val="22"/>
          <w:szCs w:val="22"/>
        </w:rPr>
        <w:t xml:space="preserve"> </w:t>
      </w:r>
      <w:proofErr w:type="gramStart"/>
      <w:r w:rsidRPr="00EA33F5">
        <w:rPr>
          <w:rFonts w:ascii="Arial" w:hAnsi="Arial" w:cs="Arial"/>
          <w:sz w:val="22"/>
          <w:szCs w:val="22"/>
        </w:rPr>
        <w:t>The</w:t>
      </w:r>
      <w:proofErr w:type="gramEnd"/>
      <w:r w:rsidRPr="00EA33F5">
        <w:rPr>
          <w:rFonts w:ascii="Arial" w:hAnsi="Arial" w:cs="Arial"/>
          <w:sz w:val="22"/>
          <w:szCs w:val="22"/>
        </w:rPr>
        <w:t xml:space="preserve"> Met Museum? reiterated a truth for women in 1989; women are present in museum collections as subjects, but not creators. The group's work is visual by design, employing bold graphic design, arresting statistics, and </w:t>
      </w:r>
      <w:proofErr w:type="spellStart"/>
      <w:r w:rsidRPr="00EA33F5">
        <w:rPr>
          <w:rFonts w:ascii="Arial" w:hAnsi="Arial" w:cs="Arial"/>
          <w:sz w:val="22"/>
          <w:szCs w:val="22"/>
        </w:rPr>
        <w:t>humor</w:t>
      </w:r>
      <w:proofErr w:type="spellEnd"/>
      <w:r w:rsidRPr="00EA33F5">
        <w:rPr>
          <w:rFonts w:ascii="Arial" w:hAnsi="Arial" w:cs="Arial"/>
          <w:sz w:val="22"/>
          <w:szCs w:val="22"/>
        </w:rPr>
        <w:t xml:space="preserve"> to underpin critique. In staying anonymous and wearing gorilla masks, the members use a single voice and deny individualism that aligns with feminist tactics of coalition building and resistance. While some student activists may just do activist work Guerrilla Girls augment action with research, with the aim of action-oriented scholarship recently called for in feminist theory.</w:t>
      </w:r>
    </w:p>
    <w:p w14:paraId="1FF46F72" w14:textId="77777777" w:rsidR="00EA33F5" w:rsidRPr="00EA33F5" w:rsidRDefault="00EA33F5" w:rsidP="00EA33F5">
      <w:pPr>
        <w:rPr>
          <w:rFonts w:ascii="Arial" w:hAnsi="Arial" w:cs="Arial"/>
          <w:sz w:val="22"/>
          <w:szCs w:val="22"/>
        </w:rPr>
      </w:pPr>
      <w:r w:rsidRPr="00EA33F5">
        <w:rPr>
          <w:rFonts w:ascii="Arial" w:hAnsi="Arial" w:cs="Arial"/>
          <w:sz w:val="22"/>
          <w:szCs w:val="22"/>
        </w:rPr>
        <w:t>Keith Haring: Public Queer Activism</w:t>
      </w:r>
    </w:p>
    <w:p w14:paraId="7F642013" w14:textId="62951CE4" w:rsidR="00EA33F5" w:rsidRPr="00EA33F5" w:rsidRDefault="00EA33F5" w:rsidP="00EA33F5">
      <w:pPr>
        <w:rPr>
          <w:rFonts w:ascii="Arial" w:hAnsi="Arial" w:cs="Arial"/>
          <w:sz w:val="22"/>
          <w:szCs w:val="22"/>
        </w:rPr>
      </w:pPr>
      <w:r w:rsidRPr="00EA33F5">
        <w:rPr>
          <w:rFonts w:ascii="Arial" w:hAnsi="Arial" w:cs="Arial"/>
          <w:sz w:val="22"/>
          <w:szCs w:val="22"/>
        </w:rPr>
        <w:t>Keith Haring's works emerged out of many influences including graffiti in the 1980s and highlighted issues of queerness, AIDS awareness, and social justice from a variety of perspectives. Haring's work was context specific and depended upon public art contexts like subway stations, which provided access to art. Haring's figures were often intimate and did not follow normative expectations of sexuality in a particular way. Haring's work exemplifies queer theory because they refuse limited interactions produced by heteronormative narratives while providing visibility to neglected identities. The political moment created by the AIDS epidemic contextualized Haring's work with specificity and urgency, while many of Haring's figures represented joy and poignant-bodied resistance and resilience.</w:t>
      </w:r>
    </w:p>
    <w:p w14:paraId="5FE5EBF0" w14:textId="52AE40FE" w:rsidR="00EA33F5" w:rsidRPr="00EA33F5" w:rsidRDefault="00EA33F5" w:rsidP="00EA33F5">
      <w:pPr>
        <w:rPr>
          <w:rFonts w:ascii="Arial" w:hAnsi="Arial" w:cs="Arial"/>
          <w:sz w:val="22"/>
          <w:szCs w:val="22"/>
        </w:rPr>
      </w:pPr>
      <w:r w:rsidRPr="00EA33F5">
        <w:rPr>
          <w:rFonts w:ascii="Arial" w:hAnsi="Arial" w:cs="Arial"/>
          <w:sz w:val="22"/>
          <w:szCs w:val="22"/>
        </w:rPr>
        <w:t>The Black Archives: Reclaiming History</w:t>
      </w:r>
    </w:p>
    <w:p w14:paraId="129947C8" w14:textId="003B6715" w:rsidR="00EA33F5" w:rsidRPr="00EA33F5" w:rsidRDefault="00D74E49" w:rsidP="00EA33F5">
      <w:pPr>
        <w:rPr>
          <w:rFonts w:ascii="Arial" w:hAnsi="Arial" w:cs="Arial"/>
          <w:sz w:val="22"/>
          <w:szCs w:val="22"/>
        </w:rPr>
      </w:pPr>
      <w:r w:rsidRPr="00D74E49">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5FB9AF50" wp14:editId="49B3320F">
                <wp:simplePos x="0" y="0"/>
                <wp:positionH relativeFrom="page">
                  <wp:posOffset>6415087</wp:posOffset>
                </wp:positionH>
                <wp:positionV relativeFrom="paragraph">
                  <wp:posOffset>2353945</wp:posOffset>
                </wp:positionV>
                <wp:extent cx="804545" cy="3568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3568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EF95B7" w14:textId="5B97A98F" w:rsidR="00D74E49" w:rsidRPr="00D74E49" w:rsidRDefault="00D74E49">
                            <w:pPr>
                              <w:rPr>
                                <w:i/>
                                <w:iCs/>
                              </w:rPr>
                            </w:pPr>
                            <w:r w:rsidRPr="00D74E49">
                              <w:rPr>
                                <w:i/>
                                <w:iCs/>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9AF50" id="_x0000_s1028" type="#_x0000_t202" style="position:absolute;margin-left:505.1pt;margin-top:185.35pt;width:63.35pt;height:28.1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" filled="f" stroked="f">
                <v:textbox>
                  <w:txbxContent>
                    <w:p w14:paraId="39EF95B7" w14:textId="5B97A98F" w:rsidR="00D74E49" w:rsidRPr="00D74E49" w:rsidRDefault="00D74E49">
                      <w:pPr>
                        <w:rPr>
                          <w:i/>
                          <w:iCs/>
                        </w:rPr>
                      </w:pPr>
                      <w:r w:rsidRPr="00D74E49">
                        <w:rPr>
                          <w:i/>
                          <w:iCs/>
                        </w:rPr>
                        <w:t>Figure 3.</w:t>
                      </w:r>
                    </w:p>
                  </w:txbxContent>
                </v:textbox>
                <w10:wrap type="square" anchorx="page"/>
              </v:shape>
            </w:pict>
          </mc:Fallback>
        </mc:AlternateContent>
      </w:r>
      <w:r w:rsidR="00EB6C47" w:rsidRPr="00D2418B">
        <w:rPr>
          <w:rFonts w:ascii="Arial" w:hAnsi="Arial" w:cs="Arial"/>
          <w:noProof/>
        </w:rPr>
        <w:drawing>
          <wp:anchor distT="0" distB="0" distL="114300" distR="114300" simplePos="0" relativeHeight="251659264" behindDoc="1" locked="0" layoutInCell="1" allowOverlap="1" wp14:anchorId="3534143C" wp14:editId="247D5FEB">
            <wp:simplePos x="0" y="0"/>
            <wp:positionH relativeFrom="margin">
              <wp:posOffset>2961640</wp:posOffset>
            </wp:positionH>
            <wp:positionV relativeFrom="paragraph">
              <wp:posOffset>1187768</wp:posOffset>
            </wp:positionV>
            <wp:extent cx="3146425" cy="1165225"/>
            <wp:effectExtent l="0" t="0" r="0" b="0"/>
            <wp:wrapTight wrapText="bothSides">
              <wp:wrapPolygon edited="0">
                <wp:start x="0" y="0"/>
                <wp:lineTo x="0" y="21188"/>
                <wp:lineTo x="21447" y="21188"/>
                <wp:lineTo x="21447" y="0"/>
                <wp:lineTo x="0" y="0"/>
              </wp:wrapPolygon>
            </wp:wrapTight>
            <wp:docPr id="236247684" name="Picture 1" descr="About us - The Black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s - The Black Archiv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642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3F5" w:rsidRPr="00EA33F5">
        <w:rPr>
          <w:rFonts w:ascii="Arial" w:hAnsi="Arial" w:cs="Arial"/>
          <w:sz w:val="22"/>
          <w:szCs w:val="22"/>
        </w:rPr>
        <w:t xml:space="preserve">The founding of The Black Archives in Amsterdam is a physical and conceptual challenge to the dominant historical narrative by putting Black histories at the forefront in the Netherlands. This archive, and its hosting of exhibitions, publications and events exploring the archival process in terms of challenging colonial silence of Black stories, takes a position with postcolonial thinking in creating sites of possibility to allow counter-histories to emerge, and reflects on Said’s text as a response to colonial representation, through </w:t>
      </w:r>
      <w:r w:rsidR="00EA33F5" w:rsidRPr="00EA33F5">
        <w:rPr>
          <w:rFonts w:ascii="Arial" w:hAnsi="Arial" w:cs="Arial"/>
          <w:sz w:val="22"/>
          <w:szCs w:val="22"/>
        </w:rPr>
        <w:lastRenderedPageBreak/>
        <w:t>self-representation and archival actions. The establishment of these archives is a part of a larger decolonising project happening in relation to arts institutions to intervene in the narrative of history to include the contributions of communities that have been positioned under history in the West.</w:t>
      </w:r>
    </w:p>
    <w:p w14:paraId="1D638539" w14:textId="2327A73C" w:rsidR="00EA33F5" w:rsidRPr="00EA33F5" w:rsidRDefault="00EA33F5" w:rsidP="00EA33F5">
      <w:pPr>
        <w:rPr>
          <w:rFonts w:ascii="Arial" w:hAnsi="Arial" w:cs="Arial"/>
          <w:sz w:val="22"/>
          <w:szCs w:val="22"/>
        </w:rPr>
      </w:pPr>
      <w:r w:rsidRPr="00EA33F5">
        <w:rPr>
          <w:rFonts w:ascii="Arial" w:hAnsi="Arial" w:cs="Arial"/>
          <w:sz w:val="22"/>
          <w:szCs w:val="22"/>
        </w:rPr>
        <w:t>UAL Decolonising the Arts Curriculum Zine</w:t>
      </w:r>
    </w:p>
    <w:p w14:paraId="0DFA8CB7" w14:textId="4C5BE073" w:rsidR="00EA33F5" w:rsidRPr="00EA33F5" w:rsidRDefault="00EA33F5" w:rsidP="00EA33F5">
      <w:pPr>
        <w:rPr>
          <w:rFonts w:ascii="Arial" w:hAnsi="Arial" w:cs="Arial"/>
          <w:sz w:val="22"/>
          <w:szCs w:val="22"/>
        </w:rPr>
      </w:pPr>
      <w:r w:rsidRPr="00EA33F5">
        <w:rPr>
          <w:rFonts w:ascii="Arial" w:hAnsi="Arial" w:cs="Arial"/>
          <w:sz w:val="22"/>
          <w:szCs w:val="22"/>
        </w:rPr>
        <w:t>This zine is an activist publication created collectively by students and staff at the University of the Arts London. The zine interrogates the Eurocentric bias of art and design education. It contains essays, interviews, and examples of student artwork critiquing the canons of this traditional education and intervening in the pedagogies of this historically structured education system. It calls for not just the inclusion of diverse examples, but a deeper reconsideration of the fundamental values under which the curriculum has been historically structured. This process of reconsidering fundamental values and re-examining examples resonates with careful reflections of both postcolonial and feminist theories. Both approaches acknowledge that education must reflect on its own unquestioned biases to ensure genuine inclusivity.</w:t>
      </w:r>
    </w:p>
    <w:p w14:paraId="266FFEEA" w14:textId="77777777" w:rsidR="00EA33F5" w:rsidRPr="00EA33F5" w:rsidRDefault="00EA33F5" w:rsidP="00EA33F5">
      <w:pPr>
        <w:rPr>
          <w:rFonts w:ascii="Arial" w:hAnsi="Arial" w:cs="Arial"/>
          <w:sz w:val="22"/>
          <w:szCs w:val="22"/>
        </w:rPr>
      </w:pPr>
      <w:r w:rsidRPr="00EA33F5">
        <w:rPr>
          <w:rFonts w:ascii="Arial" w:hAnsi="Arial" w:cs="Arial"/>
          <w:sz w:val="22"/>
          <w:szCs w:val="22"/>
        </w:rPr>
        <w:t>Tamar Garb: Critically Reframing Colonial Collection</w:t>
      </w:r>
    </w:p>
    <w:p w14:paraId="31930B3C" w14:textId="77777777" w:rsidR="00EA33F5" w:rsidRPr="00EA33F5" w:rsidRDefault="00EA33F5" w:rsidP="00EA33F5">
      <w:pPr>
        <w:rPr>
          <w:rFonts w:ascii="Arial" w:hAnsi="Arial" w:cs="Arial"/>
          <w:sz w:val="22"/>
          <w:szCs w:val="22"/>
        </w:rPr>
      </w:pPr>
      <w:r w:rsidRPr="00EA33F5">
        <w:rPr>
          <w:rFonts w:ascii="Arial" w:hAnsi="Arial" w:cs="Arial"/>
          <w:sz w:val="22"/>
          <w:szCs w:val="22"/>
        </w:rPr>
        <w:t xml:space="preserve">Through her analysis of colonial collections, Tamar Garb critically interrogates the role of Western museums in mediating our understanding of African art within colonial contexts. Through her scholarship, Garb has not only advocated for understanding collections through an uncritical lens, </w:t>
      </w:r>
      <w:proofErr w:type="gramStart"/>
      <w:r w:rsidRPr="00EA33F5">
        <w:rPr>
          <w:rFonts w:ascii="Arial" w:hAnsi="Arial" w:cs="Arial"/>
          <w:sz w:val="22"/>
          <w:szCs w:val="22"/>
        </w:rPr>
        <w:t>she has</w:t>
      </w:r>
      <w:proofErr w:type="gramEnd"/>
      <w:r w:rsidRPr="00EA33F5">
        <w:rPr>
          <w:rFonts w:ascii="Arial" w:hAnsi="Arial" w:cs="Arial"/>
          <w:sz w:val="22"/>
          <w:szCs w:val="22"/>
        </w:rPr>
        <w:t xml:space="preserve"> examined these collections through a form of "reading against the grain" where they consider inclusions, exclusions, displays and narratives being constructed. Garb often cites postcolonial theory to illustrate how colonial museums have worked to maintain and legitimize structures in which race was hierarchized and even civilizations themselves put on hierarchies. Garb’s scholarship can stimulate contemporary curators and scholars to think more reflexively about the contextualization and framing of objects today.</w:t>
      </w:r>
    </w:p>
    <w:p w14:paraId="7122C76C" w14:textId="77777777" w:rsidR="00EA33F5" w:rsidRPr="00D2418B" w:rsidRDefault="00EA33F5" w:rsidP="00EA33F5">
      <w:pPr>
        <w:rPr>
          <w:rFonts w:ascii="Arial" w:hAnsi="Arial" w:cs="Arial"/>
          <w:sz w:val="22"/>
          <w:szCs w:val="22"/>
        </w:rPr>
      </w:pPr>
      <w:r w:rsidRPr="00EA33F5">
        <w:rPr>
          <w:rFonts w:ascii="Arial" w:hAnsi="Arial" w:cs="Arial"/>
          <w:sz w:val="22"/>
          <w:szCs w:val="22"/>
        </w:rPr>
        <w:t xml:space="preserve">These artists, projects and archives situated together form an example of the power of rethinking and remaking art and design histories. Through active and critical research and theoretical practices, they show that history is always changing and never </w:t>
      </w:r>
      <w:proofErr w:type="gramStart"/>
      <w:r w:rsidRPr="00EA33F5">
        <w:rPr>
          <w:rFonts w:ascii="Arial" w:hAnsi="Arial" w:cs="Arial"/>
          <w:sz w:val="22"/>
          <w:szCs w:val="22"/>
        </w:rPr>
        <w:t>complete, and</w:t>
      </w:r>
      <w:proofErr w:type="gramEnd"/>
      <w:r w:rsidRPr="00EA33F5">
        <w:rPr>
          <w:rFonts w:ascii="Arial" w:hAnsi="Arial" w:cs="Arial"/>
          <w:sz w:val="22"/>
          <w:szCs w:val="22"/>
        </w:rPr>
        <w:t xml:space="preserve"> is therefore able to be rewritten to deepen the understanding of the vitality of human creativity.</w:t>
      </w:r>
    </w:p>
    <w:p w14:paraId="74912EC4" w14:textId="77777777" w:rsidR="00D2418B" w:rsidRPr="00D2418B" w:rsidRDefault="00D2418B" w:rsidP="00EA33F5">
      <w:pPr>
        <w:rPr>
          <w:rFonts w:ascii="Arial" w:hAnsi="Arial" w:cs="Arial"/>
          <w:sz w:val="22"/>
          <w:szCs w:val="22"/>
        </w:rPr>
      </w:pPr>
    </w:p>
    <w:p w14:paraId="1EA6336E" w14:textId="77777777" w:rsidR="00D2418B" w:rsidRPr="00D2418B" w:rsidRDefault="00D2418B" w:rsidP="00D2418B">
      <w:pPr>
        <w:rPr>
          <w:rFonts w:ascii="Arial" w:hAnsi="Arial" w:cs="Arial"/>
          <w:b/>
          <w:bCs/>
          <w:sz w:val="22"/>
          <w:szCs w:val="22"/>
        </w:rPr>
      </w:pPr>
      <w:r w:rsidRPr="00D2418B">
        <w:rPr>
          <w:rFonts w:ascii="Arial" w:hAnsi="Arial" w:cs="Arial"/>
          <w:b/>
          <w:bCs/>
          <w:sz w:val="22"/>
          <w:szCs w:val="22"/>
        </w:rPr>
        <w:t>Bibliography</w:t>
      </w:r>
    </w:p>
    <w:p w14:paraId="690FBDDA" w14:textId="77777777" w:rsidR="00D2418B" w:rsidRPr="00D2418B" w:rsidRDefault="00D2418B" w:rsidP="00D2418B">
      <w:pPr>
        <w:rPr>
          <w:rFonts w:ascii="Arial" w:hAnsi="Arial" w:cs="Arial"/>
          <w:sz w:val="22"/>
          <w:szCs w:val="22"/>
        </w:rPr>
      </w:pPr>
      <w:proofErr w:type="spellStart"/>
      <w:r w:rsidRPr="00D2418B">
        <w:rPr>
          <w:rFonts w:ascii="Arial" w:hAnsi="Arial" w:cs="Arial"/>
          <w:sz w:val="22"/>
          <w:szCs w:val="22"/>
        </w:rPr>
        <w:t>Araeen</w:t>
      </w:r>
      <w:proofErr w:type="spellEnd"/>
      <w:r w:rsidRPr="00D2418B">
        <w:rPr>
          <w:rFonts w:ascii="Arial" w:hAnsi="Arial" w:cs="Arial"/>
          <w:sz w:val="22"/>
          <w:szCs w:val="22"/>
        </w:rPr>
        <w:t xml:space="preserve">, R. (1989) </w:t>
      </w:r>
      <w:r w:rsidRPr="00D2418B">
        <w:rPr>
          <w:rFonts w:ascii="Arial" w:hAnsi="Arial" w:cs="Arial"/>
          <w:i/>
          <w:iCs/>
          <w:sz w:val="22"/>
          <w:szCs w:val="22"/>
        </w:rPr>
        <w:t>The Other Story: Afro-Asian Artists in Post-War Britain</w:t>
      </w:r>
      <w:r w:rsidRPr="00D2418B">
        <w:rPr>
          <w:rFonts w:ascii="Arial" w:hAnsi="Arial" w:cs="Arial"/>
          <w:sz w:val="22"/>
          <w:szCs w:val="22"/>
        </w:rPr>
        <w:t>. London: Hayward Gallery.</w:t>
      </w:r>
    </w:p>
    <w:p w14:paraId="1BF34B8F"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Barthes, R. (1977) </w:t>
      </w:r>
      <w:r w:rsidRPr="00D2418B">
        <w:rPr>
          <w:rFonts w:ascii="Arial" w:hAnsi="Arial" w:cs="Arial"/>
          <w:i/>
          <w:iCs/>
          <w:sz w:val="22"/>
          <w:szCs w:val="22"/>
        </w:rPr>
        <w:t>Image, Music, Text</w:t>
      </w:r>
      <w:r w:rsidRPr="00D2418B">
        <w:rPr>
          <w:rFonts w:ascii="Arial" w:hAnsi="Arial" w:cs="Arial"/>
          <w:sz w:val="22"/>
          <w:szCs w:val="22"/>
        </w:rPr>
        <w:t>. London: Fontana Press.</w:t>
      </w:r>
    </w:p>
    <w:p w14:paraId="5FA66DFC"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Garb, T. (2007) </w:t>
      </w:r>
      <w:r w:rsidRPr="00D2418B">
        <w:rPr>
          <w:rFonts w:ascii="Arial" w:hAnsi="Arial" w:cs="Arial"/>
          <w:i/>
          <w:iCs/>
          <w:sz w:val="22"/>
          <w:szCs w:val="22"/>
        </w:rPr>
        <w:t>Figures and Fictions: Contemporary South African Photography</w:t>
      </w:r>
      <w:r w:rsidRPr="00D2418B">
        <w:rPr>
          <w:rFonts w:ascii="Arial" w:hAnsi="Arial" w:cs="Arial"/>
          <w:sz w:val="22"/>
          <w:szCs w:val="22"/>
        </w:rPr>
        <w:t>. Munich: Steidl.</w:t>
      </w:r>
    </w:p>
    <w:p w14:paraId="0ED64FDD"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Guerrilla Girls (1989) </w:t>
      </w:r>
      <w:r w:rsidRPr="00D2418B">
        <w:rPr>
          <w:rFonts w:ascii="Arial" w:hAnsi="Arial" w:cs="Arial"/>
          <w:i/>
          <w:iCs/>
          <w:sz w:val="22"/>
          <w:szCs w:val="22"/>
        </w:rPr>
        <w:t>Do Women Have to Be Naked to Get into the Met. Museum?</w:t>
      </w:r>
      <w:r w:rsidRPr="00D2418B">
        <w:rPr>
          <w:rFonts w:ascii="Arial" w:hAnsi="Arial" w:cs="Arial"/>
          <w:sz w:val="22"/>
          <w:szCs w:val="22"/>
        </w:rPr>
        <w:t xml:space="preserve"> [Poster].</w:t>
      </w:r>
    </w:p>
    <w:p w14:paraId="4EC299AA"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Haring, K. (1980s) </w:t>
      </w:r>
      <w:r w:rsidRPr="00D2418B">
        <w:rPr>
          <w:rFonts w:ascii="Arial" w:hAnsi="Arial" w:cs="Arial"/>
          <w:i/>
          <w:iCs/>
          <w:sz w:val="22"/>
          <w:szCs w:val="22"/>
        </w:rPr>
        <w:t>Subway Drawings</w:t>
      </w:r>
      <w:r w:rsidRPr="00D2418B">
        <w:rPr>
          <w:rFonts w:ascii="Arial" w:hAnsi="Arial" w:cs="Arial"/>
          <w:sz w:val="22"/>
          <w:szCs w:val="22"/>
        </w:rPr>
        <w:t>. Various locations, New York City.</w:t>
      </w:r>
    </w:p>
    <w:p w14:paraId="1A8DFA6F"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Jones, A. (1998) </w:t>
      </w:r>
      <w:r w:rsidRPr="00D2418B">
        <w:rPr>
          <w:rFonts w:ascii="Arial" w:hAnsi="Arial" w:cs="Arial"/>
          <w:i/>
          <w:iCs/>
          <w:sz w:val="22"/>
          <w:szCs w:val="22"/>
        </w:rPr>
        <w:t>Body Art: Performing the Subject</w:t>
      </w:r>
      <w:r w:rsidRPr="00D2418B">
        <w:rPr>
          <w:rFonts w:ascii="Arial" w:hAnsi="Arial" w:cs="Arial"/>
          <w:sz w:val="22"/>
          <w:szCs w:val="22"/>
        </w:rPr>
        <w:t>. Minneapolis: University of Minnesota Press.</w:t>
      </w:r>
    </w:p>
    <w:p w14:paraId="53CD2879" w14:textId="77777777" w:rsidR="00D2418B" w:rsidRPr="00D2418B" w:rsidRDefault="00D2418B" w:rsidP="00D2418B">
      <w:pPr>
        <w:rPr>
          <w:rFonts w:ascii="Arial" w:hAnsi="Arial" w:cs="Arial"/>
          <w:sz w:val="22"/>
          <w:szCs w:val="22"/>
        </w:rPr>
      </w:pPr>
      <w:r w:rsidRPr="00D2418B">
        <w:rPr>
          <w:rFonts w:ascii="Arial" w:hAnsi="Arial" w:cs="Arial"/>
          <w:sz w:val="22"/>
          <w:szCs w:val="22"/>
        </w:rPr>
        <w:lastRenderedPageBreak/>
        <w:t xml:space="preserve">Nochlin, L. (1971) ‘Why Have There Been No Great Women Artists?’ </w:t>
      </w:r>
      <w:proofErr w:type="spellStart"/>
      <w:r w:rsidRPr="00D2418B">
        <w:rPr>
          <w:rFonts w:ascii="Arial" w:hAnsi="Arial" w:cs="Arial"/>
          <w:i/>
          <w:iCs/>
          <w:sz w:val="22"/>
          <w:szCs w:val="22"/>
        </w:rPr>
        <w:t>ArtNews</w:t>
      </w:r>
      <w:proofErr w:type="spellEnd"/>
      <w:r w:rsidRPr="00D2418B">
        <w:rPr>
          <w:rFonts w:ascii="Arial" w:hAnsi="Arial" w:cs="Arial"/>
          <w:sz w:val="22"/>
          <w:szCs w:val="22"/>
        </w:rPr>
        <w:t>, 69(9), pp. 22–39.</w:t>
      </w:r>
    </w:p>
    <w:p w14:paraId="009693FC"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Pollock, G. (1988) </w:t>
      </w:r>
      <w:r w:rsidRPr="00D2418B">
        <w:rPr>
          <w:rFonts w:ascii="Arial" w:hAnsi="Arial" w:cs="Arial"/>
          <w:i/>
          <w:iCs/>
          <w:sz w:val="22"/>
          <w:szCs w:val="22"/>
        </w:rPr>
        <w:t>Vision and Difference: Feminism, Femininity and Histories of Art</w:t>
      </w:r>
      <w:r w:rsidRPr="00D2418B">
        <w:rPr>
          <w:rFonts w:ascii="Arial" w:hAnsi="Arial" w:cs="Arial"/>
          <w:sz w:val="22"/>
          <w:szCs w:val="22"/>
        </w:rPr>
        <w:t>. London: Routledge.</w:t>
      </w:r>
    </w:p>
    <w:p w14:paraId="2BB7DED9"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Said, E. (1978) </w:t>
      </w:r>
      <w:r w:rsidRPr="00D2418B">
        <w:rPr>
          <w:rFonts w:ascii="Arial" w:hAnsi="Arial" w:cs="Arial"/>
          <w:i/>
          <w:iCs/>
          <w:sz w:val="22"/>
          <w:szCs w:val="22"/>
        </w:rPr>
        <w:t>Orientalism</w:t>
      </w:r>
      <w:r w:rsidRPr="00D2418B">
        <w:rPr>
          <w:rFonts w:ascii="Arial" w:hAnsi="Arial" w:cs="Arial"/>
          <w:sz w:val="22"/>
          <w:szCs w:val="22"/>
        </w:rPr>
        <w:t>. New York: Pantheon Books.</w:t>
      </w:r>
    </w:p>
    <w:p w14:paraId="47ECFC6E" w14:textId="262D7343" w:rsidR="00D2418B" w:rsidRPr="00D2418B" w:rsidRDefault="00D2418B" w:rsidP="00D2418B">
      <w:pPr>
        <w:rPr>
          <w:rFonts w:ascii="Arial" w:hAnsi="Arial" w:cs="Arial"/>
          <w:sz w:val="22"/>
          <w:szCs w:val="22"/>
        </w:rPr>
      </w:pPr>
      <w:r w:rsidRPr="00D2418B">
        <w:rPr>
          <w:rFonts w:ascii="Arial" w:hAnsi="Arial" w:cs="Arial"/>
          <w:sz w:val="22"/>
          <w:szCs w:val="22"/>
        </w:rPr>
        <w:t xml:space="preserve">The Black Archives (n.d.) </w:t>
      </w:r>
      <w:r w:rsidRPr="00D2418B">
        <w:rPr>
          <w:rFonts w:ascii="Arial" w:hAnsi="Arial" w:cs="Arial"/>
          <w:i/>
          <w:iCs/>
          <w:sz w:val="22"/>
          <w:szCs w:val="22"/>
        </w:rPr>
        <w:t>The Black Archives Amsterdam</w:t>
      </w:r>
      <w:r w:rsidRPr="00D2418B">
        <w:rPr>
          <w:rFonts w:ascii="Arial" w:hAnsi="Arial" w:cs="Arial"/>
          <w:sz w:val="22"/>
          <w:szCs w:val="22"/>
        </w:rPr>
        <w:t xml:space="preserve">. [Online] Available at: </w:t>
      </w:r>
      <w:hyperlink r:id="rId10" w:tgtFrame="_new" w:history="1">
        <w:r w:rsidRPr="00D2418B">
          <w:rPr>
            <w:rStyle w:val="Hyperlink"/>
            <w:rFonts w:ascii="Arial" w:hAnsi="Arial" w:cs="Arial"/>
            <w:sz w:val="22"/>
            <w:szCs w:val="22"/>
          </w:rPr>
          <w:t>https://www.theblackarchives.nl/</w:t>
        </w:r>
      </w:hyperlink>
      <w:r w:rsidRPr="00D2418B">
        <w:rPr>
          <w:rFonts w:ascii="Arial" w:hAnsi="Arial" w:cs="Arial"/>
          <w:sz w:val="22"/>
          <w:szCs w:val="22"/>
        </w:rPr>
        <w:t xml:space="preserve"> [Accessed April</w:t>
      </w:r>
      <w:r w:rsidR="00D74E49">
        <w:rPr>
          <w:rFonts w:ascii="Arial" w:hAnsi="Arial" w:cs="Arial"/>
          <w:sz w:val="22"/>
          <w:szCs w:val="22"/>
        </w:rPr>
        <w:t xml:space="preserve"> 4</w:t>
      </w:r>
      <w:proofErr w:type="gramStart"/>
      <w:r w:rsidRPr="00D2418B">
        <w:rPr>
          <w:rFonts w:ascii="Arial" w:hAnsi="Arial" w:cs="Arial"/>
          <w:sz w:val="22"/>
          <w:szCs w:val="22"/>
        </w:rPr>
        <w:t xml:space="preserve"> 2025</w:t>
      </w:r>
      <w:proofErr w:type="gramEnd"/>
      <w:r w:rsidRPr="00D2418B">
        <w:rPr>
          <w:rFonts w:ascii="Arial" w:hAnsi="Arial" w:cs="Arial"/>
          <w:sz w:val="22"/>
          <w:szCs w:val="22"/>
        </w:rPr>
        <w:t>].</w:t>
      </w:r>
    </w:p>
    <w:p w14:paraId="699CE5E2" w14:textId="77777777" w:rsidR="00D2418B" w:rsidRPr="00D2418B" w:rsidRDefault="00D2418B" w:rsidP="00D2418B">
      <w:pPr>
        <w:rPr>
          <w:rFonts w:ascii="Arial" w:hAnsi="Arial" w:cs="Arial"/>
          <w:sz w:val="22"/>
          <w:szCs w:val="22"/>
        </w:rPr>
      </w:pPr>
      <w:r w:rsidRPr="00D2418B">
        <w:rPr>
          <w:rFonts w:ascii="Arial" w:hAnsi="Arial" w:cs="Arial"/>
          <w:sz w:val="22"/>
          <w:szCs w:val="22"/>
        </w:rPr>
        <w:t xml:space="preserve">University of the Arts London (2018) </w:t>
      </w:r>
      <w:r w:rsidRPr="00D2418B">
        <w:rPr>
          <w:rFonts w:ascii="Arial" w:hAnsi="Arial" w:cs="Arial"/>
          <w:i/>
          <w:iCs/>
          <w:sz w:val="22"/>
          <w:szCs w:val="22"/>
        </w:rPr>
        <w:t>Decolonising the Arts Curriculum: Perspectives on Higher Education</w:t>
      </w:r>
      <w:r w:rsidRPr="00D2418B">
        <w:rPr>
          <w:rFonts w:ascii="Arial" w:hAnsi="Arial" w:cs="Arial"/>
          <w:sz w:val="22"/>
          <w:szCs w:val="22"/>
        </w:rPr>
        <w:t>. London: UAL.</w:t>
      </w:r>
    </w:p>
    <w:p w14:paraId="432BF00F" w14:textId="0B3B756B" w:rsidR="00D2418B" w:rsidRPr="00D2418B" w:rsidRDefault="00D2418B" w:rsidP="00D2418B">
      <w:pPr>
        <w:rPr>
          <w:rFonts w:ascii="Arial" w:hAnsi="Arial" w:cs="Arial"/>
          <w:sz w:val="22"/>
          <w:szCs w:val="22"/>
        </w:rPr>
      </w:pPr>
      <w:r w:rsidRPr="00D2418B">
        <w:rPr>
          <w:rFonts w:ascii="Arial" w:hAnsi="Arial" w:cs="Arial"/>
          <w:sz w:val="22"/>
          <w:szCs w:val="22"/>
        </w:rPr>
        <w:t xml:space="preserve">British Library (n.d.) </w:t>
      </w:r>
      <w:r w:rsidRPr="00D2418B">
        <w:rPr>
          <w:rFonts w:ascii="Arial" w:hAnsi="Arial" w:cs="Arial"/>
          <w:i/>
          <w:iCs/>
          <w:sz w:val="22"/>
          <w:szCs w:val="22"/>
        </w:rPr>
        <w:t>Recording Lives: Oral History of British Craftspeople</w:t>
      </w:r>
      <w:r w:rsidRPr="00D2418B">
        <w:rPr>
          <w:rFonts w:ascii="Arial" w:hAnsi="Arial" w:cs="Arial"/>
          <w:sz w:val="22"/>
          <w:szCs w:val="22"/>
        </w:rPr>
        <w:t xml:space="preserve">. [Online] Available at: https://www.bl.uk/projects/oral-histories-of-artists [Accessed April </w:t>
      </w:r>
      <w:r w:rsidR="00D74E49">
        <w:rPr>
          <w:rFonts w:ascii="Arial" w:hAnsi="Arial" w:cs="Arial"/>
          <w:sz w:val="22"/>
          <w:szCs w:val="22"/>
        </w:rPr>
        <w:t>7</w:t>
      </w:r>
      <w:proofErr w:type="gramStart"/>
      <w:r w:rsidR="00D74E49">
        <w:rPr>
          <w:rFonts w:ascii="Arial" w:hAnsi="Arial" w:cs="Arial"/>
          <w:sz w:val="22"/>
          <w:szCs w:val="22"/>
        </w:rPr>
        <w:t xml:space="preserve"> </w:t>
      </w:r>
      <w:r w:rsidRPr="00D2418B">
        <w:rPr>
          <w:rFonts w:ascii="Arial" w:hAnsi="Arial" w:cs="Arial"/>
          <w:sz w:val="22"/>
          <w:szCs w:val="22"/>
        </w:rPr>
        <w:t>2025</w:t>
      </w:r>
      <w:proofErr w:type="gramEnd"/>
      <w:r w:rsidRPr="00D2418B">
        <w:rPr>
          <w:rFonts w:ascii="Arial" w:hAnsi="Arial" w:cs="Arial"/>
          <w:sz w:val="22"/>
          <w:szCs w:val="22"/>
        </w:rPr>
        <w:t>].</w:t>
      </w:r>
    </w:p>
    <w:p w14:paraId="07A54AF1" w14:textId="06756A6A" w:rsidR="00D2418B" w:rsidRPr="00D2418B" w:rsidRDefault="00D2418B" w:rsidP="00D2418B">
      <w:pPr>
        <w:rPr>
          <w:rFonts w:ascii="Arial" w:hAnsi="Arial" w:cs="Arial"/>
          <w:sz w:val="22"/>
          <w:szCs w:val="22"/>
        </w:rPr>
      </w:pPr>
    </w:p>
    <w:p w14:paraId="081F8780" w14:textId="77777777" w:rsidR="00513886" w:rsidRDefault="00513886" w:rsidP="00D2418B">
      <w:pPr>
        <w:rPr>
          <w:rFonts w:ascii="Arial" w:hAnsi="Arial" w:cs="Arial"/>
          <w:b/>
          <w:bCs/>
          <w:sz w:val="22"/>
          <w:szCs w:val="22"/>
        </w:rPr>
      </w:pPr>
    </w:p>
    <w:p w14:paraId="13762F07" w14:textId="77777777" w:rsidR="00513886" w:rsidRDefault="00513886" w:rsidP="00D2418B">
      <w:pPr>
        <w:rPr>
          <w:rFonts w:ascii="Arial" w:hAnsi="Arial" w:cs="Arial"/>
          <w:b/>
          <w:bCs/>
          <w:sz w:val="22"/>
          <w:szCs w:val="22"/>
        </w:rPr>
      </w:pPr>
    </w:p>
    <w:p w14:paraId="13F02E25" w14:textId="77777777" w:rsidR="00513886" w:rsidRDefault="00513886" w:rsidP="00D2418B">
      <w:pPr>
        <w:rPr>
          <w:rFonts w:ascii="Arial" w:hAnsi="Arial" w:cs="Arial"/>
          <w:b/>
          <w:bCs/>
          <w:sz w:val="22"/>
          <w:szCs w:val="22"/>
        </w:rPr>
      </w:pPr>
    </w:p>
    <w:p w14:paraId="6B38AAB5" w14:textId="37F6D904" w:rsidR="00D2418B" w:rsidRPr="00D2418B" w:rsidRDefault="00D2418B" w:rsidP="00D2418B">
      <w:pPr>
        <w:rPr>
          <w:rFonts w:ascii="Arial" w:hAnsi="Arial" w:cs="Arial"/>
          <w:b/>
          <w:bCs/>
          <w:sz w:val="22"/>
          <w:szCs w:val="22"/>
        </w:rPr>
      </w:pPr>
      <w:r w:rsidRPr="00D2418B">
        <w:rPr>
          <w:rFonts w:ascii="Arial" w:hAnsi="Arial" w:cs="Arial"/>
          <w:b/>
          <w:bCs/>
          <w:sz w:val="22"/>
          <w:szCs w:val="22"/>
        </w:rPr>
        <w:t>Reference List</w:t>
      </w:r>
    </w:p>
    <w:p w14:paraId="77F9D391" w14:textId="77777777" w:rsidR="00D2418B" w:rsidRPr="00D2418B" w:rsidRDefault="00D2418B" w:rsidP="00D2418B">
      <w:pPr>
        <w:numPr>
          <w:ilvl w:val="0"/>
          <w:numId w:val="1"/>
        </w:numPr>
        <w:rPr>
          <w:rFonts w:ascii="Arial" w:hAnsi="Arial" w:cs="Arial"/>
          <w:sz w:val="22"/>
          <w:szCs w:val="22"/>
        </w:rPr>
      </w:pPr>
      <w:proofErr w:type="spellStart"/>
      <w:r w:rsidRPr="00D2418B">
        <w:rPr>
          <w:rFonts w:ascii="Arial" w:hAnsi="Arial" w:cs="Arial"/>
          <w:sz w:val="22"/>
          <w:szCs w:val="22"/>
        </w:rPr>
        <w:t>Araeen</w:t>
      </w:r>
      <w:proofErr w:type="spellEnd"/>
      <w:r w:rsidRPr="00D2418B">
        <w:rPr>
          <w:rFonts w:ascii="Arial" w:hAnsi="Arial" w:cs="Arial"/>
          <w:sz w:val="22"/>
          <w:szCs w:val="22"/>
        </w:rPr>
        <w:t xml:space="preserve">, R. (1989) </w:t>
      </w:r>
      <w:r w:rsidRPr="00D2418B">
        <w:rPr>
          <w:rFonts w:ascii="Arial" w:hAnsi="Arial" w:cs="Arial"/>
          <w:i/>
          <w:iCs/>
          <w:sz w:val="22"/>
          <w:szCs w:val="22"/>
        </w:rPr>
        <w:t>The Other Story: Afro-Asian Artists in Post-War Britain</w:t>
      </w:r>
      <w:r w:rsidRPr="00D2418B">
        <w:rPr>
          <w:rFonts w:ascii="Arial" w:hAnsi="Arial" w:cs="Arial"/>
          <w:sz w:val="22"/>
          <w:szCs w:val="22"/>
        </w:rPr>
        <w:t>. London: Hayward Gallery.</w:t>
      </w:r>
    </w:p>
    <w:p w14:paraId="46365E95"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Barthes, R. (1977) </w:t>
      </w:r>
      <w:r w:rsidRPr="00D2418B">
        <w:rPr>
          <w:rFonts w:ascii="Arial" w:hAnsi="Arial" w:cs="Arial"/>
          <w:i/>
          <w:iCs/>
          <w:sz w:val="22"/>
          <w:szCs w:val="22"/>
        </w:rPr>
        <w:t>Image, Music, Text</w:t>
      </w:r>
      <w:r w:rsidRPr="00D2418B">
        <w:rPr>
          <w:rFonts w:ascii="Arial" w:hAnsi="Arial" w:cs="Arial"/>
          <w:sz w:val="22"/>
          <w:szCs w:val="22"/>
        </w:rPr>
        <w:t>. London: Fontana Press.</w:t>
      </w:r>
    </w:p>
    <w:p w14:paraId="2ED74C2D"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Garb, T. (2007) </w:t>
      </w:r>
      <w:r w:rsidRPr="00D2418B">
        <w:rPr>
          <w:rFonts w:ascii="Arial" w:hAnsi="Arial" w:cs="Arial"/>
          <w:i/>
          <w:iCs/>
          <w:sz w:val="22"/>
          <w:szCs w:val="22"/>
        </w:rPr>
        <w:t>Figures and Fictions: Contemporary South African Photography</w:t>
      </w:r>
      <w:r w:rsidRPr="00D2418B">
        <w:rPr>
          <w:rFonts w:ascii="Arial" w:hAnsi="Arial" w:cs="Arial"/>
          <w:sz w:val="22"/>
          <w:szCs w:val="22"/>
        </w:rPr>
        <w:t>. Munich: Steidl.</w:t>
      </w:r>
    </w:p>
    <w:p w14:paraId="14923038"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Guerrilla Girls (1989) </w:t>
      </w:r>
      <w:r w:rsidRPr="00D2418B">
        <w:rPr>
          <w:rFonts w:ascii="Arial" w:hAnsi="Arial" w:cs="Arial"/>
          <w:i/>
          <w:iCs/>
          <w:sz w:val="22"/>
          <w:szCs w:val="22"/>
        </w:rPr>
        <w:t>Do Women Have to Be Naked to Get into the Met. Museum?</w:t>
      </w:r>
      <w:r w:rsidRPr="00D2418B">
        <w:rPr>
          <w:rFonts w:ascii="Arial" w:hAnsi="Arial" w:cs="Arial"/>
          <w:sz w:val="22"/>
          <w:szCs w:val="22"/>
        </w:rPr>
        <w:t xml:space="preserve"> [Poster].</w:t>
      </w:r>
    </w:p>
    <w:p w14:paraId="47508DF7"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Haring, K. (1980s) </w:t>
      </w:r>
      <w:r w:rsidRPr="00D2418B">
        <w:rPr>
          <w:rFonts w:ascii="Arial" w:hAnsi="Arial" w:cs="Arial"/>
          <w:i/>
          <w:iCs/>
          <w:sz w:val="22"/>
          <w:szCs w:val="22"/>
        </w:rPr>
        <w:t>Subway Drawings</w:t>
      </w:r>
      <w:r w:rsidRPr="00D2418B">
        <w:rPr>
          <w:rFonts w:ascii="Arial" w:hAnsi="Arial" w:cs="Arial"/>
          <w:sz w:val="22"/>
          <w:szCs w:val="22"/>
        </w:rPr>
        <w:t>. Various locations, New York City.</w:t>
      </w:r>
    </w:p>
    <w:p w14:paraId="78630A5A"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Jones, A. (1998) </w:t>
      </w:r>
      <w:r w:rsidRPr="00D2418B">
        <w:rPr>
          <w:rFonts w:ascii="Arial" w:hAnsi="Arial" w:cs="Arial"/>
          <w:i/>
          <w:iCs/>
          <w:sz w:val="22"/>
          <w:szCs w:val="22"/>
        </w:rPr>
        <w:t>Body Art: Performing the Subject</w:t>
      </w:r>
      <w:r w:rsidRPr="00D2418B">
        <w:rPr>
          <w:rFonts w:ascii="Arial" w:hAnsi="Arial" w:cs="Arial"/>
          <w:sz w:val="22"/>
          <w:szCs w:val="22"/>
        </w:rPr>
        <w:t>. Minneapolis: University of Minnesota Press.</w:t>
      </w:r>
    </w:p>
    <w:p w14:paraId="0A9125CB"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Nochlin, L. (1971) ‘Why Have There Been No Great Women Artists?’ </w:t>
      </w:r>
      <w:proofErr w:type="spellStart"/>
      <w:r w:rsidRPr="00D2418B">
        <w:rPr>
          <w:rFonts w:ascii="Arial" w:hAnsi="Arial" w:cs="Arial"/>
          <w:i/>
          <w:iCs/>
          <w:sz w:val="22"/>
          <w:szCs w:val="22"/>
        </w:rPr>
        <w:t>ArtNews</w:t>
      </w:r>
      <w:proofErr w:type="spellEnd"/>
      <w:r w:rsidRPr="00D2418B">
        <w:rPr>
          <w:rFonts w:ascii="Arial" w:hAnsi="Arial" w:cs="Arial"/>
          <w:sz w:val="22"/>
          <w:szCs w:val="22"/>
        </w:rPr>
        <w:t>, 69(9), pp. 22–39.</w:t>
      </w:r>
    </w:p>
    <w:p w14:paraId="7D63A366"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Pollock, G. (1988) </w:t>
      </w:r>
      <w:r w:rsidRPr="00D2418B">
        <w:rPr>
          <w:rFonts w:ascii="Arial" w:hAnsi="Arial" w:cs="Arial"/>
          <w:i/>
          <w:iCs/>
          <w:sz w:val="22"/>
          <w:szCs w:val="22"/>
        </w:rPr>
        <w:t>Vision and Difference: Feminism, Femininity and Histories of Art</w:t>
      </w:r>
      <w:r w:rsidRPr="00D2418B">
        <w:rPr>
          <w:rFonts w:ascii="Arial" w:hAnsi="Arial" w:cs="Arial"/>
          <w:sz w:val="22"/>
          <w:szCs w:val="22"/>
        </w:rPr>
        <w:t>. London: Routledge.</w:t>
      </w:r>
    </w:p>
    <w:p w14:paraId="72808B45"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Said, E. (1978) </w:t>
      </w:r>
      <w:r w:rsidRPr="00D2418B">
        <w:rPr>
          <w:rFonts w:ascii="Arial" w:hAnsi="Arial" w:cs="Arial"/>
          <w:i/>
          <w:iCs/>
          <w:sz w:val="22"/>
          <w:szCs w:val="22"/>
        </w:rPr>
        <w:t>Orientalism</w:t>
      </w:r>
      <w:r w:rsidRPr="00D2418B">
        <w:rPr>
          <w:rFonts w:ascii="Arial" w:hAnsi="Arial" w:cs="Arial"/>
          <w:sz w:val="22"/>
          <w:szCs w:val="22"/>
        </w:rPr>
        <w:t>. New York: Pantheon Books.</w:t>
      </w:r>
    </w:p>
    <w:p w14:paraId="486BC2CA" w14:textId="505940CA"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The Black Archives (n.d.) </w:t>
      </w:r>
      <w:r w:rsidRPr="00D2418B">
        <w:rPr>
          <w:rFonts w:ascii="Arial" w:hAnsi="Arial" w:cs="Arial"/>
          <w:i/>
          <w:iCs/>
          <w:sz w:val="22"/>
          <w:szCs w:val="22"/>
        </w:rPr>
        <w:t>The Black Archives Amsterdam</w:t>
      </w:r>
      <w:r w:rsidRPr="00D2418B">
        <w:rPr>
          <w:rFonts w:ascii="Arial" w:hAnsi="Arial" w:cs="Arial"/>
          <w:sz w:val="22"/>
          <w:szCs w:val="22"/>
        </w:rPr>
        <w:t xml:space="preserve">. [Online] Available at: </w:t>
      </w:r>
      <w:hyperlink r:id="rId11" w:tgtFrame="_new" w:history="1">
        <w:r w:rsidRPr="00D2418B">
          <w:rPr>
            <w:rStyle w:val="Hyperlink"/>
            <w:rFonts w:ascii="Arial" w:hAnsi="Arial" w:cs="Arial"/>
            <w:sz w:val="22"/>
            <w:szCs w:val="22"/>
          </w:rPr>
          <w:t>https://www.theblackarchives.nl/</w:t>
        </w:r>
      </w:hyperlink>
      <w:r w:rsidRPr="00D2418B">
        <w:rPr>
          <w:rFonts w:ascii="Arial" w:hAnsi="Arial" w:cs="Arial"/>
          <w:sz w:val="22"/>
          <w:szCs w:val="22"/>
        </w:rPr>
        <w:t xml:space="preserve"> </w:t>
      </w:r>
      <w:r w:rsidR="00C146A1" w:rsidRPr="00D2418B">
        <w:rPr>
          <w:rFonts w:ascii="Arial" w:hAnsi="Arial" w:cs="Arial"/>
          <w:sz w:val="22"/>
          <w:szCs w:val="22"/>
        </w:rPr>
        <w:t xml:space="preserve">[Accessed April </w:t>
      </w:r>
      <w:r w:rsidR="00C146A1">
        <w:rPr>
          <w:rFonts w:ascii="Arial" w:hAnsi="Arial" w:cs="Arial"/>
          <w:sz w:val="22"/>
          <w:szCs w:val="22"/>
        </w:rPr>
        <w:t>7</w:t>
      </w:r>
      <w:proofErr w:type="gramStart"/>
      <w:r w:rsidR="00C146A1">
        <w:rPr>
          <w:rFonts w:ascii="Arial" w:hAnsi="Arial" w:cs="Arial"/>
          <w:sz w:val="22"/>
          <w:szCs w:val="22"/>
        </w:rPr>
        <w:t xml:space="preserve"> </w:t>
      </w:r>
      <w:r w:rsidR="00C146A1" w:rsidRPr="00D2418B">
        <w:rPr>
          <w:rFonts w:ascii="Arial" w:hAnsi="Arial" w:cs="Arial"/>
          <w:sz w:val="22"/>
          <w:szCs w:val="22"/>
        </w:rPr>
        <w:t>2025</w:t>
      </w:r>
      <w:proofErr w:type="gramEnd"/>
      <w:r w:rsidR="00C146A1" w:rsidRPr="00D2418B">
        <w:rPr>
          <w:rFonts w:ascii="Arial" w:hAnsi="Arial" w:cs="Arial"/>
          <w:sz w:val="22"/>
          <w:szCs w:val="22"/>
        </w:rPr>
        <w:t>].</w:t>
      </w:r>
    </w:p>
    <w:p w14:paraId="691C8870" w14:textId="77777777"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t xml:space="preserve">University of the Arts London (2018) </w:t>
      </w:r>
      <w:r w:rsidRPr="00D2418B">
        <w:rPr>
          <w:rFonts w:ascii="Arial" w:hAnsi="Arial" w:cs="Arial"/>
          <w:i/>
          <w:iCs/>
          <w:sz w:val="22"/>
          <w:szCs w:val="22"/>
        </w:rPr>
        <w:t>Decolonising the Arts Curriculum: Perspectives on Higher Education</w:t>
      </w:r>
      <w:r w:rsidRPr="00D2418B">
        <w:rPr>
          <w:rFonts w:ascii="Arial" w:hAnsi="Arial" w:cs="Arial"/>
          <w:sz w:val="22"/>
          <w:szCs w:val="22"/>
        </w:rPr>
        <w:t>. London: UAL.</w:t>
      </w:r>
    </w:p>
    <w:p w14:paraId="06AB0E5A" w14:textId="1532D3EF" w:rsidR="00D2418B" w:rsidRPr="00D2418B" w:rsidRDefault="00D2418B" w:rsidP="00D2418B">
      <w:pPr>
        <w:numPr>
          <w:ilvl w:val="0"/>
          <w:numId w:val="1"/>
        </w:numPr>
        <w:rPr>
          <w:rFonts w:ascii="Arial" w:hAnsi="Arial" w:cs="Arial"/>
          <w:sz w:val="22"/>
          <w:szCs w:val="22"/>
        </w:rPr>
      </w:pPr>
      <w:r w:rsidRPr="00D2418B">
        <w:rPr>
          <w:rFonts w:ascii="Arial" w:hAnsi="Arial" w:cs="Arial"/>
          <w:sz w:val="22"/>
          <w:szCs w:val="22"/>
        </w:rPr>
        <w:lastRenderedPageBreak/>
        <w:t xml:space="preserve">British Library (n.d.) </w:t>
      </w:r>
      <w:r w:rsidRPr="00D2418B">
        <w:rPr>
          <w:rFonts w:ascii="Arial" w:hAnsi="Arial" w:cs="Arial"/>
          <w:i/>
          <w:iCs/>
          <w:sz w:val="22"/>
          <w:szCs w:val="22"/>
        </w:rPr>
        <w:t>Recording Lives: Oral History of British Craftspeople</w:t>
      </w:r>
      <w:r w:rsidRPr="00D2418B">
        <w:rPr>
          <w:rFonts w:ascii="Arial" w:hAnsi="Arial" w:cs="Arial"/>
          <w:sz w:val="22"/>
          <w:szCs w:val="22"/>
        </w:rPr>
        <w:t xml:space="preserve">. [Online] Available at: </w:t>
      </w:r>
      <w:hyperlink r:id="rId12" w:history="1">
        <w:r w:rsidR="00C146A1" w:rsidRPr="00D2418B">
          <w:rPr>
            <w:rStyle w:val="Hyperlink"/>
            <w:rFonts w:ascii="Arial" w:hAnsi="Arial" w:cs="Arial"/>
            <w:sz w:val="22"/>
            <w:szCs w:val="22"/>
          </w:rPr>
          <w:t>https://www.bl.uk/projects/oral-histories-of-artists</w:t>
        </w:r>
      </w:hyperlink>
      <w:r w:rsidR="00C146A1">
        <w:rPr>
          <w:rFonts w:ascii="Arial" w:hAnsi="Arial" w:cs="Arial"/>
          <w:sz w:val="22"/>
          <w:szCs w:val="22"/>
        </w:rPr>
        <w:t xml:space="preserve"> </w:t>
      </w:r>
      <w:r w:rsidR="00C146A1" w:rsidRPr="00D2418B">
        <w:rPr>
          <w:rFonts w:ascii="Arial" w:hAnsi="Arial" w:cs="Arial"/>
          <w:sz w:val="22"/>
          <w:szCs w:val="22"/>
        </w:rPr>
        <w:t xml:space="preserve">[Accessed April </w:t>
      </w:r>
      <w:r w:rsidR="00C146A1">
        <w:rPr>
          <w:rFonts w:ascii="Arial" w:hAnsi="Arial" w:cs="Arial"/>
          <w:sz w:val="22"/>
          <w:szCs w:val="22"/>
        </w:rPr>
        <w:t>7</w:t>
      </w:r>
      <w:proofErr w:type="gramStart"/>
      <w:r w:rsidR="00C146A1">
        <w:rPr>
          <w:rFonts w:ascii="Arial" w:hAnsi="Arial" w:cs="Arial"/>
          <w:sz w:val="22"/>
          <w:szCs w:val="22"/>
        </w:rPr>
        <w:t xml:space="preserve"> </w:t>
      </w:r>
      <w:r w:rsidR="00C146A1" w:rsidRPr="00D2418B">
        <w:rPr>
          <w:rFonts w:ascii="Arial" w:hAnsi="Arial" w:cs="Arial"/>
          <w:sz w:val="22"/>
          <w:szCs w:val="22"/>
        </w:rPr>
        <w:t>2025</w:t>
      </w:r>
      <w:proofErr w:type="gramEnd"/>
      <w:r w:rsidR="00C146A1" w:rsidRPr="00D2418B">
        <w:rPr>
          <w:rFonts w:ascii="Arial" w:hAnsi="Arial" w:cs="Arial"/>
          <w:sz w:val="22"/>
          <w:szCs w:val="22"/>
        </w:rPr>
        <w:t>].</w:t>
      </w:r>
    </w:p>
    <w:p w14:paraId="48DEDBED" w14:textId="77777777" w:rsidR="00D2418B" w:rsidRPr="00EA33F5" w:rsidRDefault="00D2418B" w:rsidP="00EA33F5">
      <w:pPr>
        <w:rPr>
          <w:rFonts w:ascii="Arial" w:hAnsi="Arial" w:cs="Arial"/>
          <w:sz w:val="22"/>
          <w:szCs w:val="22"/>
        </w:rPr>
      </w:pPr>
    </w:p>
    <w:p w14:paraId="7A36907C" w14:textId="217B4200" w:rsidR="00C146A1" w:rsidRPr="00D2418B" w:rsidRDefault="00D74E49" w:rsidP="00C146A1">
      <w:pPr>
        <w:rPr>
          <w:rFonts w:ascii="Arial" w:hAnsi="Arial" w:cs="Arial"/>
          <w:sz w:val="22"/>
          <w:szCs w:val="22"/>
        </w:rPr>
      </w:pPr>
      <w:r>
        <w:rPr>
          <w:rFonts w:ascii="Arial" w:hAnsi="Arial" w:cs="Arial"/>
          <w:sz w:val="22"/>
          <w:szCs w:val="22"/>
        </w:rPr>
        <w:t>Figure 1</w:t>
      </w:r>
      <w:r w:rsidR="00C146A1">
        <w:rPr>
          <w:rFonts w:ascii="Arial" w:hAnsi="Arial" w:cs="Arial"/>
          <w:sz w:val="22"/>
          <w:szCs w:val="22"/>
        </w:rPr>
        <w:t xml:space="preserve"> </w:t>
      </w:r>
      <w:hyperlink r:id="rId13" w:history="1">
        <w:r w:rsidR="00C146A1" w:rsidRPr="00844F16">
          <w:rPr>
            <w:rStyle w:val="Hyperlink"/>
            <w:rFonts w:ascii="Arial" w:hAnsi="Arial" w:cs="Arial"/>
            <w:sz w:val="22"/>
            <w:szCs w:val="22"/>
          </w:rPr>
          <w:t>https://cdn.fstoppers.com/styles/large-16-9/s3/lead/2017/07/interviewtechniques_leadimage.jpg</w:t>
        </w:r>
      </w:hyperlink>
      <w:r w:rsidR="00C146A1" w:rsidRPr="00D2418B">
        <w:rPr>
          <w:rFonts w:ascii="Arial" w:hAnsi="Arial" w:cs="Arial"/>
          <w:sz w:val="22"/>
          <w:szCs w:val="22"/>
        </w:rPr>
        <w:t xml:space="preserve"> </w:t>
      </w:r>
      <w:r w:rsidR="00C146A1" w:rsidRPr="00D2418B">
        <w:rPr>
          <w:rFonts w:ascii="Arial" w:hAnsi="Arial" w:cs="Arial"/>
          <w:sz w:val="22"/>
          <w:szCs w:val="22"/>
        </w:rPr>
        <w:t xml:space="preserve">[Accessed April </w:t>
      </w:r>
      <w:r w:rsidR="00C146A1" w:rsidRPr="00C146A1">
        <w:rPr>
          <w:rFonts w:ascii="Arial" w:hAnsi="Arial" w:cs="Arial"/>
          <w:sz w:val="22"/>
          <w:szCs w:val="22"/>
        </w:rPr>
        <w:t>11</w:t>
      </w:r>
      <w:r w:rsidR="00C146A1" w:rsidRPr="00C146A1">
        <w:rPr>
          <w:rFonts w:ascii="Arial" w:hAnsi="Arial" w:cs="Arial"/>
          <w:sz w:val="22"/>
          <w:szCs w:val="22"/>
        </w:rPr>
        <w:t xml:space="preserve"> </w:t>
      </w:r>
      <w:r w:rsidR="00C146A1" w:rsidRPr="00D2418B">
        <w:rPr>
          <w:rFonts w:ascii="Arial" w:hAnsi="Arial" w:cs="Arial"/>
          <w:sz w:val="22"/>
          <w:szCs w:val="22"/>
        </w:rPr>
        <w:t>2025].</w:t>
      </w:r>
    </w:p>
    <w:p w14:paraId="0A0183CE" w14:textId="77777777" w:rsidR="00C146A1" w:rsidRDefault="00C146A1">
      <w:pPr>
        <w:rPr>
          <w:rFonts w:ascii="Arial" w:hAnsi="Arial" w:cs="Arial"/>
          <w:sz w:val="22"/>
          <w:szCs w:val="22"/>
        </w:rPr>
      </w:pPr>
    </w:p>
    <w:p w14:paraId="5D1E9AED" w14:textId="2D30F64C" w:rsidR="00D74E49" w:rsidRDefault="00D74E49">
      <w:pPr>
        <w:rPr>
          <w:rFonts w:ascii="Arial" w:hAnsi="Arial" w:cs="Arial"/>
          <w:sz w:val="22"/>
          <w:szCs w:val="22"/>
        </w:rPr>
      </w:pPr>
      <w:r>
        <w:rPr>
          <w:rFonts w:ascii="Arial" w:hAnsi="Arial" w:cs="Arial"/>
          <w:sz w:val="22"/>
          <w:szCs w:val="22"/>
        </w:rPr>
        <w:t>Figure 2</w:t>
      </w:r>
      <w:r w:rsidR="00C146A1">
        <w:rPr>
          <w:rFonts w:ascii="Arial" w:hAnsi="Arial" w:cs="Arial"/>
          <w:sz w:val="22"/>
          <w:szCs w:val="22"/>
        </w:rPr>
        <w:t xml:space="preserve"> </w:t>
      </w:r>
      <w:hyperlink r:id="rId14" w:history="1">
        <w:r w:rsidR="00C146A1" w:rsidRPr="00844F16">
          <w:rPr>
            <w:rStyle w:val="Hyperlink"/>
            <w:rFonts w:ascii="Arial" w:hAnsi="Arial" w:cs="Arial"/>
            <w:sz w:val="22"/>
            <w:szCs w:val="22"/>
          </w:rPr>
          <w:t>https://scontent-lhr8-1.xx.fbcdn.net/v/t39.30808-6/481331706_8953636928099164_6181024434131332053_n.jpg?_nc_cat=111&amp;ccb=1-7&amp;_nc_sid=0b6b33&amp;_nc_ohc=vwFAaXRz4tYQ7kNvwEDN88t&amp;_nc_oc=Adliydg9YaRjDrWiyRGGPG7HKAUwICu5VqDaFo4LUJ3FB6qL767vZj4EcwfyL6F9P68&amp;_nc_zt=23&amp;_nc_ht=scontent-lhr8-1.xx&amp;_nc_gid=43KoNgoc0QDVCzdJz47Qdw&amp;oh=00_AfGX0o1OHZrzeHyo2dTb--tSEvaLabKrPG9ykyYV1EqJBA&amp;oe=6815E81A</w:t>
        </w:r>
      </w:hyperlink>
      <w:r w:rsidR="00C146A1">
        <w:rPr>
          <w:rFonts w:ascii="Arial" w:hAnsi="Arial" w:cs="Arial"/>
          <w:sz w:val="22"/>
          <w:szCs w:val="22"/>
        </w:rPr>
        <w:t xml:space="preserve"> </w:t>
      </w:r>
      <w:r w:rsidR="00C146A1" w:rsidRPr="00C146A1">
        <w:rPr>
          <w:rFonts w:ascii="Arial" w:hAnsi="Arial" w:cs="Arial"/>
          <w:sz w:val="22"/>
          <w:szCs w:val="22"/>
        </w:rPr>
        <w:t xml:space="preserve"> </w:t>
      </w:r>
      <w:r w:rsidR="00C146A1">
        <w:rPr>
          <w:rFonts w:ascii="Arial" w:hAnsi="Arial" w:cs="Arial"/>
          <w:sz w:val="22"/>
          <w:szCs w:val="22"/>
        </w:rPr>
        <w:t xml:space="preserve"> </w:t>
      </w:r>
      <w:r w:rsidR="00C146A1" w:rsidRPr="00D2418B">
        <w:rPr>
          <w:rFonts w:ascii="Arial" w:hAnsi="Arial" w:cs="Arial"/>
          <w:sz w:val="22"/>
          <w:szCs w:val="22"/>
        </w:rPr>
        <w:t xml:space="preserve">[Accessed April </w:t>
      </w:r>
      <w:r w:rsidR="00C146A1">
        <w:rPr>
          <w:rFonts w:ascii="Arial" w:hAnsi="Arial" w:cs="Arial"/>
          <w:sz w:val="22"/>
          <w:szCs w:val="22"/>
        </w:rPr>
        <w:t>9</w:t>
      </w:r>
      <w:r w:rsidR="00C146A1">
        <w:rPr>
          <w:rFonts w:ascii="Arial" w:hAnsi="Arial" w:cs="Arial"/>
          <w:sz w:val="22"/>
          <w:szCs w:val="22"/>
        </w:rPr>
        <w:t xml:space="preserve"> </w:t>
      </w:r>
      <w:r w:rsidR="00C146A1" w:rsidRPr="00D2418B">
        <w:rPr>
          <w:rFonts w:ascii="Arial" w:hAnsi="Arial" w:cs="Arial"/>
          <w:sz w:val="22"/>
          <w:szCs w:val="22"/>
        </w:rPr>
        <w:t>2025].</w:t>
      </w:r>
    </w:p>
    <w:p w14:paraId="44072EF5" w14:textId="77777777" w:rsidR="00C146A1" w:rsidRDefault="00C146A1">
      <w:pPr>
        <w:rPr>
          <w:rFonts w:ascii="Arial" w:hAnsi="Arial" w:cs="Arial"/>
          <w:sz w:val="22"/>
          <w:szCs w:val="22"/>
        </w:rPr>
      </w:pPr>
    </w:p>
    <w:p w14:paraId="1FC7B782" w14:textId="708E9C2E" w:rsidR="00D74E49" w:rsidRDefault="00D74E49">
      <w:pPr>
        <w:rPr>
          <w:rFonts w:ascii="Arial" w:hAnsi="Arial" w:cs="Arial"/>
          <w:sz w:val="22"/>
          <w:szCs w:val="22"/>
        </w:rPr>
      </w:pPr>
      <w:r>
        <w:rPr>
          <w:rFonts w:ascii="Arial" w:hAnsi="Arial" w:cs="Arial"/>
          <w:sz w:val="22"/>
          <w:szCs w:val="22"/>
        </w:rPr>
        <w:t>Figure 3</w:t>
      </w:r>
      <w:r w:rsidR="00C146A1">
        <w:rPr>
          <w:rFonts w:ascii="Arial" w:hAnsi="Arial" w:cs="Arial"/>
          <w:sz w:val="22"/>
          <w:szCs w:val="22"/>
        </w:rPr>
        <w:t xml:space="preserve"> </w:t>
      </w:r>
      <w:hyperlink r:id="rId15" w:history="1">
        <w:r w:rsidR="00C146A1" w:rsidRPr="00844F16">
          <w:rPr>
            <w:rStyle w:val="Hyperlink"/>
            <w:rFonts w:ascii="Arial" w:hAnsi="Arial" w:cs="Arial"/>
            <w:sz w:val="22"/>
            <w:szCs w:val="22"/>
          </w:rPr>
          <w:t>https://www.theblackarchives.nl/uploads/1/0/1/2/101218760/published/picmonkey-image_1.jpg</w:t>
        </w:r>
      </w:hyperlink>
      <w:r w:rsidR="00C146A1">
        <w:rPr>
          <w:rFonts w:ascii="Arial" w:hAnsi="Arial" w:cs="Arial"/>
          <w:sz w:val="22"/>
          <w:szCs w:val="22"/>
        </w:rPr>
        <w:t xml:space="preserve"> </w:t>
      </w:r>
      <w:r w:rsidR="00C146A1" w:rsidRPr="00D2418B">
        <w:rPr>
          <w:rFonts w:ascii="Arial" w:hAnsi="Arial" w:cs="Arial"/>
          <w:sz w:val="22"/>
          <w:szCs w:val="22"/>
        </w:rPr>
        <w:t xml:space="preserve">[Accessed April </w:t>
      </w:r>
      <w:r w:rsidR="00C146A1">
        <w:rPr>
          <w:rFonts w:ascii="Arial" w:hAnsi="Arial" w:cs="Arial"/>
          <w:sz w:val="22"/>
          <w:szCs w:val="22"/>
        </w:rPr>
        <w:t>16</w:t>
      </w:r>
      <w:r w:rsidR="00C146A1">
        <w:rPr>
          <w:rFonts w:ascii="Arial" w:hAnsi="Arial" w:cs="Arial"/>
          <w:sz w:val="22"/>
          <w:szCs w:val="22"/>
        </w:rPr>
        <w:t xml:space="preserve"> </w:t>
      </w:r>
      <w:r w:rsidR="00C146A1" w:rsidRPr="00D2418B">
        <w:rPr>
          <w:rFonts w:ascii="Arial" w:hAnsi="Arial" w:cs="Arial"/>
          <w:sz w:val="22"/>
          <w:szCs w:val="22"/>
        </w:rPr>
        <w:t>2025].</w:t>
      </w:r>
    </w:p>
    <w:p w14:paraId="2A6DF1FB" w14:textId="77777777" w:rsidR="00C146A1" w:rsidRPr="00EA33F5" w:rsidRDefault="00C146A1">
      <w:pPr>
        <w:rPr>
          <w:rFonts w:ascii="Arial" w:hAnsi="Arial" w:cs="Arial"/>
          <w:sz w:val="22"/>
          <w:szCs w:val="22"/>
        </w:rPr>
      </w:pPr>
    </w:p>
    <w:sectPr w:rsidR="00C146A1" w:rsidRPr="00EA33F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1767C" w14:textId="77777777" w:rsidR="005A50B0" w:rsidRDefault="005A50B0" w:rsidP="00C146A1">
      <w:pPr>
        <w:spacing w:after="0" w:line="240" w:lineRule="auto"/>
      </w:pPr>
      <w:r>
        <w:separator/>
      </w:r>
    </w:p>
  </w:endnote>
  <w:endnote w:type="continuationSeparator" w:id="0">
    <w:p w14:paraId="320A81D4" w14:textId="77777777" w:rsidR="005A50B0" w:rsidRDefault="005A50B0" w:rsidP="00C14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E6F49" w14:textId="77777777" w:rsidR="005A50B0" w:rsidRDefault="005A50B0" w:rsidP="00C146A1">
      <w:pPr>
        <w:spacing w:after="0" w:line="240" w:lineRule="auto"/>
      </w:pPr>
      <w:r>
        <w:separator/>
      </w:r>
    </w:p>
  </w:footnote>
  <w:footnote w:type="continuationSeparator" w:id="0">
    <w:p w14:paraId="48130923" w14:textId="77777777" w:rsidR="005A50B0" w:rsidRDefault="005A50B0" w:rsidP="00C146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E81AD" w14:textId="77777777" w:rsidR="00C146A1" w:rsidRDefault="00C146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11E5D"/>
    <w:multiLevelType w:val="multilevel"/>
    <w:tmpl w:val="2D94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786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3F5"/>
    <w:rsid w:val="00131FB7"/>
    <w:rsid w:val="00513886"/>
    <w:rsid w:val="005A50B0"/>
    <w:rsid w:val="006A77FF"/>
    <w:rsid w:val="00872C72"/>
    <w:rsid w:val="00C146A1"/>
    <w:rsid w:val="00C9739E"/>
    <w:rsid w:val="00D2418B"/>
    <w:rsid w:val="00D74E49"/>
    <w:rsid w:val="00EA33F5"/>
    <w:rsid w:val="00EB6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340C"/>
  <w15:chartTrackingRefBased/>
  <w15:docId w15:val="{D6FFB58A-CBB3-4125-9E82-1C8E7E17A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3F5"/>
    <w:rPr>
      <w:rFonts w:eastAsiaTheme="majorEastAsia" w:cstheme="majorBidi"/>
      <w:color w:val="272727" w:themeColor="text1" w:themeTint="D8"/>
    </w:rPr>
  </w:style>
  <w:style w:type="paragraph" w:styleId="Title">
    <w:name w:val="Title"/>
    <w:basedOn w:val="Normal"/>
    <w:next w:val="Normal"/>
    <w:link w:val="TitleChar"/>
    <w:uiPriority w:val="10"/>
    <w:qFormat/>
    <w:rsid w:val="00EA3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3F5"/>
    <w:pPr>
      <w:spacing w:before="160"/>
      <w:jc w:val="center"/>
    </w:pPr>
    <w:rPr>
      <w:i/>
      <w:iCs/>
      <w:color w:val="404040" w:themeColor="text1" w:themeTint="BF"/>
    </w:rPr>
  </w:style>
  <w:style w:type="character" w:customStyle="1" w:styleId="QuoteChar">
    <w:name w:val="Quote Char"/>
    <w:basedOn w:val="DefaultParagraphFont"/>
    <w:link w:val="Quote"/>
    <w:uiPriority w:val="29"/>
    <w:rsid w:val="00EA33F5"/>
    <w:rPr>
      <w:i/>
      <w:iCs/>
      <w:color w:val="404040" w:themeColor="text1" w:themeTint="BF"/>
    </w:rPr>
  </w:style>
  <w:style w:type="paragraph" w:styleId="ListParagraph">
    <w:name w:val="List Paragraph"/>
    <w:basedOn w:val="Normal"/>
    <w:uiPriority w:val="34"/>
    <w:qFormat/>
    <w:rsid w:val="00EA33F5"/>
    <w:pPr>
      <w:ind w:left="720"/>
      <w:contextualSpacing/>
    </w:pPr>
  </w:style>
  <w:style w:type="character" w:styleId="IntenseEmphasis">
    <w:name w:val="Intense Emphasis"/>
    <w:basedOn w:val="DefaultParagraphFont"/>
    <w:uiPriority w:val="21"/>
    <w:qFormat/>
    <w:rsid w:val="00EA33F5"/>
    <w:rPr>
      <w:i/>
      <w:iCs/>
      <w:color w:val="0F4761" w:themeColor="accent1" w:themeShade="BF"/>
    </w:rPr>
  </w:style>
  <w:style w:type="paragraph" w:styleId="IntenseQuote">
    <w:name w:val="Intense Quote"/>
    <w:basedOn w:val="Normal"/>
    <w:next w:val="Normal"/>
    <w:link w:val="IntenseQuoteChar"/>
    <w:uiPriority w:val="30"/>
    <w:qFormat/>
    <w:rsid w:val="00EA3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3F5"/>
    <w:rPr>
      <w:i/>
      <w:iCs/>
      <w:color w:val="0F4761" w:themeColor="accent1" w:themeShade="BF"/>
    </w:rPr>
  </w:style>
  <w:style w:type="character" w:styleId="IntenseReference">
    <w:name w:val="Intense Reference"/>
    <w:basedOn w:val="DefaultParagraphFont"/>
    <w:uiPriority w:val="32"/>
    <w:qFormat/>
    <w:rsid w:val="00EA33F5"/>
    <w:rPr>
      <w:b/>
      <w:bCs/>
      <w:smallCaps/>
      <w:color w:val="0F4761" w:themeColor="accent1" w:themeShade="BF"/>
      <w:spacing w:val="5"/>
    </w:rPr>
  </w:style>
  <w:style w:type="character" w:styleId="Hyperlink">
    <w:name w:val="Hyperlink"/>
    <w:basedOn w:val="DefaultParagraphFont"/>
    <w:uiPriority w:val="99"/>
    <w:unhideWhenUsed/>
    <w:rsid w:val="00D2418B"/>
    <w:rPr>
      <w:color w:val="467886" w:themeColor="hyperlink"/>
      <w:u w:val="single"/>
    </w:rPr>
  </w:style>
  <w:style w:type="character" w:styleId="UnresolvedMention">
    <w:name w:val="Unresolved Mention"/>
    <w:basedOn w:val="DefaultParagraphFont"/>
    <w:uiPriority w:val="99"/>
    <w:semiHidden/>
    <w:unhideWhenUsed/>
    <w:rsid w:val="00D2418B"/>
    <w:rPr>
      <w:color w:val="605E5C"/>
      <w:shd w:val="clear" w:color="auto" w:fill="E1DFDD"/>
    </w:rPr>
  </w:style>
  <w:style w:type="character" w:styleId="FollowedHyperlink">
    <w:name w:val="FollowedHyperlink"/>
    <w:basedOn w:val="DefaultParagraphFont"/>
    <w:uiPriority w:val="99"/>
    <w:semiHidden/>
    <w:unhideWhenUsed/>
    <w:rsid w:val="00C146A1"/>
    <w:rPr>
      <w:color w:val="96607D" w:themeColor="followedHyperlink"/>
      <w:u w:val="single"/>
    </w:rPr>
  </w:style>
  <w:style w:type="paragraph" w:styleId="Header">
    <w:name w:val="header"/>
    <w:basedOn w:val="Normal"/>
    <w:link w:val="HeaderChar"/>
    <w:uiPriority w:val="99"/>
    <w:unhideWhenUsed/>
    <w:rsid w:val="00C14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6A1"/>
  </w:style>
  <w:style w:type="paragraph" w:styleId="Footer">
    <w:name w:val="footer"/>
    <w:basedOn w:val="Normal"/>
    <w:link w:val="FooterChar"/>
    <w:uiPriority w:val="99"/>
    <w:unhideWhenUsed/>
    <w:rsid w:val="00C14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797368">
      <w:bodyDiv w:val="1"/>
      <w:marLeft w:val="0"/>
      <w:marRight w:val="0"/>
      <w:marTop w:val="0"/>
      <w:marBottom w:val="0"/>
      <w:divBdr>
        <w:top w:val="none" w:sz="0" w:space="0" w:color="auto"/>
        <w:left w:val="none" w:sz="0" w:space="0" w:color="auto"/>
        <w:bottom w:val="none" w:sz="0" w:space="0" w:color="auto"/>
        <w:right w:val="none" w:sz="0" w:space="0" w:color="auto"/>
      </w:divBdr>
    </w:div>
    <w:div w:id="620109419">
      <w:bodyDiv w:val="1"/>
      <w:marLeft w:val="0"/>
      <w:marRight w:val="0"/>
      <w:marTop w:val="0"/>
      <w:marBottom w:val="0"/>
      <w:divBdr>
        <w:top w:val="none" w:sz="0" w:space="0" w:color="auto"/>
        <w:left w:val="none" w:sz="0" w:space="0" w:color="auto"/>
        <w:bottom w:val="none" w:sz="0" w:space="0" w:color="auto"/>
        <w:right w:val="none" w:sz="0" w:space="0" w:color="auto"/>
      </w:divBdr>
    </w:div>
    <w:div w:id="678002075">
      <w:bodyDiv w:val="1"/>
      <w:marLeft w:val="0"/>
      <w:marRight w:val="0"/>
      <w:marTop w:val="0"/>
      <w:marBottom w:val="0"/>
      <w:divBdr>
        <w:top w:val="none" w:sz="0" w:space="0" w:color="auto"/>
        <w:left w:val="none" w:sz="0" w:space="0" w:color="auto"/>
        <w:bottom w:val="none" w:sz="0" w:space="0" w:color="auto"/>
        <w:right w:val="none" w:sz="0" w:space="0" w:color="auto"/>
      </w:divBdr>
    </w:div>
    <w:div w:id="1000233618">
      <w:bodyDiv w:val="1"/>
      <w:marLeft w:val="0"/>
      <w:marRight w:val="0"/>
      <w:marTop w:val="0"/>
      <w:marBottom w:val="0"/>
      <w:divBdr>
        <w:top w:val="none" w:sz="0" w:space="0" w:color="auto"/>
        <w:left w:val="none" w:sz="0" w:space="0" w:color="auto"/>
        <w:bottom w:val="none" w:sz="0" w:space="0" w:color="auto"/>
        <w:right w:val="none" w:sz="0" w:space="0" w:color="auto"/>
      </w:divBdr>
    </w:div>
    <w:div w:id="1089934228">
      <w:bodyDiv w:val="1"/>
      <w:marLeft w:val="0"/>
      <w:marRight w:val="0"/>
      <w:marTop w:val="0"/>
      <w:marBottom w:val="0"/>
      <w:divBdr>
        <w:top w:val="none" w:sz="0" w:space="0" w:color="auto"/>
        <w:left w:val="none" w:sz="0" w:space="0" w:color="auto"/>
        <w:bottom w:val="none" w:sz="0" w:space="0" w:color="auto"/>
        <w:right w:val="none" w:sz="0" w:space="0" w:color="auto"/>
      </w:divBdr>
    </w:div>
    <w:div w:id="1108306047">
      <w:bodyDiv w:val="1"/>
      <w:marLeft w:val="0"/>
      <w:marRight w:val="0"/>
      <w:marTop w:val="0"/>
      <w:marBottom w:val="0"/>
      <w:divBdr>
        <w:top w:val="none" w:sz="0" w:space="0" w:color="auto"/>
        <w:left w:val="none" w:sz="0" w:space="0" w:color="auto"/>
        <w:bottom w:val="none" w:sz="0" w:space="0" w:color="auto"/>
        <w:right w:val="none" w:sz="0" w:space="0" w:color="auto"/>
      </w:divBdr>
    </w:div>
    <w:div w:id="1207791135">
      <w:bodyDiv w:val="1"/>
      <w:marLeft w:val="0"/>
      <w:marRight w:val="0"/>
      <w:marTop w:val="0"/>
      <w:marBottom w:val="0"/>
      <w:divBdr>
        <w:top w:val="none" w:sz="0" w:space="0" w:color="auto"/>
        <w:left w:val="none" w:sz="0" w:space="0" w:color="auto"/>
        <w:bottom w:val="none" w:sz="0" w:space="0" w:color="auto"/>
        <w:right w:val="none" w:sz="0" w:space="0" w:color="auto"/>
      </w:divBdr>
    </w:div>
    <w:div w:id="1279488104">
      <w:bodyDiv w:val="1"/>
      <w:marLeft w:val="0"/>
      <w:marRight w:val="0"/>
      <w:marTop w:val="0"/>
      <w:marBottom w:val="0"/>
      <w:divBdr>
        <w:top w:val="none" w:sz="0" w:space="0" w:color="auto"/>
        <w:left w:val="none" w:sz="0" w:space="0" w:color="auto"/>
        <w:bottom w:val="none" w:sz="0" w:space="0" w:color="auto"/>
        <w:right w:val="none" w:sz="0" w:space="0" w:color="auto"/>
      </w:divBdr>
    </w:div>
    <w:div w:id="1507862395">
      <w:bodyDiv w:val="1"/>
      <w:marLeft w:val="0"/>
      <w:marRight w:val="0"/>
      <w:marTop w:val="0"/>
      <w:marBottom w:val="0"/>
      <w:divBdr>
        <w:top w:val="none" w:sz="0" w:space="0" w:color="auto"/>
        <w:left w:val="none" w:sz="0" w:space="0" w:color="auto"/>
        <w:bottom w:val="none" w:sz="0" w:space="0" w:color="auto"/>
        <w:right w:val="none" w:sz="0" w:space="0" w:color="auto"/>
      </w:divBdr>
    </w:div>
    <w:div w:id="1718118959">
      <w:bodyDiv w:val="1"/>
      <w:marLeft w:val="0"/>
      <w:marRight w:val="0"/>
      <w:marTop w:val="0"/>
      <w:marBottom w:val="0"/>
      <w:divBdr>
        <w:top w:val="none" w:sz="0" w:space="0" w:color="auto"/>
        <w:left w:val="none" w:sz="0" w:space="0" w:color="auto"/>
        <w:bottom w:val="none" w:sz="0" w:space="0" w:color="auto"/>
        <w:right w:val="none" w:sz="0" w:space="0" w:color="auto"/>
      </w:divBdr>
    </w:div>
    <w:div w:id="1910917727">
      <w:bodyDiv w:val="1"/>
      <w:marLeft w:val="0"/>
      <w:marRight w:val="0"/>
      <w:marTop w:val="0"/>
      <w:marBottom w:val="0"/>
      <w:divBdr>
        <w:top w:val="none" w:sz="0" w:space="0" w:color="auto"/>
        <w:left w:val="none" w:sz="0" w:space="0" w:color="auto"/>
        <w:bottom w:val="none" w:sz="0" w:space="0" w:color="auto"/>
        <w:right w:val="none" w:sz="0" w:space="0" w:color="auto"/>
      </w:divBdr>
    </w:div>
    <w:div w:id="204991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dn.fstoppers.com/styles/large-16-9/s3/lead/2017/07/interviewtechniques_leadimage.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l.uk/projects/oral-histories-of-artis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lackarchives.nl/" TargetMode="External"/><Relationship Id="rId5" Type="http://schemas.openxmlformats.org/officeDocument/2006/relationships/footnotes" Target="footnotes.xml"/><Relationship Id="rId15" Type="http://schemas.openxmlformats.org/officeDocument/2006/relationships/hyperlink" Target="https://www.theblackarchives.nl/uploads/1/0/1/2/101218760/published/picmonkey-image_1.jpg" TargetMode="External"/><Relationship Id="rId10" Type="http://schemas.openxmlformats.org/officeDocument/2006/relationships/hyperlink" Target="https://www.theblackarchives.n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scontent-lhr8-1.xx.fbcdn.net/v/t39.30808-6/481331706_8953636928099164_6181024434131332053_n.jpg?_nc_cat=111&amp;ccb=1-7&amp;_nc_sid=0b6b33&amp;_nc_ohc=vwFAaXRz4tYQ7kNvwEDN88t&amp;_nc_oc=Adliydg9YaRjDrWiyRGGPG7HKAUwICu5VqDaFo4LUJ3FB6qL767vZj4EcwfyL6F9P68&amp;_nc_zt=23&amp;_nc_ht=scontent-lhr8-1.xx&amp;_nc_gid=43KoNgoc0QDVCzdJz47Qdw&amp;oh=00_AfGX0o1OHZrzeHyo2dTb--tSEvaLabKrPG9ykyYV1EqJBA&amp;oe=6815E8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saikia</dc:creator>
  <cp:keywords/>
  <dc:description/>
  <cp:lastModifiedBy>ajay saikia</cp:lastModifiedBy>
  <cp:revision>6</cp:revision>
  <dcterms:created xsi:type="dcterms:W3CDTF">2025-04-28T23:37:00Z</dcterms:created>
  <dcterms:modified xsi:type="dcterms:W3CDTF">2025-04-29T00:13:00Z</dcterms:modified>
</cp:coreProperties>
</file>