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46ABC" w14:textId="775DCC59" w:rsidR="00A01C27" w:rsidRDefault="002153EC" w:rsidP="001E06CE">
      <w:pPr>
        <w:tabs>
          <w:tab w:val="left" w:pos="1100"/>
        </w:tabs>
        <w:snapToGrid w:val="0"/>
        <w:spacing w:after="0" w:line="10" w:lineRule="atLeast"/>
        <w:rPr>
          <w:rFonts w:ascii="Times New Roman" w:hAnsi="Times New Roman" w:cs="Times New Roman"/>
          <w:sz w:val="11"/>
          <w:szCs w:val="11"/>
        </w:rPr>
      </w:pPr>
      <w:r w:rsidRPr="00521D06">
        <w:rPr>
          <w:rFonts w:ascii="Times New Roman" w:hAnsi="Times New Roman" w:cs="Times New Roman" w:hint="eastAsia"/>
          <w:sz w:val="11"/>
          <w:szCs w:val="11"/>
        </w:rPr>
        <w:t>1</w:t>
      </w:r>
      <w:r w:rsidR="004A76C7" w:rsidRPr="00521D06">
        <w:rPr>
          <w:rFonts w:ascii="Times New Roman" w:hAnsi="Times New Roman" w:cs="Times New Roman" w:hint="eastAsia"/>
          <w:sz w:val="11"/>
          <w:szCs w:val="11"/>
        </w:rPr>
        <w:t xml:space="preserve"> </w:t>
      </w:r>
      <w:r w:rsidR="005C08EB" w:rsidRPr="00521D06">
        <w:rPr>
          <w:rFonts w:ascii="Times New Roman" w:hAnsi="Times New Roman" w:cs="Times New Roman" w:hint="eastAsia"/>
          <w:sz w:val="11"/>
          <w:szCs w:val="11"/>
        </w:rPr>
        <w:t>(</w:t>
      </w:r>
      <w:r w:rsidRPr="00521D06">
        <w:rPr>
          <w:rFonts w:ascii="Times New Roman" w:hAnsi="Times New Roman" w:cs="Times New Roman" w:hint="eastAsia"/>
          <w:sz w:val="11"/>
          <w:szCs w:val="11"/>
        </w:rPr>
        <w:t>1</w:t>
      </w:r>
      <w:r w:rsidR="005C08EB" w:rsidRPr="00521D06">
        <w:rPr>
          <w:rFonts w:ascii="Times New Roman" w:hAnsi="Times New Roman" w:cs="Times New Roman" w:hint="eastAsia"/>
          <w:sz w:val="11"/>
          <w:szCs w:val="11"/>
        </w:rPr>
        <w:t xml:space="preserve">) </w:t>
      </w:r>
      <w:r w:rsidR="005C08EB" w:rsidRPr="00521D06">
        <w:rPr>
          <w:rFonts w:ascii="Times New Roman" w:hAnsi="Times New Roman" w:cs="Times New Roman"/>
          <w:sz w:val="11"/>
          <w:szCs w:val="11"/>
        </w:rPr>
        <w:t>Using the Ansoff Matrix to Support Netflix’s Strategic Decision in a Challenging External Environment</w:t>
      </w:r>
      <w:r w:rsidR="004A76C7" w:rsidRPr="00521D06">
        <w:rPr>
          <w:rFonts w:ascii="Times New Roman" w:hAnsi="Times New Roman" w:cs="Times New Roman" w:hint="eastAsia"/>
          <w:sz w:val="11"/>
          <w:szCs w:val="11"/>
        </w:rPr>
        <w:t xml:space="preserve"> </w:t>
      </w:r>
      <w:r w:rsidR="0029636D" w:rsidRPr="00521D06">
        <w:rPr>
          <w:rFonts w:ascii="Times New Roman" w:hAnsi="Times New Roman" w:cs="Times New Roman"/>
          <w:sz w:val="11"/>
          <w:szCs w:val="11"/>
        </w:rPr>
        <w:t>Strategic models can be useful not due to their ability to predict the future accurately, but they enable managers to introduce order into uncertainty. Intuition is hardly sufficient when markets are congested and dynamic. In the case of Netflix, the key strategic issue is how to continue growing in an entertainment market where attention is dispersed, competitors are increasing and traditional subscription expansion is no longer assured. This decision can be applied using the Ansoff Matrix since it organizes growth based on two fundamental dimensions: products and markets. More importantly, it assists managers to make a comparison between ambition and risk.</w:t>
      </w:r>
      <w:r w:rsidR="004A76C7" w:rsidRPr="00521D06">
        <w:rPr>
          <w:rFonts w:ascii="Times New Roman" w:hAnsi="Times New Roman" w:cs="Times New Roman" w:hint="eastAsia"/>
          <w:sz w:val="11"/>
          <w:szCs w:val="11"/>
        </w:rPr>
        <w:t xml:space="preserve"> </w:t>
      </w:r>
      <w:r w:rsidR="0029636D" w:rsidRPr="00521D06">
        <w:rPr>
          <w:rFonts w:ascii="Times New Roman" w:hAnsi="Times New Roman" w:cs="Times New Roman"/>
          <w:sz w:val="11"/>
          <w:szCs w:val="11"/>
        </w:rPr>
        <w:t>The matrix of the Ansoff Matrix (the Product/Market Expansion Grid) is also known as the product/market expansion grid. It defines four options, namely market penetration, market development, product diversification and development (Ansoff, 1957). Market penetration implies that the company sells more of its products in a given market. The process of developing the market refers to introducing the current products to new markets. Development of products involves the introduction of new or enhanced products to the old customers. Netflix is in a very hostile environment. There are other streaming services as well as the competition of Netflix. According to its 2024 Form 10-K, competitors would be linear television and streaming entertainment companies, video game companies, online social media (user-generated content), or other forms of entertainment (Netflix, Inc., 2025a). It also points out that the rate at which the members increase is not high when it is already saturated with Netflix. This puts pressure. The company will have to expand on the traditional subscription business but not go too far away from it, otherwise it may become weak and lose its strategic direction.</w:t>
      </w:r>
      <w:r w:rsidR="004A76C7" w:rsidRPr="00521D06">
        <w:rPr>
          <w:rFonts w:ascii="Times New Roman" w:hAnsi="Times New Roman" w:cs="Times New Roman" w:hint="eastAsia"/>
          <w:sz w:val="11"/>
          <w:szCs w:val="11"/>
        </w:rPr>
        <w:t xml:space="preserve"> </w:t>
      </w:r>
      <w:r w:rsidR="0029636D" w:rsidRPr="00521D06">
        <w:rPr>
          <w:rFonts w:ascii="Times New Roman" w:hAnsi="Times New Roman" w:cs="Times New Roman"/>
          <w:sz w:val="11"/>
          <w:szCs w:val="11"/>
        </w:rPr>
        <w:t xml:space="preserve">Market penetration is the first Ansoff. The Netflix can enhance its business and revenue in the current market by providing recommendations, enhancing the content of the products, offering price reduction and advertising plans. It has a rather low risk since it knows how to use its platform as well as its brand and customer </w:t>
      </w:r>
      <w:proofErr w:type="spellStart"/>
      <w:r w:rsidR="0029636D" w:rsidRPr="00521D06">
        <w:rPr>
          <w:rFonts w:ascii="Times New Roman" w:hAnsi="Times New Roman" w:cs="Times New Roman"/>
          <w:sz w:val="11"/>
          <w:szCs w:val="11"/>
        </w:rPr>
        <w:t>behaviour</w:t>
      </w:r>
      <w:proofErr w:type="spellEnd"/>
      <w:r w:rsidR="0029636D" w:rsidRPr="00521D06">
        <w:rPr>
          <w:rFonts w:ascii="Times New Roman" w:hAnsi="Times New Roman" w:cs="Times New Roman"/>
          <w:sz w:val="11"/>
          <w:szCs w:val="11"/>
        </w:rPr>
        <w:t>. According to the letter to shareholders in Q4 2024, Netflix will work on product experience, pricing and planning, and also expand its advertising (Netflix, Inc., 2025b). This is what makes the decision makers understand that growth does not have to be done with new industries. There are cases when more involvement of existing users will give more effective returns.</w:t>
      </w:r>
      <w:r w:rsidR="004A76C7" w:rsidRPr="00521D06">
        <w:rPr>
          <w:rFonts w:ascii="Times New Roman" w:hAnsi="Times New Roman" w:cs="Times New Roman" w:hint="eastAsia"/>
          <w:sz w:val="11"/>
          <w:szCs w:val="11"/>
        </w:rPr>
        <w:t xml:space="preserve"> </w:t>
      </w:r>
      <w:r w:rsidR="0029636D" w:rsidRPr="00521D06">
        <w:rPr>
          <w:rFonts w:ascii="Times New Roman" w:hAnsi="Times New Roman" w:cs="Times New Roman"/>
          <w:sz w:val="11"/>
          <w:szCs w:val="11"/>
        </w:rPr>
        <w:t>The second alternative is market development. Netflix has the ability to extend its current streaming service into the international markets that are not yet mature, where broadband penetration, payment systems and streaming behaviors are not yet fully developed. This path is appealing as Netflix estimates over 750 million broadband households, excluding China and Russia in its addressable markets (Netflix, Inc., 2025b). However, it is hardly ever easy to develop a market by selling the same product in another place. The content of local-language, regulation, income levels and preferences in payments are drastically different between countries. Ansoff thus assists managers to realize that same product, new market usually needs some changes rather than just geographic extension.</w:t>
      </w:r>
      <w:r w:rsidR="004A76C7" w:rsidRPr="00521D06">
        <w:rPr>
          <w:rFonts w:ascii="Times New Roman" w:hAnsi="Times New Roman" w:cs="Times New Roman" w:hint="eastAsia"/>
          <w:sz w:val="11"/>
          <w:szCs w:val="11"/>
        </w:rPr>
        <w:t xml:space="preserve"> </w:t>
      </w:r>
      <w:r w:rsidR="0029636D" w:rsidRPr="00521D06">
        <w:rPr>
          <w:rFonts w:ascii="Times New Roman" w:hAnsi="Times New Roman" w:cs="Times New Roman"/>
          <w:sz w:val="11"/>
          <w:szCs w:val="11"/>
        </w:rPr>
        <w:t xml:space="preserve">The third choice and perhaps the most powerful strategic focus is product development. Netflix has the opportunity to present new or enhanced products to its current customer base, such as games, live programming, sports-related events, advertising forms and other more </w:t>
      </w:r>
      <w:proofErr w:type="spellStart"/>
      <w:r w:rsidR="0029636D" w:rsidRPr="00521D06">
        <w:rPr>
          <w:rFonts w:ascii="Times New Roman" w:hAnsi="Times New Roman" w:cs="Times New Roman"/>
          <w:sz w:val="11"/>
          <w:szCs w:val="11"/>
        </w:rPr>
        <w:t>personalised</w:t>
      </w:r>
      <w:proofErr w:type="spellEnd"/>
      <w:r w:rsidR="0029636D" w:rsidRPr="00521D06">
        <w:rPr>
          <w:rFonts w:ascii="Times New Roman" w:hAnsi="Times New Roman" w:cs="Times New Roman"/>
          <w:sz w:val="11"/>
          <w:szCs w:val="11"/>
        </w:rPr>
        <w:t xml:space="preserve"> platform features. This alternative suits Netflix since it relies on the already established relationships with members but also adapts to the shifting entertainment </w:t>
      </w:r>
      <w:proofErr w:type="spellStart"/>
      <w:r w:rsidR="0029636D" w:rsidRPr="00521D06">
        <w:rPr>
          <w:rFonts w:ascii="Times New Roman" w:hAnsi="Times New Roman" w:cs="Times New Roman"/>
          <w:sz w:val="11"/>
          <w:szCs w:val="11"/>
        </w:rPr>
        <w:t>behaviour</w:t>
      </w:r>
      <w:proofErr w:type="spellEnd"/>
      <w:r w:rsidR="0029636D" w:rsidRPr="00521D06">
        <w:rPr>
          <w:rFonts w:ascii="Times New Roman" w:hAnsi="Times New Roman" w:cs="Times New Roman"/>
          <w:sz w:val="11"/>
          <w:szCs w:val="11"/>
        </w:rPr>
        <w:t>. According to the company itself, it plans to expand into new markets like live programming and games, as well as enhance the overall experience of the product (Netflix, Inc., 2025b). Unlike full diversification, product development will enable Netflix to extend its business without losing its identity as an entertainment provider.</w:t>
      </w:r>
      <w:r w:rsidR="004A76C7" w:rsidRPr="00521D06">
        <w:rPr>
          <w:rFonts w:ascii="Times New Roman" w:hAnsi="Times New Roman" w:cs="Times New Roman" w:hint="eastAsia"/>
          <w:sz w:val="11"/>
          <w:szCs w:val="11"/>
        </w:rPr>
        <w:t xml:space="preserve"> </w:t>
      </w:r>
      <w:r w:rsidR="0029636D" w:rsidRPr="00521D06">
        <w:rPr>
          <w:rFonts w:ascii="Times New Roman" w:hAnsi="Times New Roman" w:cs="Times New Roman"/>
          <w:sz w:val="11"/>
          <w:szCs w:val="11"/>
        </w:rPr>
        <w:t>The fourth alternative is diversification. This would mean that Netflix enters new markets with new products: such as, becoming a big publisher of games, entering the physical entertainment business, or even going more aggressively into consumer products. These steps could generate additional revenue streams. They are also the most dangerous decisions in the Ansoff Matrix. In the case of Netflix, diversification might be tempting due to changing attention markets but it may also divert management away from streaming, advertising and content investment. Since competition for attention is already fierce, diversification should be narrow instead of broad.</w:t>
      </w:r>
      <w:r w:rsidR="004A76C7" w:rsidRPr="00521D06">
        <w:rPr>
          <w:rFonts w:ascii="Times New Roman" w:hAnsi="Times New Roman" w:cs="Times New Roman" w:hint="eastAsia"/>
          <w:sz w:val="11"/>
          <w:szCs w:val="11"/>
        </w:rPr>
        <w:t xml:space="preserve"> </w:t>
      </w:r>
      <w:r w:rsidR="0029636D" w:rsidRPr="00521D06">
        <w:rPr>
          <w:rFonts w:ascii="Times New Roman" w:hAnsi="Times New Roman" w:cs="Times New Roman"/>
          <w:sz w:val="11"/>
          <w:szCs w:val="11"/>
        </w:rPr>
        <w:t xml:space="preserve">In conclusion, the Ansoff Matrix would have aided Netflix in pursuing a balanced growth strategy. Market Penetration could continue via advertising, pricing and enhanced engagement; Market Development could be explored selectively in untapped international markets; Product Development should be </w:t>
      </w:r>
      <w:proofErr w:type="spellStart"/>
      <w:r w:rsidR="0029636D" w:rsidRPr="00521D06">
        <w:rPr>
          <w:rFonts w:ascii="Times New Roman" w:hAnsi="Times New Roman" w:cs="Times New Roman"/>
          <w:sz w:val="11"/>
          <w:szCs w:val="11"/>
        </w:rPr>
        <w:t>prioritised</w:t>
      </w:r>
      <w:proofErr w:type="spellEnd"/>
      <w:r w:rsidR="0029636D" w:rsidRPr="00521D06">
        <w:rPr>
          <w:rFonts w:ascii="Times New Roman" w:hAnsi="Times New Roman" w:cs="Times New Roman"/>
          <w:sz w:val="11"/>
          <w:szCs w:val="11"/>
        </w:rPr>
        <w:t xml:space="preserve"> through games, live content and enhancements to the platform. However, full diversification should be undertaken with caution. The model greatest strength lies in its simplicity it provides managers with a tangible tool for comparing growth trajectories and discussing risk in an open forum. Nonetheless, it has its weaknesses it does not entirely account for the intensity of competition, the nature of the customer, internal competences or issues that may arise during implementation. If used on its own, there is a danger that it will over-simplify a complex market. Used critically though, it can assist Netflix in making a significant strategic decision without conflating growth aspirations with reckless expansion.</w:t>
      </w:r>
      <w:r w:rsidR="00642A9E" w:rsidRPr="00521D06">
        <w:rPr>
          <w:rFonts w:ascii="Times New Roman" w:hAnsi="Times New Roman" w:cs="Times New Roman" w:hint="eastAsia"/>
          <w:sz w:val="11"/>
          <w:szCs w:val="11"/>
        </w:rPr>
        <w:t xml:space="preserve">2. </w:t>
      </w:r>
      <w:r w:rsidR="00642A9E" w:rsidRPr="00521D06">
        <w:rPr>
          <w:rFonts w:ascii="Times New Roman" w:hAnsi="Times New Roman" w:cs="Times New Roman"/>
          <w:sz w:val="11"/>
          <w:szCs w:val="11"/>
        </w:rPr>
        <w:t>Using RBV/VRIO and Value Chain Analysis to Build Competitive Advantage</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The long-term success of a company is not always based on one outstanding thing. Rather, it has more to do with the ability of the management to create something that is difficult to duplicate by the combination of the resources and routines and decisions that are made to create the value that the customers can see. The internal analysis, in its turn, is not an easy list of advantages. It is much more pointed: what does the firm have, what is it doing better than others and why should it be important? There are two models applicable. VRIO analysis is used to evaluate the strategic nature of resources, which is the Resource-Based View; the other approach is the value chain analysis, which focuses on how the resources can be transformed into cost advantage or differentiation.</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According to the RBV, when a company has resources that are not easy to replicate and can be used to achieve competitive advantage, it will do better. Barney in his initial model focused on this aspect of the substitutes and in his VRIO version he introduced an additional question of whether the firm is </w:t>
      </w:r>
      <w:proofErr w:type="spellStart"/>
      <w:r w:rsidR="004E5AC6" w:rsidRPr="00521D06">
        <w:rPr>
          <w:rFonts w:ascii="Times New Roman" w:hAnsi="Times New Roman" w:cs="Times New Roman"/>
          <w:sz w:val="11"/>
          <w:szCs w:val="11"/>
        </w:rPr>
        <w:t>organised</w:t>
      </w:r>
      <w:proofErr w:type="spellEnd"/>
      <w:r w:rsidR="004E5AC6" w:rsidRPr="00521D06">
        <w:rPr>
          <w:rFonts w:ascii="Times New Roman" w:hAnsi="Times New Roman" w:cs="Times New Roman"/>
          <w:sz w:val="11"/>
          <w:szCs w:val="11"/>
        </w:rPr>
        <w:t xml:space="preserve"> in a way that allows the value to be captured. This last statement is underestimated. It might seem like a brand, patent, technology or culture can be effective on paper but unless there </w:t>
      </w:r>
      <w:proofErr w:type="gramStart"/>
      <w:r w:rsidR="004E5AC6" w:rsidRPr="00521D06">
        <w:rPr>
          <w:rFonts w:ascii="Times New Roman" w:hAnsi="Times New Roman" w:cs="Times New Roman"/>
          <w:sz w:val="11"/>
          <w:szCs w:val="11"/>
        </w:rPr>
        <w:t>is</w:t>
      </w:r>
      <w:proofErr w:type="gramEnd"/>
      <w:r w:rsidR="004E5AC6" w:rsidRPr="00521D06">
        <w:rPr>
          <w:rFonts w:ascii="Times New Roman" w:hAnsi="Times New Roman" w:cs="Times New Roman"/>
          <w:sz w:val="11"/>
          <w:szCs w:val="11"/>
        </w:rPr>
        <w:t xml:space="preserve"> a routine, leadership structure and incentive systems to make use of the resource it can never be made useful. VRIO is not a checklist. When applied wisely, it distinguishes between competence and strategy.</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This is demonstrated by Apple. Its benefit does not lie in the appealing hardware, or even a well-known product. Instead, it is found in an integrated package: design skills, brand credibility, proprietary operating systems, services, retailing experience and supplier management. According to Apple, it designs and develops almost the entire solution of its products, which include hardware, operating systems, applications and other services (Apple, 2024). This integration is useful as it enhances user experience and premium pricing. It is also comparatively scarce, because few technology companies have such a large number of complementary components simultaneously. However, VRIO must not be applied naively. The company itself issues warnings of strong competition, brief life cycles of products and price pressure (Apple, 2024). What is unusual today will turn out to be common tomorrow.</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Value chain analysis takes the issue in a different direction. According to Porter (1985), advantage lies in how companies do related activities, including logistics and operations to marketing, service and technology development. Its value is precision. Rather than stating that a business has good operations in a general manner, managers may ask where costs are incurred, where waste occurs, and where differentiation is achieved. In most cases, the origin of advantage is not within a department but among activities.</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Toyota provides a good example. Toyota Production System is based on the concept of waste minimization, reduced time of delivery and </w:t>
      </w:r>
      <w:proofErr w:type="gramStart"/>
      <w:r w:rsidR="004E5AC6" w:rsidRPr="00521D06">
        <w:rPr>
          <w:rFonts w:ascii="Times New Roman" w:hAnsi="Times New Roman" w:cs="Times New Roman"/>
          <w:sz w:val="11"/>
          <w:szCs w:val="11"/>
        </w:rPr>
        <w:t>low cost, high quality</w:t>
      </w:r>
      <w:proofErr w:type="gramEnd"/>
      <w:r w:rsidR="004E5AC6" w:rsidRPr="00521D06">
        <w:rPr>
          <w:rFonts w:ascii="Times New Roman" w:hAnsi="Times New Roman" w:cs="Times New Roman"/>
          <w:sz w:val="11"/>
          <w:szCs w:val="11"/>
        </w:rPr>
        <w:t xml:space="preserve"> production with two pillars in its structure being </w:t>
      </w:r>
      <w:proofErr w:type="spellStart"/>
      <w:r w:rsidR="004E5AC6" w:rsidRPr="00521D06">
        <w:rPr>
          <w:rFonts w:ascii="Times New Roman" w:hAnsi="Times New Roman" w:cs="Times New Roman"/>
          <w:sz w:val="11"/>
          <w:szCs w:val="11"/>
        </w:rPr>
        <w:t>jidoka</w:t>
      </w:r>
      <w:proofErr w:type="spellEnd"/>
      <w:r w:rsidR="004E5AC6" w:rsidRPr="00521D06">
        <w:rPr>
          <w:rFonts w:ascii="Times New Roman" w:hAnsi="Times New Roman" w:cs="Times New Roman"/>
          <w:sz w:val="11"/>
          <w:szCs w:val="11"/>
        </w:rPr>
        <w:t xml:space="preserve"> and Just-in-Time (Toyota Motor Corporation, n.d.). It is not only that the strength of Toyota lies in the factory floor as it has been viewed through the value chain lens. It comes up with the combination of the planning of production, supplier interactions, control of quality and kaizen by employees. The abnormalities may occur to stop production before they reach the stage of defects. In the case when the Just-in-Time is operating effectively, the inventory will be lowered and responsiveness will increase. Visible tools like kanban can be imitated by competitors but social discipline cannot be imitated.</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However, there are limitations to value chain analysis. It can cause an </w:t>
      </w:r>
      <w:proofErr w:type="spellStart"/>
      <w:r w:rsidR="004E5AC6" w:rsidRPr="00521D06">
        <w:rPr>
          <w:rFonts w:ascii="Times New Roman" w:hAnsi="Times New Roman" w:cs="Times New Roman"/>
          <w:sz w:val="11"/>
          <w:szCs w:val="11"/>
        </w:rPr>
        <w:t>organisation</w:t>
      </w:r>
      <w:proofErr w:type="spellEnd"/>
      <w:r w:rsidR="004E5AC6" w:rsidRPr="00521D06">
        <w:rPr>
          <w:rFonts w:ascii="Times New Roman" w:hAnsi="Times New Roman" w:cs="Times New Roman"/>
          <w:sz w:val="11"/>
          <w:szCs w:val="11"/>
        </w:rPr>
        <w:t xml:space="preserve"> to appear cleaner and more separable than it truly is. Capabilities tend to be tacit, historical and embedded in relations. Furthermore, a chain which previously created advantage can ossify when technology or customer expectations change. Toyotas lean system enhances efficiency, yet tightly coupled supply chains may be brittle during times of disruption. This is where dynamic capabilities come into play: firms need to sense change, seize opportunities and reconfigure resources as markets change (Teece et al., 1997)</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All in all, the combination of RBV/VRIO and value chain analysis is the most effective. VRIO is a question that is asking whether there are resources within the company to support the existence of advantage, whereas the value chain poses the question as to how the resources can be reduced or even better valued by customers. Resource integration is demonstrated by Apple as the foundation of differentiation and Toyota as the example of the efficiency and reliability created through coordinated activities. The two models cannot be sure of success. However, when they are critically used and applied on an ongoing basis, it will assist managers to avoid being obsessed with internal strengths but rather to test out their potential to become a long-term competitive edge.</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hint="eastAsia"/>
          <w:sz w:val="11"/>
          <w:szCs w:val="11"/>
        </w:rPr>
        <w:t>3.</w:t>
      </w:r>
      <w:r w:rsidR="003B17F1" w:rsidRPr="00521D06">
        <w:rPr>
          <w:rFonts w:ascii="Times New Roman" w:hAnsi="Times New Roman" w:cs="Times New Roman"/>
          <w:sz w:val="11"/>
          <w:szCs w:val="11"/>
        </w:rPr>
        <w:t>Strengthening Market Position through Customer Value, Pricing, Innovation and Communication</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When a customer can be made to see the reason why a business is worth its attention over other options, then that is when it has improved its position in the market. The promotion can be done and low prices may help the people to give a trial, but not necessarily. It takes a long time to establish a good standing and this is only possible through the compatibility of value offered by customers, cost, innovation and communication. This logic is well explained by the Strategy Clock which was developed by Bowman and Faulkner, as it indicates that buyers consider the price and also the perceived benefits (Bowman and Faulkner, 1996). The challenge is not to be cheap or popular but to have an attractive place in terms of value for money and maintain it.</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Customer value is the priority. The companies must know what the customers desire, what issues they are attempting to address and which practical or emotional benefits are most important. According to Kotler and Keller (2016), target-market selection and customer value creation are the two aspects of effective marketing. It implies that customers must not be addressed as a single mass. Netflix, in particular, simplifies finding content with viewing data and recommendation systems. The outcome is convenience, personal relevance and loyalty. But there is limitation of data. It can show what people watch or avoid, but does not always explain why they act in such a manner. Analytics ought to be integrated with human insight because of that reason.</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Pricing is then a price in the market. The price gives information of quality, brand and what will be provided to the customer. According to Nagle and Muller (2018), value-based pricing must be based on the belief of customers that they are getting something rather than just an increase in cost. An example of this is IKEA which offers low prices but with acceptable design as well as good home-living experience. Apple is not different since it has high pricing due to the fact that people associate its products with the aspect of design, dependability, ecosystem comfort and status. None of them is better off automatically. It does not matter whether the promise is backed by the price.</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Innovation also maintains and renews market position. The product development strategy by Ansoff describes how companies can expand their business by providing new or enhanced products to the current markets (Ansoff, 1957). However, innovation does not necessarily have to be dramatic. Starbucks enhances its standing through seasonal beverages, mobile ordering and loyalty </w:t>
      </w:r>
      <w:proofErr w:type="spellStart"/>
      <w:r w:rsidR="004E5AC6" w:rsidRPr="00521D06">
        <w:rPr>
          <w:rFonts w:ascii="Times New Roman" w:hAnsi="Times New Roman" w:cs="Times New Roman"/>
          <w:sz w:val="11"/>
          <w:szCs w:val="11"/>
        </w:rPr>
        <w:t>programmes</w:t>
      </w:r>
      <w:proofErr w:type="spellEnd"/>
      <w:r w:rsidR="004E5AC6" w:rsidRPr="00521D06">
        <w:rPr>
          <w:rFonts w:ascii="Times New Roman" w:hAnsi="Times New Roman" w:cs="Times New Roman"/>
          <w:sz w:val="11"/>
          <w:szCs w:val="11"/>
        </w:rPr>
        <w:t>. These changes keep the experience fresh while maintaining the core coffee offer. Rogers (2003) argues that innovations spread more easily when customers recognize relative advantage and compatibility with existing habits. Therefore, successful innovation solves customer problems rather than showcasing technology for its own sake.</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The last link is communication. Even a good, reasonably priced and innovative offer can be unsuccessful in case the customers are not aware of it or do not believe in it. According to Keller (1993), high brand equity relies on positive, powerful and distinctive brand associations. Nike shows this well. Its marketing relates sporting goods to drive, self-identity and success which makes the brand more than shoes and apparel. However, there should be believability in communication. When the message is promising more than experience, trust erodes.</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In general, the four factors enhance each other to strengthen market position. Customer insight recognizes value; pricing communicates and captures it; innovation renews the offer; and communication explains why the brand is important. Netflix, IKEA, Apple, Starbucks and Nike demonstrate that this advantage hardly occurs as a result of one action alone. It is based on the congruency between what customers appreciate and what the </w:t>
      </w:r>
      <w:proofErr w:type="spellStart"/>
      <w:r w:rsidR="004E5AC6" w:rsidRPr="00521D06">
        <w:rPr>
          <w:rFonts w:ascii="Times New Roman" w:hAnsi="Times New Roman" w:cs="Times New Roman"/>
          <w:sz w:val="11"/>
          <w:szCs w:val="11"/>
        </w:rPr>
        <w:t>organisation</w:t>
      </w:r>
      <w:proofErr w:type="spellEnd"/>
      <w:r w:rsidR="004E5AC6" w:rsidRPr="00521D06">
        <w:rPr>
          <w:rFonts w:ascii="Times New Roman" w:hAnsi="Times New Roman" w:cs="Times New Roman"/>
          <w:sz w:val="11"/>
          <w:szCs w:val="11"/>
        </w:rPr>
        <w:t xml:space="preserve"> has been delivering again and again.</w:t>
      </w:r>
      <w:r w:rsidRPr="00521D06">
        <w:rPr>
          <w:rFonts w:ascii="Times New Roman" w:hAnsi="Times New Roman" w:cs="Times New Roman" w:hint="eastAsia"/>
          <w:sz w:val="11"/>
          <w:szCs w:val="11"/>
        </w:rPr>
        <w:t xml:space="preserve"> </w:t>
      </w:r>
      <w:r w:rsidR="00642A9E" w:rsidRPr="00521D06">
        <w:rPr>
          <w:rFonts w:ascii="Times New Roman" w:hAnsi="Times New Roman" w:cs="Times New Roman" w:hint="eastAsia"/>
          <w:sz w:val="11"/>
          <w:szCs w:val="11"/>
        </w:rPr>
        <w:t>4.</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The contemporary </w:t>
      </w:r>
      <w:proofErr w:type="spellStart"/>
      <w:r w:rsidR="004E5AC6" w:rsidRPr="00521D06">
        <w:rPr>
          <w:rFonts w:ascii="Times New Roman" w:hAnsi="Times New Roman" w:cs="Times New Roman"/>
          <w:sz w:val="11"/>
          <w:szCs w:val="11"/>
        </w:rPr>
        <w:t>organisations</w:t>
      </w:r>
      <w:proofErr w:type="spellEnd"/>
      <w:r w:rsidR="004E5AC6" w:rsidRPr="00521D06">
        <w:rPr>
          <w:rFonts w:ascii="Times New Roman" w:hAnsi="Times New Roman" w:cs="Times New Roman"/>
          <w:sz w:val="11"/>
          <w:szCs w:val="11"/>
        </w:rPr>
        <w:t xml:space="preserve"> ought to be social responsibility, sustainability and stakeholder value conscious but not in an overzealous manner. There is still profit. In the absence of financial return, a company will not be able to invest, remunerate its workers, offer incentives to investors or survive in competition. However, it appears that we are becoming more narrow-minded when it comes to the issue of profit as the sole objective. Strategic management does not only entail looking at the immediate monetary rewards; strategic management also entails long term goals, expectations of the stakeholders, </w:t>
      </w:r>
      <w:proofErr w:type="spellStart"/>
      <w:r w:rsidR="004E5AC6" w:rsidRPr="00521D06">
        <w:rPr>
          <w:rFonts w:ascii="Times New Roman" w:hAnsi="Times New Roman" w:cs="Times New Roman"/>
          <w:sz w:val="11"/>
          <w:szCs w:val="11"/>
        </w:rPr>
        <w:t>organisational</w:t>
      </w:r>
      <w:proofErr w:type="spellEnd"/>
      <w:r w:rsidR="004E5AC6" w:rsidRPr="00521D06">
        <w:rPr>
          <w:rFonts w:ascii="Times New Roman" w:hAnsi="Times New Roman" w:cs="Times New Roman"/>
          <w:sz w:val="11"/>
          <w:szCs w:val="11"/>
        </w:rPr>
        <w:t xml:space="preserve"> values and </w:t>
      </w:r>
      <w:proofErr w:type="spellStart"/>
      <w:r w:rsidR="004E5AC6" w:rsidRPr="00521D06">
        <w:rPr>
          <w:rFonts w:ascii="Times New Roman" w:hAnsi="Times New Roman" w:cs="Times New Roman"/>
          <w:sz w:val="11"/>
          <w:szCs w:val="11"/>
        </w:rPr>
        <w:t>trade off</w:t>
      </w:r>
      <w:proofErr w:type="spellEnd"/>
      <w:r w:rsidR="004E5AC6" w:rsidRPr="00521D06">
        <w:rPr>
          <w:rFonts w:ascii="Times New Roman" w:hAnsi="Times New Roman" w:cs="Times New Roman"/>
          <w:sz w:val="11"/>
          <w:szCs w:val="11"/>
        </w:rPr>
        <w:t xml:space="preserve"> between efficiency and effectiveness. The question of how value can be captured is not just one of business, however, it is also about the way in which it is produced, distributed and retained.</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According to the shareholder perspective, which is attributed to Friedman (1970), a manager should be focused on the interests of the owners in terms of their financial interests and as long as they do not violate the law. It has practical strength. The investors will invest money and receive profits; besides, when the managers are involved in any social issues, there can be no clear boundaries, and responsibility may not be clear. Nevertheless, the stakeholder point of view challenges the assumption that the shareholders are the only people whose interest matters. According to Freeman (1984) firms have relationships with workers, clients, suppliers, society and authorities. In practice, these organizations may either support or oppose the business operations. </w:t>
      </w:r>
      <w:proofErr w:type="spellStart"/>
      <w:r w:rsidR="004E5AC6" w:rsidRPr="00521D06">
        <w:rPr>
          <w:rFonts w:ascii="Times New Roman" w:hAnsi="Times New Roman" w:cs="Times New Roman"/>
          <w:sz w:val="11"/>
          <w:szCs w:val="11"/>
        </w:rPr>
        <w:t>Labour</w:t>
      </w:r>
      <w:proofErr w:type="spellEnd"/>
      <w:r w:rsidR="004E5AC6" w:rsidRPr="00521D06">
        <w:rPr>
          <w:rFonts w:ascii="Times New Roman" w:hAnsi="Times New Roman" w:cs="Times New Roman"/>
          <w:sz w:val="11"/>
          <w:szCs w:val="11"/>
        </w:rPr>
        <w:t xml:space="preserve"> practices, environmental degradation or lack of trust within the community might not show up in the balance sheet of an organization but it can later result into reputation damage, legal action, staff turnover and even consumer boycotts.</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CSR, hence, must not be regarded as decoration. According to the model of Carroll (1991), businesses have economic, legal, ethical and philanthropic duties. </w:t>
      </w:r>
      <w:proofErr w:type="spellStart"/>
      <w:r w:rsidR="004E5AC6" w:rsidRPr="00521D06">
        <w:rPr>
          <w:rFonts w:ascii="Times New Roman" w:hAnsi="Times New Roman" w:cs="Times New Roman"/>
          <w:sz w:val="11"/>
          <w:szCs w:val="11"/>
        </w:rPr>
        <w:t>Its</w:t>
      </w:r>
      <w:proofErr w:type="spellEnd"/>
      <w:r w:rsidR="004E5AC6" w:rsidRPr="00521D06">
        <w:rPr>
          <w:rFonts w:ascii="Times New Roman" w:hAnsi="Times New Roman" w:cs="Times New Roman"/>
          <w:sz w:val="11"/>
          <w:szCs w:val="11"/>
        </w:rPr>
        <w:t xml:space="preserve"> worth is in denying a false dilemma between responsibility and profit. An ethical company should also be economically viable; but it has to operate within the law, act ethically and, where possible, give back to society. This can be seen by Patagonia. Its environmental activism, repair schemes and anti-overconsumption messages are not unrelated to its brand identity; instead, they aid in defining it. Nonetheless, CSR has to be credible. When companies make sustainability claims without altering their operations, stakeholders might perceive greenwashing and that can destroy trust more than silence.</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The concept of sustainability needs to be given the special attention since business is based on natural and social processes. According to Elkington (1997), people, planet and profit are the three bottom lines of performance. This can also mean that in a company like IKEA, it should use the renewable materials, increase its energy efficiency and produce cheaper products with less effect on the environment. It will minimize waste, build trust and help sustain in the long term. But tensions persist. The short-term cost of sustainable sourcing may be increased, but the price could be too high for some customers. This is why sustainability cannot be added to strategy as an element of PR.</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 xml:space="preserve">The </w:t>
      </w:r>
      <w:proofErr w:type="spellStart"/>
      <w:r w:rsidR="004E5AC6" w:rsidRPr="00521D06">
        <w:rPr>
          <w:rFonts w:ascii="Times New Roman" w:hAnsi="Times New Roman" w:cs="Times New Roman"/>
          <w:sz w:val="11"/>
          <w:szCs w:val="11"/>
        </w:rPr>
        <w:t>organisational</w:t>
      </w:r>
      <w:proofErr w:type="spellEnd"/>
      <w:r w:rsidR="004E5AC6" w:rsidRPr="00521D06">
        <w:rPr>
          <w:rFonts w:ascii="Times New Roman" w:hAnsi="Times New Roman" w:cs="Times New Roman"/>
          <w:sz w:val="11"/>
          <w:szCs w:val="11"/>
        </w:rPr>
        <w:t xml:space="preserve"> culture is the gap between declared responsibility and actual behavior. A company can have very good CSR reports; however, when internal rewards are based on growth in sales only, employees will inevitably concentrate on figures rather than ethics. According to Schein (2010), culture determines common assumptions, values and day-to-day </w:t>
      </w:r>
      <w:proofErr w:type="spellStart"/>
      <w:r w:rsidR="004E5AC6" w:rsidRPr="00521D06">
        <w:rPr>
          <w:rFonts w:ascii="Times New Roman" w:hAnsi="Times New Roman" w:cs="Times New Roman"/>
          <w:sz w:val="11"/>
          <w:szCs w:val="11"/>
        </w:rPr>
        <w:t>behaviour</w:t>
      </w:r>
      <w:proofErr w:type="spellEnd"/>
      <w:r w:rsidR="004E5AC6" w:rsidRPr="00521D06">
        <w:rPr>
          <w:rFonts w:ascii="Times New Roman" w:hAnsi="Times New Roman" w:cs="Times New Roman"/>
          <w:sz w:val="11"/>
          <w:szCs w:val="11"/>
        </w:rPr>
        <w:t>. The routines of leadership, recruitment, incentives and decision-making thus count. An example of how values can be used to shape product development, supply chains and brand positioning is Unilever sustainability agenda. But culture should not be commercialized. An inefficient business that does not pay attention to its values will fail; a profit-only culture can become illegitimate.</w:t>
      </w:r>
      <w:r w:rsidRPr="00521D06">
        <w:rPr>
          <w:rFonts w:ascii="Times New Roman" w:hAnsi="Times New Roman" w:cs="Times New Roman" w:hint="eastAsia"/>
          <w:sz w:val="11"/>
          <w:szCs w:val="11"/>
        </w:rPr>
        <w:t xml:space="preserve"> </w:t>
      </w:r>
      <w:r w:rsidR="004E5AC6" w:rsidRPr="00521D06">
        <w:rPr>
          <w:rFonts w:ascii="Times New Roman" w:hAnsi="Times New Roman" w:cs="Times New Roman"/>
          <w:sz w:val="11"/>
          <w:szCs w:val="11"/>
        </w:rPr>
        <w:t>In general, the businesses need to pay much attention to stakeholder value and sustainability but not as a substitute of financial return. The more robust response is integration: profit must be achieved through responsible behavior, not at the expense of social costs. Porter and Kramer (2011) refer to this as shared value where companies enhance their competitiveness and meet social needs. In this respect, business does not have charity as its wider role. It is the understanding that trust, resources, institutions and communities are the basis of long-term profitability. Profit should not be the only thing that businesses consider because eventually, even profit relies on what comes after it.</w:t>
      </w:r>
    </w:p>
    <w:p w14:paraId="6475753B" w14:textId="77777777" w:rsidR="00A01C27" w:rsidRDefault="00A01C27">
      <w:pPr>
        <w:widowControl/>
        <w:rPr>
          <w:rFonts w:ascii="Times New Roman" w:hAnsi="Times New Roman" w:cs="Times New Roman"/>
          <w:sz w:val="11"/>
          <w:szCs w:val="11"/>
        </w:rPr>
      </w:pPr>
      <w:r>
        <w:rPr>
          <w:rFonts w:ascii="Times New Roman" w:hAnsi="Times New Roman" w:cs="Times New Roman"/>
          <w:sz w:val="11"/>
          <w:szCs w:val="11"/>
        </w:rPr>
        <w:br w:type="page"/>
      </w:r>
    </w:p>
    <w:p w14:paraId="6A5F3FE2" w14:textId="71A38C36" w:rsidR="001E06CE" w:rsidRPr="00A01C27" w:rsidRDefault="00BA0165" w:rsidP="001E06CE">
      <w:pPr>
        <w:tabs>
          <w:tab w:val="left" w:pos="1100"/>
        </w:tabs>
        <w:spacing w:after="0" w:line="0" w:lineRule="atLeast"/>
        <w:ind w:rightChars="100" w:right="220"/>
        <w:rPr>
          <w:rFonts w:ascii="Times New Roman" w:hAnsi="Times New Roman" w:cs="Times New Roman"/>
          <w:b/>
          <w:bCs/>
          <w:sz w:val="13"/>
          <w:szCs w:val="13"/>
        </w:rPr>
      </w:pPr>
      <w:r w:rsidRPr="001E06CE">
        <w:rPr>
          <w:rFonts w:ascii="Times New Roman" w:hAnsi="Times New Roman" w:cs="Times New Roman"/>
          <w:b/>
          <w:bCs/>
          <w:sz w:val="13"/>
          <w:szCs w:val="13"/>
        </w:rPr>
        <w:lastRenderedPageBreak/>
        <w:t>Harvard Reference List</w:t>
      </w:r>
    </w:p>
    <w:p w14:paraId="084AF125" w14:textId="47FB6C37"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Ansoff, H.I. (1957) ‘Strategies for diversification’, Harvard Business Review, 35(5), pp. 113–124.</w:t>
      </w:r>
    </w:p>
    <w:p w14:paraId="4C1384AE" w14:textId="4CB51662" w:rsidR="00A70944" w:rsidRPr="001E06CE" w:rsidRDefault="00A70944" w:rsidP="001E06CE">
      <w:pPr>
        <w:pStyle w:val="a9"/>
        <w:numPr>
          <w:ilvl w:val="0"/>
          <w:numId w:val="5"/>
        </w:numPr>
        <w:spacing w:after="0" w:line="0" w:lineRule="atLeast"/>
        <w:rPr>
          <w:rFonts w:ascii="Times New Roman" w:hAnsi="Times New Roman" w:cs="Times New Roman"/>
          <w:sz w:val="13"/>
          <w:szCs w:val="13"/>
        </w:rPr>
      </w:pPr>
      <w:r w:rsidRPr="001E06CE">
        <w:rPr>
          <w:rFonts w:ascii="Times New Roman" w:hAnsi="Times New Roman" w:cs="Times New Roman"/>
          <w:sz w:val="13"/>
          <w:szCs w:val="13"/>
        </w:rPr>
        <w:t>Apple Inc. (2020) ‘Apple announces Mac transition to Apple silicon’, Apple Newsroom, 22 June.</w:t>
      </w:r>
      <w:r w:rsidRPr="001E06CE">
        <w:rPr>
          <w:rFonts w:ascii="Times New Roman" w:hAnsi="Times New Roman" w:cs="Times New Roman" w:hint="eastAsia"/>
          <w:sz w:val="13"/>
          <w:szCs w:val="13"/>
        </w:rPr>
        <w:t xml:space="preserve"> </w:t>
      </w:r>
      <w:hyperlink r:id="rId8" w:history="1">
        <w:r w:rsidR="005D5459" w:rsidRPr="001E06CE">
          <w:rPr>
            <w:rStyle w:val="af2"/>
            <w:rFonts w:ascii="Times New Roman" w:hAnsi="Times New Roman" w:cs="Times New Roman"/>
            <w:sz w:val="13"/>
            <w:szCs w:val="13"/>
          </w:rPr>
          <w:t>https://www.apple.com/uk/newsroom/2020/06/apple-announces-mac-transition-to-apple-silic</w:t>
        </w:r>
        <w:r w:rsidR="005D5459" w:rsidRPr="001E06CE">
          <w:rPr>
            <w:rStyle w:val="af2"/>
            <w:rFonts w:ascii="Times New Roman" w:hAnsi="Times New Roman" w:cs="Times New Roman" w:hint="eastAsia"/>
            <w:sz w:val="13"/>
            <w:szCs w:val="13"/>
          </w:rPr>
          <w:t>on</w:t>
        </w:r>
        <w:r w:rsidR="005D5459" w:rsidRPr="001E06CE">
          <w:rPr>
            <w:rStyle w:val="af2"/>
            <w:rFonts w:ascii="Times New Roman" w:hAnsi="Times New Roman" w:cs="Times New Roman"/>
            <w:sz w:val="13"/>
            <w:szCs w:val="13"/>
          </w:rPr>
          <w:t>/</w:t>
        </w:r>
      </w:hyperlink>
      <w:r w:rsidRPr="001E06CE">
        <w:rPr>
          <w:rFonts w:ascii="Times New Roman" w:hAnsi="Times New Roman" w:cs="Times New Roman" w:hint="eastAsia"/>
          <w:sz w:val="13"/>
          <w:szCs w:val="13"/>
        </w:rPr>
        <w:t xml:space="preserve"> </w:t>
      </w:r>
      <w:r w:rsidRPr="001E06CE">
        <w:rPr>
          <w:rFonts w:ascii="Times New Roman" w:hAnsi="Times New Roman" w:cs="Times New Roman"/>
          <w:sz w:val="13"/>
          <w:szCs w:val="13"/>
        </w:rPr>
        <w:t>(Accessed: 6 May 2026).</w:t>
      </w:r>
    </w:p>
    <w:p w14:paraId="6046F476" w14:textId="3ED9EC81"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Apple Inc. (2024a) ‘Introducing Apple Intelligence for iPhone, iPad, and Mac’, Apple Newsroom, 10 June</w:t>
      </w:r>
      <w:r w:rsidRPr="001E06CE">
        <w:rPr>
          <w:rFonts w:ascii="Times New Roman" w:hAnsi="Times New Roman" w:cs="Times New Roman" w:hint="eastAsia"/>
          <w:sz w:val="13"/>
          <w:szCs w:val="13"/>
        </w:rPr>
        <w:t>.</w:t>
      </w:r>
      <w:r w:rsidR="005D5459" w:rsidRPr="001E06CE">
        <w:rPr>
          <w:rFonts w:ascii="Times New Roman" w:hAnsi="Times New Roman" w:cs="Times New Roman" w:hint="eastAsia"/>
          <w:sz w:val="13"/>
          <w:szCs w:val="13"/>
        </w:rPr>
        <w:t xml:space="preserve"> </w:t>
      </w:r>
      <w:hyperlink r:id="rId9" w:history="1">
        <w:r w:rsidR="005D5459" w:rsidRPr="001E06CE">
          <w:rPr>
            <w:rStyle w:val="af2"/>
            <w:rFonts w:ascii="Times New Roman" w:hAnsi="Times New Roman" w:cs="Times New Roman"/>
            <w:sz w:val="13"/>
            <w:szCs w:val="13"/>
          </w:rPr>
          <w:t>https://www.apple.com/uk/newsroom/2024/06/introducing-apple-intelligence-for-iphone-ipad-and-mac/</w:t>
        </w:r>
      </w:hyperlink>
      <w:r w:rsidR="005D5459" w:rsidRPr="001E06CE">
        <w:rPr>
          <w:rFonts w:ascii="Times New Roman" w:hAnsi="Times New Roman" w:cs="Times New Roman" w:hint="eastAsia"/>
          <w:sz w:val="13"/>
          <w:szCs w:val="13"/>
        </w:rPr>
        <w:t xml:space="preserve"> </w:t>
      </w:r>
      <w:r w:rsidR="005D5459" w:rsidRPr="001E06CE">
        <w:rPr>
          <w:rFonts w:ascii="Times New Roman" w:hAnsi="Times New Roman" w:cs="Times New Roman"/>
          <w:sz w:val="13"/>
          <w:szCs w:val="13"/>
        </w:rPr>
        <w:t>(Accessed: 6 May 2026)</w:t>
      </w:r>
    </w:p>
    <w:p w14:paraId="04B31D22" w14:textId="3CC5C53D" w:rsidR="00A70944" w:rsidRPr="001E06CE" w:rsidRDefault="00A70944" w:rsidP="001E06CE">
      <w:pPr>
        <w:pStyle w:val="a9"/>
        <w:numPr>
          <w:ilvl w:val="0"/>
          <w:numId w:val="5"/>
        </w:numPr>
        <w:spacing w:after="0" w:line="0" w:lineRule="atLeast"/>
        <w:rPr>
          <w:rFonts w:ascii="Times New Roman" w:hAnsi="Times New Roman" w:cs="Times New Roman"/>
          <w:sz w:val="13"/>
          <w:szCs w:val="13"/>
        </w:rPr>
      </w:pPr>
      <w:r w:rsidRPr="001E06CE">
        <w:rPr>
          <w:rFonts w:ascii="Times New Roman" w:hAnsi="Times New Roman" w:cs="Times New Roman"/>
          <w:sz w:val="13"/>
          <w:szCs w:val="13"/>
        </w:rPr>
        <w:t>Apple Inc. (2024b) Form 10-K for the fiscal year ended 28 September 2024. Washington, DC: U.S. Securities and Exchange Commission.</w:t>
      </w:r>
      <w:r w:rsidR="005D5459" w:rsidRPr="001E06CE">
        <w:rPr>
          <w:rFonts w:ascii="Times New Roman" w:hAnsi="Times New Roman" w:cs="Times New Roman" w:hint="eastAsia"/>
          <w:sz w:val="13"/>
          <w:szCs w:val="13"/>
        </w:rPr>
        <w:t xml:space="preserve"> </w:t>
      </w:r>
      <w:hyperlink r:id="rId10" w:history="1">
        <w:r w:rsidR="005D5459" w:rsidRPr="001E06CE">
          <w:rPr>
            <w:rStyle w:val="af2"/>
            <w:rFonts w:ascii="Times New Roman" w:hAnsi="Times New Roman" w:cs="Times New Roman"/>
            <w:sz w:val="13"/>
            <w:szCs w:val="13"/>
          </w:rPr>
          <w:t>https://www.sec.gov/Archives/edgar/data/320193/000032019324000123/aapl-20240928.htm</w:t>
        </w:r>
      </w:hyperlink>
      <w:r w:rsidR="005D5459" w:rsidRPr="001E06CE">
        <w:rPr>
          <w:rFonts w:ascii="Times New Roman" w:hAnsi="Times New Roman" w:cs="Times New Roman" w:hint="eastAsia"/>
          <w:sz w:val="13"/>
          <w:szCs w:val="13"/>
        </w:rPr>
        <w:t xml:space="preserve"> </w:t>
      </w:r>
      <w:r w:rsidR="005D5459" w:rsidRPr="001E06CE">
        <w:rPr>
          <w:rFonts w:ascii="Times New Roman" w:hAnsi="Times New Roman" w:cs="Times New Roman"/>
          <w:sz w:val="13"/>
          <w:szCs w:val="13"/>
        </w:rPr>
        <w:t xml:space="preserve"> (Accessed: 6 May 2026</w:t>
      </w:r>
      <w:r w:rsidR="005D5459" w:rsidRPr="001E06CE">
        <w:rPr>
          <w:rFonts w:ascii="Times New Roman" w:hAnsi="Times New Roman" w:cs="Times New Roman" w:hint="eastAsia"/>
          <w:sz w:val="13"/>
          <w:szCs w:val="13"/>
        </w:rPr>
        <w:t>)</w:t>
      </w:r>
    </w:p>
    <w:p w14:paraId="276AFCB0" w14:textId="72FEBE20"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Apple Inc. (2025a) Form 10-K for the fiscal year ended 27 September 2025. Washington, DC: U.S. Securities and Exchange Commission. </w:t>
      </w:r>
      <w:hyperlink r:id="rId11" w:history="1">
        <w:r w:rsidR="005D5459" w:rsidRPr="001E06CE">
          <w:rPr>
            <w:rStyle w:val="af2"/>
            <w:rFonts w:ascii="Times New Roman" w:hAnsi="Times New Roman" w:cs="Times New Roman"/>
            <w:sz w:val="13"/>
            <w:szCs w:val="13"/>
          </w:rPr>
          <w:t>https://www.sec.gov/Archives/edgar/data/320193/000032019325000079/aapl-20250927.htm</w:t>
        </w:r>
      </w:hyperlink>
      <w:r w:rsidR="005D5459" w:rsidRPr="001E06CE">
        <w:rPr>
          <w:rFonts w:ascii="Times New Roman" w:hAnsi="Times New Roman" w:cs="Times New Roman" w:hint="eastAsia"/>
          <w:sz w:val="13"/>
          <w:szCs w:val="13"/>
        </w:rPr>
        <w:t xml:space="preserve"> </w:t>
      </w:r>
      <w:r w:rsidR="005D5459" w:rsidRPr="001E06CE">
        <w:rPr>
          <w:rFonts w:ascii="Times New Roman" w:hAnsi="Times New Roman" w:cs="Times New Roman"/>
          <w:sz w:val="13"/>
          <w:szCs w:val="13"/>
        </w:rPr>
        <w:t>(Accessed: 6 May 2026).</w:t>
      </w:r>
    </w:p>
    <w:p w14:paraId="6E30AAE7" w14:textId="2A79CA02" w:rsidR="005D5459"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Apple Inc. (2025b) ‘Apple unleashes M5, the next big leap in AI performance for Apple silicon’, Apple Newsroom, 15 October. </w:t>
      </w:r>
      <w:hyperlink r:id="rId12" w:history="1">
        <w:r w:rsidR="005D5459" w:rsidRPr="001E06CE">
          <w:rPr>
            <w:rStyle w:val="af2"/>
            <w:rFonts w:ascii="Times New Roman" w:hAnsi="Times New Roman" w:cs="Times New Roman"/>
            <w:sz w:val="13"/>
            <w:szCs w:val="13"/>
          </w:rPr>
          <w:t>https://www.apple.com/uk/newsroom/2025/10/apple-unleashes-m5-the-next-big-leap-in-ai-performance-for-apple-silicon/</w:t>
        </w:r>
      </w:hyperlink>
      <w:r w:rsidR="005D5459" w:rsidRPr="001E06CE">
        <w:rPr>
          <w:rFonts w:ascii="Times New Roman" w:hAnsi="Times New Roman" w:cs="Times New Roman" w:hint="eastAsia"/>
          <w:sz w:val="13"/>
          <w:szCs w:val="13"/>
        </w:rPr>
        <w:t xml:space="preserve"> </w:t>
      </w:r>
      <w:r w:rsidR="005D5459" w:rsidRPr="001E06CE">
        <w:rPr>
          <w:rFonts w:ascii="Times New Roman" w:hAnsi="Times New Roman" w:cs="Times New Roman"/>
          <w:sz w:val="13"/>
          <w:szCs w:val="13"/>
        </w:rPr>
        <w:t>(Accessed: 6 May 2026)</w:t>
      </w:r>
      <w:r w:rsidR="005D5459" w:rsidRPr="001E06CE">
        <w:rPr>
          <w:rFonts w:ascii="Times New Roman" w:hAnsi="Times New Roman" w:cs="Times New Roman" w:hint="eastAsia"/>
          <w:sz w:val="13"/>
          <w:szCs w:val="13"/>
        </w:rPr>
        <w:t>.</w:t>
      </w:r>
    </w:p>
    <w:p w14:paraId="7984D938" w14:textId="5FFE04A1" w:rsidR="005D5459"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Barney, J.B. (1991) ‘Firm resources and sustained competitive advantage’, Journal of Management, 17(1), pp. 99–120. </w:t>
      </w:r>
      <w:hyperlink r:id="rId13" w:history="1">
        <w:r w:rsidR="005D5459" w:rsidRPr="001E06CE">
          <w:rPr>
            <w:rStyle w:val="af2"/>
            <w:rFonts w:ascii="Times New Roman" w:hAnsi="Times New Roman" w:cs="Times New Roman"/>
            <w:sz w:val="13"/>
            <w:szCs w:val="13"/>
          </w:rPr>
          <w:t>https://doi.org/10.1177/014920639101700108</w:t>
        </w:r>
      </w:hyperlink>
      <w:r w:rsidR="005D5459" w:rsidRPr="001E06CE">
        <w:rPr>
          <w:rFonts w:ascii="Times New Roman" w:hAnsi="Times New Roman" w:cs="Times New Roman" w:hint="eastAsia"/>
          <w:sz w:val="13"/>
          <w:szCs w:val="13"/>
        </w:rPr>
        <w:t>.</w:t>
      </w:r>
    </w:p>
    <w:p w14:paraId="4EC2B4C8" w14:textId="28454D4A"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Barney, J.B. (1995) ‘Looking inside for competitive advantage’, Academy of Management Executive, 9(4), pp. 49–61. </w:t>
      </w:r>
      <w:hyperlink r:id="rId14" w:history="1">
        <w:r w:rsidR="005D5459" w:rsidRPr="001E06CE">
          <w:rPr>
            <w:rStyle w:val="af2"/>
            <w:rFonts w:ascii="Times New Roman" w:hAnsi="Times New Roman" w:cs="Times New Roman"/>
            <w:sz w:val="13"/>
            <w:szCs w:val="13"/>
          </w:rPr>
          <w:t>https://doi.org/10.5465/ame.1995.9512032192</w:t>
        </w:r>
      </w:hyperlink>
      <w:r w:rsidR="005D5459" w:rsidRPr="001E06CE">
        <w:rPr>
          <w:rFonts w:ascii="Times New Roman" w:hAnsi="Times New Roman" w:cs="Times New Roman" w:hint="eastAsia"/>
          <w:sz w:val="13"/>
          <w:szCs w:val="13"/>
        </w:rPr>
        <w:t>.</w:t>
      </w:r>
    </w:p>
    <w:p w14:paraId="751FEE7C" w14:textId="6F586FE7"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Bowman, C. and Faulkner, D. (1996) Competitive and Corporate Strategy. London: Irwin.</w:t>
      </w:r>
    </w:p>
    <w:p w14:paraId="4654A5F5" w14:textId="32F33149" w:rsidR="005D5459"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Carroll, A.B. (1991) ‘The pyramid of corporate social responsibility: Toward the moral management of organizational stakeholders’, Business Horizons, 34(4), pp. 39–48. </w:t>
      </w:r>
      <w:hyperlink r:id="rId15" w:history="1">
        <w:r w:rsidR="005D5459" w:rsidRPr="001E06CE">
          <w:rPr>
            <w:rStyle w:val="af2"/>
            <w:rFonts w:ascii="Times New Roman" w:hAnsi="Times New Roman" w:cs="Times New Roman"/>
            <w:sz w:val="13"/>
            <w:szCs w:val="13"/>
          </w:rPr>
          <w:t>https://doi.org/10.1016/0007-6813(91)90005-G</w:t>
        </w:r>
      </w:hyperlink>
      <w:r w:rsidR="005D5459" w:rsidRPr="001E06CE">
        <w:rPr>
          <w:rFonts w:ascii="Times New Roman" w:hAnsi="Times New Roman" w:cs="Times New Roman" w:hint="eastAsia"/>
          <w:sz w:val="13"/>
          <w:szCs w:val="13"/>
        </w:rPr>
        <w:t>.</w:t>
      </w:r>
    </w:p>
    <w:p w14:paraId="7273D259" w14:textId="6550C9C7"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Elkington, J. (1997) Cannibals with Forks: The Triple Bottom Line of 21st Century Business. Oxford: Capstone.</w:t>
      </w:r>
    </w:p>
    <w:p w14:paraId="655748CB" w14:textId="43309AD0"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Freeman, R.E. (1984) Strategic Management: A Stakeholder Approach. Boston: Pitman.</w:t>
      </w:r>
    </w:p>
    <w:p w14:paraId="2301E00D" w14:textId="27CA5F5C"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Friedman, M. (1970) ‘The social responsibility of business is to increase its profits’, The New York Times Magazine, 13 September, pp. 122–126.</w:t>
      </w:r>
    </w:p>
    <w:p w14:paraId="1BCC79BA" w14:textId="4FBD2D52"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Grant, R.M. (2021) Contemporary Strategy Analysis. 11th </w:t>
      </w:r>
      <w:proofErr w:type="spellStart"/>
      <w:r w:rsidRPr="001E06CE">
        <w:rPr>
          <w:rFonts w:ascii="Times New Roman" w:hAnsi="Times New Roman" w:cs="Times New Roman"/>
          <w:sz w:val="13"/>
          <w:szCs w:val="13"/>
        </w:rPr>
        <w:t>edn</w:t>
      </w:r>
      <w:proofErr w:type="spellEnd"/>
      <w:r w:rsidRPr="001E06CE">
        <w:rPr>
          <w:rFonts w:ascii="Times New Roman" w:hAnsi="Times New Roman" w:cs="Times New Roman"/>
          <w:sz w:val="13"/>
          <w:szCs w:val="13"/>
        </w:rPr>
        <w:t>. Hoboken: Wiley.</w:t>
      </w:r>
    </w:p>
    <w:p w14:paraId="10249306" w14:textId="4F306B9A"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Hill, C.W.L., Schilling, M.A. and Jones, G.R. (2020) Strategic Management: Theory &amp; Cases: An Integrated Approach. 13th </w:t>
      </w:r>
      <w:proofErr w:type="spellStart"/>
      <w:r w:rsidRPr="001E06CE">
        <w:rPr>
          <w:rFonts w:ascii="Times New Roman" w:hAnsi="Times New Roman" w:cs="Times New Roman"/>
          <w:sz w:val="13"/>
          <w:szCs w:val="13"/>
        </w:rPr>
        <w:t>edn</w:t>
      </w:r>
      <w:proofErr w:type="spellEnd"/>
      <w:r w:rsidRPr="001E06CE">
        <w:rPr>
          <w:rFonts w:ascii="Times New Roman" w:hAnsi="Times New Roman" w:cs="Times New Roman"/>
          <w:sz w:val="13"/>
          <w:szCs w:val="13"/>
        </w:rPr>
        <w:t>. Boston: Cengage Learning.</w:t>
      </w:r>
    </w:p>
    <w:p w14:paraId="4F2D51A4" w14:textId="6B26198B"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Johnson, G., Whittington, R. and Scholes, K. (2011) Exploring Strategy. 9th </w:t>
      </w:r>
      <w:proofErr w:type="spellStart"/>
      <w:r w:rsidRPr="001E06CE">
        <w:rPr>
          <w:rFonts w:ascii="Times New Roman" w:hAnsi="Times New Roman" w:cs="Times New Roman"/>
          <w:sz w:val="13"/>
          <w:szCs w:val="13"/>
        </w:rPr>
        <w:t>edn</w:t>
      </w:r>
      <w:proofErr w:type="spellEnd"/>
      <w:r w:rsidRPr="001E06CE">
        <w:rPr>
          <w:rFonts w:ascii="Times New Roman" w:hAnsi="Times New Roman" w:cs="Times New Roman"/>
          <w:sz w:val="13"/>
          <w:szCs w:val="13"/>
        </w:rPr>
        <w:t>. Harlow: Financial Times Prentice Hall/Pearson Education.</w:t>
      </w:r>
    </w:p>
    <w:p w14:paraId="1511235D" w14:textId="5E3B68D2"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Johnson, G., Whittington, R., Scholes, K., Angwin, D. and </w:t>
      </w:r>
      <w:proofErr w:type="spellStart"/>
      <w:r w:rsidRPr="001E06CE">
        <w:rPr>
          <w:rFonts w:ascii="Times New Roman" w:hAnsi="Times New Roman" w:cs="Times New Roman"/>
          <w:sz w:val="13"/>
          <w:szCs w:val="13"/>
        </w:rPr>
        <w:t>Regnér</w:t>
      </w:r>
      <w:proofErr w:type="spellEnd"/>
      <w:r w:rsidRPr="001E06CE">
        <w:rPr>
          <w:rFonts w:ascii="Times New Roman" w:hAnsi="Times New Roman" w:cs="Times New Roman"/>
          <w:sz w:val="13"/>
          <w:szCs w:val="13"/>
        </w:rPr>
        <w:t xml:space="preserve">, P. (2017) Exploring Strategy. 11th </w:t>
      </w:r>
      <w:proofErr w:type="spellStart"/>
      <w:r w:rsidRPr="001E06CE">
        <w:rPr>
          <w:rFonts w:ascii="Times New Roman" w:hAnsi="Times New Roman" w:cs="Times New Roman"/>
          <w:sz w:val="13"/>
          <w:szCs w:val="13"/>
        </w:rPr>
        <w:t>edn</w:t>
      </w:r>
      <w:proofErr w:type="spellEnd"/>
      <w:r w:rsidRPr="001E06CE">
        <w:rPr>
          <w:rFonts w:ascii="Times New Roman" w:hAnsi="Times New Roman" w:cs="Times New Roman"/>
          <w:sz w:val="13"/>
          <w:szCs w:val="13"/>
        </w:rPr>
        <w:t>. Harlow: Pearson.</w:t>
      </w:r>
    </w:p>
    <w:p w14:paraId="4E18F7FF" w14:textId="07C1A72C" w:rsidR="005D5459"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Keller, K.L. (1993) ‘Conceptualizing, measuring, and managing customer-based brand equity’, Journal of Marketing, 57(1), pp. 1–22. </w:t>
      </w:r>
      <w:hyperlink r:id="rId16" w:history="1">
        <w:r w:rsidR="005D5459" w:rsidRPr="001E06CE">
          <w:rPr>
            <w:rStyle w:val="af2"/>
            <w:rFonts w:ascii="Times New Roman" w:hAnsi="Times New Roman" w:cs="Times New Roman"/>
            <w:sz w:val="13"/>
            <w:szCs w:val="13"/>
          </w:rPr>
          <w:t>https://doi.org/10.1177/002224299305700101</w:t>
        </w:r>
      </w:hyperlink>
      <w:r w:rsidR="005D5459" w:rsidRPr="001E06CE">
        <w:rPr>
          <w:rFonts w:ascii="Times New Roman" w:hAnsi="Times New Roman" w:cs="Times New Roman" w:hint="eastAsia"/>
          <w:sz w:val="13"/>
          <w:szCs w:val="13"/>
        </w:rPr>
        <w:t>.</w:t>
      </w:r>
    </w:p>
    <w:p w14:paraId="3BB04C6C" w14:textId="6FCEC108"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Kotler, P. and Keller, K.L. (2016) Marketing Management. 15th </w:t>
      </w:r>
      <w:proofErr w:type="spellStart"/>
      <w:r w:rsidRPr="001E06CE">
        <w:rPr>
          <w:rFonts w:ascii="Times New Roman" w:hAnsi="Times New Roman" w:cs="Times New Roman"/>
          <w:sz w:val="13"/>
          <w:szCs w:val="13"/>
        </w:rPr>
        <w:t>edn</w:t>
      </w:r>
      <w:proofErr w:type="spellEnd"/>
      <w:r w:rsidRPr="001E06CE">
        <w:rPr>
          <w:rFonts w:ascii="Times New Roman" w:hAnsi="Times New Roman" w:cs="Times New Roman"/>
          <w:sz w:val="13"/>
          <w:szCs w:val="13"/>
        </w:rPr>
        <w:t>. Harlow: Pearson.</w:t>
      </w:r>
    </w:p>
    <w:p w14:paraId="7B7712B8" w14:textId="0930D639"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Learned, E.P., Christensen, C.R., Andrews, K.R. and Guth, W.D. (1965) Business Policy: Text and Cases. Homewood, IL: Irwin.</w:t>
      </w:r>
    </w:p>
    <w:p w14:paraId="46A7189F" w14:textId="48D63027"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Nagle, T.T. and Müller, G. (2018) The Strategy and Tactics of Pricing. 6th </w:t>
      </w:r>
      <w:proofErr w:type="spellStart"/>
      <w:r w:rsidRPr="001E06CE">
        <w:rPr>
          <w:rFonts w:ascii="Times New Roman" w:hAnsi="Times New Roman" w:cs="Times New Roman"/>
          <w:sz w:val="13"/>
          <w:szCs w:val="13"/>
        </w:rPr>
        <w:t>edn</w:t>
      </w:r>
      <w:proofErr w:type="spellEnd"/>
      <w:r w:rsidRPr="001E06CE">
        <w:rPr>
          <w:rFonts w:ascii="Times New Roman" w:hAnsi="Times New Roman" w:cs="Times New Roman"/>
          <w:sz w:val="13"/>
          <w:szCs w:val="13"/>
        </w:rPr>
        <w:t>. London: Routledge.</w:t>
      </w:r>
    </w:p>
    <w:p w14:paraId="146DC18A" w14:textId="77777777" w:rsidR="00CD76D9" w:rsidRPr="001E06CE" w:rsidRDefault="00A70944" w:rsidP="001E06CE">
      <w:pPr>
        <w:pStyle w:val="a9"/>
        <w:numPr>
          <w:ilvl w:val="0"/>
          <w:numId w:val="5"/>
        </w:numPr>
        <w:spacing w:after="0" w:line="0" w:lineRule="atLeast"/>
        <w:rPr>
          <w:rFonts w:ascii="Times New Roman" w:hAnsi="Times New Roman" w:cs="Times New Roman"/>
          <w:sz w:val="13"/>
          <w:szCs w:val="13"/>
        </w:rPr>
      </w:pPr>
      <w:r w:rsidRPr="001E06CE">
        <w:rPr>
          <w:rFonts w:ascii="Times New Roman" w:hAnsi="Times New Roman" w:cs="Times New Roman"/>
          <w:sz w:val="13"/>
          <w:szCs w:val="13"/>
        </w:rPr>
        <w:t>Netflix, Inc. (2025a) Form 10-K for the fiscal year ended 31 December 2024. Washington, DC: U.S. Securities and Exchange Commission.</w:t>
      </w:r>
    </w:p>
    <w:p w14:paraId="27DAAD70" w14:textId="2B1AC487" w:rsidR="00A70944" w:rsidRPr="001E06CE" w:rsidRDefault="00CD76D9" w:rsidP="001E06CE">
      <w:pPr>
        <w:pStyle w:val="a9"/>
        <w:spacing w:after="0" w:line="0" w:lineRule="atLeast"/>
        <w:ind w:left="550"/>
        <w:rPr>
          <w:rFonts w:ascii="Times New Roman" w:hAnsi="Times New Roman" w:cs="Times New Roman"/>
          <w:sz w:val="13"/>
          <w:szCs w:val="13"/>
        </w:rPr>
      </w:pPr>
      <w:hyperlink r:id="rId17" w:history="1">
        <w:r w:rsidRPr="001E06CE">
          <w:rPr>
            <w:rStyle w:val="af2"/>
            <w:rFonts w:ascii="Times New Roman" w:hAnsi="Times New Roman" w:cs="Times New Roman"/>
            <w:sz w:val="13"/>
            <w:szCs w:val="13"/>
          </w:rPr>
          <w:t>https://www.sec.gov/Archives/edgar/data/1065280/000106528025000044/nflx-20241231.htm</w:t>
        </w:r>
      </w:hyperlink>
      <w:r w:rsidRPr="001E06CE">
        <w:rPr>
          <w:rFonts w:ascii="Times New Roman" w:hAnsi="Times New Roman" w:cs="Times New Roman" w:hint="eastAsia"/>
          <w:sz w:val="13"/>
          <w:szCs w:val="13"/>
        </w:rPr>
        <w:t xml:space="preserve"> </w:t>
      </w:r>
      <w:r w:rsidRPr="001E06CE">
        <w:rPr>
          <w:rFonts w:ascii="Times New Roman" w:hAnsi="Times New Roman" w:cs="Times New Roman"/>
          <w:sz w:val="13"/>
          <w:szCs w:val="13"/>
        </w:rPr>
        <w:t xml:space="preserve"> (Accessed: 6 May 2026).</w:t>
      </w:r>
    </w:p>
    <w:p w14:paraId="26AFC602" w14:textId="5B664D9B"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Netflix, Inc. (2025b) Q4 2024 shareholder letter. Los Gatos, CA: Netflix, Inc</w:t>
      </w:r>
      <w:r w:rsidR="00CD76D9" w:rsidRPr="001E06CE">
        <w:rPr>
          <w:rFonts w:ascii="Times New Roman" w:hAnsi="Times New Roman" w:cs="Times New Roman" w:hint="eastAsia"/>
          <w:sz w:val="13"/>
          <w:szCs w:val="13"/>
        </w:rPr>
        <w:t xml:space="preserve">. </w:t>
      </w:r>
      <w:r w:rsidRPr="001E06CE">
        <w:rPr>
          <w:rFonts w:ascii="Times New Roman" w:hAnsi="Times New Roman" w:cs="Times New Roman"/>
          <w:sz w:val="13"/>
          <w:szCs w:val="13"/>
        </w:rPr>
        <w:t xml:space="preserve"> </w:t>
      </w:r>
      <w:hyperlink r:id="rId18" w:history="1">
        <w:r w:rsidR="00CD76D9" w:rsidRPr="001E06CE">
          <w:rPr>
            <w:rStyle w:val="af2"/>
            <w:rFonts w:ascii="Times New Roman" w:hAnsi="Times New Roman" w:cs="Times New Roman"/>
            <w:sz w:val="13"/>
            <w:szCs w:val="13"/>
          </w:rPr>
          <w:t>https://s22.q4cdn.com/959853165/files/doc_financials/2024/q4/FINAL-Q4-24-Shareholder-Letter.pdf</w:t>
        </w:r>
      </w:hyperlink>
      <w:r w:rsidR="00CD76D9" w:rsidRPr="001E06CE">
        <w:rPr>
          <w:rFonts w:ascii="Times New Roman" w:hAnsi="Times New Roman" w:cs="Times New Roman" w:hint="eastAsia"/>
          <w:sz w:val="13"/>
          <w:szCs w:val="13"/>
        </w:rPr>
        <w:t xml:space="preserve"> </w:t>
      </w:r>
      <w:r w:rsidR="00CD76D9" w:rsidRPr="001E06CE">
        <w:rPr>
          <w:rFonts w:ascii="Times New Roman" w:hAnsi="Times New Roman" w:cs="Times New Roman"/>
          <w:sz w:val="13"/>
          <w:szCs w:val="13"/>
        </w:rPr>
        <w:t>(Accessed: 6 May 2026).</w:t>
      </w:r>
    </w:p>
    <w:p w14:paraId="3CA7AAEF" w14:textId="70CD62D4"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Porter, M.E. (1985) Competitive Advantage: Creating and Sustaining Superior Performance. New York: Free Press.</w:t>
      </w:r>
    </w:p>
    <w:p w14:paraId="7133FE94" w14:textId="64BCD1D3"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Porter, M.E. (2008) ‘The five competitive forces that shape strategy’, Harvard Business Review, 86(1), pp. 78–93 </w:t>
      </w:r>
      <w:hyperlink r:id="rId19" w:history="1">
        <w:r w:rsidR="00CD76D9" w:rsidRPr="001E06CE">
          <w:rPr>
            <w:rStyle w:val="af2"/>
            <w:rFonts w:ascii="Times New Roman" w:hAnsi="Times New Roman" w:cs="Times New Roman"/>
            <w:sz w:val="13"/>
            <w:szCs w:val="13"/>
          </w:rPr>
          <w:t>https://hbr.org/2008/01/the-five-competitive-forces-that-shape-strategy</w:t>
        </w:r>
      </w:hyperlink>
      <w:r w:rsidR="00CD76D9" w:rsidRPr="001E06CE">
        <w:rPr>
          <w:rFonts w:ascii="Times New Roman" w:hAnsi="Times New Roman" w:cs="Times New Roman" w:hint="eastAsia"/>
          <w:sz w:val="13"/>
          <w:szCs w:val="13"/>
        </w:rPr>
        <w:t xml:space="preserve"> </w:t>
      </w:r>
      <w:r w:rsidR="00CD76D9" w:rsidRPr="001E06CE">
        <w:rPr>
          <w:rFonts w:ascii="Times New Roman" w:hAnsi="Times New Roman" w:cs="Times New Roman"/>
          <w:sz w:val="13"/>
          <w:szCs w:val="13"/>
        </w:rPr>
        <w:t>(Accessed: 6 May 2026).</w:t>
      </w:r>
    </w:p>
    <w:p w14:paraId="717F16C6" w14:textId="3ACA69FD"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Porter, M.E. and Kramer, M.R. (2011) ‘Creating shared value’, Harvard Business Review, 89(1/2), pp. 62–77. </w:t>
      </w:r>
      <w:hyperlink r:id="rId20" w:history="1">
        <w:r w:rsidR="00CD76D9" w:rsidRPr="001E06CE">
          <w:rPr>
            <w:rStyle w:val="af2"/>
            <w:rFonts w:ascii="Times New Roman" w:hAnsi="Times New Roman" w:cs="Times New Roman"/>
            <w:sz w:val="13"/>
            <w:szCs w:val="13"/>
          </w:rPr>
          <w:t>https://hbr.org/2011/01/the-big-idea-creating-shared-value</w:t>
        </w:r>
      </w:hyperlink>
      <w:r w:rsidR="00CD76D9" w:rsidRPr="001E06CE">
        <w:rPr>
          <w:rFonts w:ascii="Times New Roman" w:hAnsi="Times New Roman" w:cs="Times New Roman" w:hint="eastAsia"/>
          <w:sz w:val="13"/>
          <w:szCs w:val="13"/>
        </w:rPr>
        <w:t xml:space="preserve"> </w:t>
      </w:r>
      <w:r w:rsidR="00CD76D9" w:rsidRPr="001E06CE">
        <w:rPr>
          <w:rFonts w:ascii="Times New Roman" w:hAnsi="Times New Roman" w:cs="Times New Roman"/>
          <w:sz w:val="13"/>
          <w:szCs w:val="13"/>
        </w:rPr>
        <w:t xml:space="preserve"> (Accessed: 6 May 2026).</w:t>
      </w:r>
    </w:p>
    <w:p w14:paraId="041AA104" w14:textId="77777777" w:rsid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Reuters (2024) ‘In big win for Tesla, India to lower EV import tax if $500 </w:t>
      </w:r>
      <w:proofErr w:type="spellStart"/>
      <w:r w:rsidRPr="001E06CE">
        <w:rPr>
          <w:rFonts w:ascii="Times New Roman" w:hAnsi="Times New Roman" w:cs="Times New Roman"/>
          <w:sz w:val="13"/>
          <w:szCs w:val="13"/>
        </w:rPr>
        <w:t>mln</w:t>
      </w:r>
      <w:proofErr w:type="spellEnd"/>
      <w:r w:rsidRPr="001E06CE">
        <w:rPr>
          <w:rFonts w:ascii="Times New Roman" w:hAnsi="Times New Roman" w:cs="Times New Roman"/>
          <w:sz w:val="13"/>
          <w:szCs w:val="13"/>
        </w:rPr>
        <w:t xml:space="preserve"> invested’, Reuters, 15 March</w:t>
      </w:r>
      <w:r w:rsidR="001E06CE">
        <w:rPr>
          <w:rFonts w:ascii="Times New Roman" w:hAnsi="Times New Roman" w:cs="Times New Roman" w:hint="eastAsia"/>
          <w:sz w:val="13"/>
          <w:szCs w:val="13"/>
        </w:rPr>
        <w:t>.</w:t>
      </w:r>
    </w:p>
    <w:p w14:paraId="25D951DD" w14:textId="6061EB55" w:rsidR="00A70944" w:rsidRPr="001E06CE" w:rsidRDefault="001E06CE" w:rsidP="001E06CE">
      <w:pPr>
        <w:pStyle w:val="a9"/>
        <w:tabs>
          <w:tab w:val="left" w:pos="1100"/>
        </w:tabs>
        <w:spacing w:after="0" w:line="0" w:lineRule="atLeast"/>
        <w:ind w:left="550" w:rightChars="100" w:right="220"/>
        <w:rPr>
          <w:rFonts w:ascii="Times New Roman" w:hAnsi="Times New Roman" w:cs="Times New Roman"/>
          <w:sz w:val="13"/>
          <w:szCs w:val="13"/>
        </w:rPr>
      </w:pPr>
      <w:hyperlink r:id="rId21" w:history="1">
        <w:r w:rsidRPr="00F57243">
          <w:rPr>
            <w:rStyle w:val="af2"/>
            <w:rFonts w:ascii="Times New Roman" w:hAnsi="Times New Roman" w:cs="Times New Roman"/>
            <w:sz w:val="13"/>
            <w:szCs w:val="13"/>
          </w:rPr>
          <w:t>https://www.reuters.com/business/autos-transportation/india-approves-policy-boost-e-vehicle-manufacturing-2024-03-15/</w:t>
        </w:r>
      </w:hyperlink>
      <w:r w:rsidR="00CD76D9" w:rsidRPr="001E06CE">
        <w:rPr>
          <w:rFonts w:ascii="Times New Roman" w:hAnsi="Times New Roman" w:cs="Times New Roman" w:hint="eastAsia"/>
          <w:sz w:val="13"/>
          <w:szCs w:val="13"/>
        </w:rPr>
        <w:t xml:space="preserve"> </w:t>
      </w:r>
      <w:r w:rsidR="00CD76D9" w:rsidRPr="001E06CE">
        <w:rPr>
          <w:rFonts w:ascii="Times New Roman" w:hAnsi="Times New Roman" w:cs="Times New Roman"/>
          <w:sz w:val="13"/>
          <w:szCs w:val="13"/>
        </w:rPr>
        <w:t>(Accessed: 6 May 2026).</w:t>
      </w:r>
    </w:p>
    <w:p w14:paraId="62590CF2" w14:textId="436E71E6"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Reuters (2025) ‘Apple says some AI improvements to Siri delayed to 2026’, Reuters, 7 March. </w:t>
      </w:r>
      <w:hyperlink r:id="rId22" w:history="1">
        <w:r w:rsidR="00CD76D9" w:rsidRPr="001E06CE">
          <w:rPr>
            <w:rStyle w:val="af2"/>
            <w:rFonts w:ascii="Times New Roman" w:hAnsi="Times New Roman" w:cs="Times New Roman"/>
            <w:sz w:val="13"/>
            <w:szCs w:val="13"/>
          </w:rPr>
          <w:t>https://www.reuters.com/technology/apple-says-some-ai-improvements-siri-delayed-2026-2025-03-07/</w:t>
        </w:r>
      </w:hyperlink>
      <w:r w:rsidR="00CD76D9" w:rsidRPr="001E06CE">
        <w:rPr>
          <w:rFonts w:ascii="Times New Roman" w:hAnsi="Times New Roman" w:cs="Times New Roman" w:hint="eastAsia"/>
          <w:sz w:val="13"/>
          <w:szCs w:val="13"/>
        </w:rPr>
        <w:t xml:space="preserve"> </w:t>
      </w:r>
      <w:r w:rsidR="00CD76D9" w:rsidRPr="001E06CE">
        <w:rPr>
          <w:rFonts w:ascii="Times New Roman" w:hAnsi="Times New Roman" w:cs="Times New Roman"/>
          <w:sz w:val="13"/>
          <w:szCs w:val="13"/>
        </w:rPr>
        <w:t xml:space="preserve"> (Accessed: 6 May 2026).</w:t>
      </w:r>
    </w:p>
    <w:p w14:paraId="32A7F52C" w14:textId="4D175E7E"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Rogers, E.M. (2003) Diffusion of Innovations. 5th </w:t>
      </w:r>
      <w:proofErr w:type="spellStart"/>
      <w:r w:rsidRPr="001E06CE">
        <w:rPr>
          <w:rFonts w:ascii="Times New Roman" w:hAnsi="Times New Roman" w:cs="Times New Roman"/>
          <w:sz w:val="13"/>
          <w:szCs w:val="13"/>
        </w:rPr>
        <w:t>edn</w:t>
      </w:r>
      <w:proofErr w:type="spellEnd"/>
      <w:r w:rsidRPr="001E06CE">
        <w:rPr>
          <w:rFonts w:ascii="Times New Roman" w:hAnsi="Times New Roman" w:cs="Times New Roman"/>
          <w:sz w:val="13"/>
          <w:szCs w:val="13"/>
        </w:rPr>
        <w:t>. New York: Free Press.</w:t>
      </w:r>
    </w:p>
    <w:p w14:paraId="613F22CD" w14:textId="5EF6082E"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Ryanair Group (2025) Sustainability Statement 2025. Dublin: Ryanair Group. </w:t>
      </w:r>
      <w:hyperlink r:id="rId23" w:history="1">
        <w:r w:rsidR="00CD76D9" w:rsidRPr="001E06CE">
          <w:rPr>
            <w:rStyle w:val="af2"/>
            <w:rFonts w:ascii="Times New Roman" w:hAnsi="Times New Roman" w:cs="Times New Roman"/>
            <w:sz w:val="13"/>
            <w:szCs w:val="13"/>
          </w:rPr>
          <w:t>https://corporate.ryanair.com/wp-content/uploads/2025/09/Ryanair-Sustainability-Report-2025.pdf</w:t>
        </w:r>
      </w:hyperlink>
      <w:r w:rsidR="00CD76D9" w:rsidRPr="001E06CE">
        <w:rPr>
          <w:rFonts w:ascii="Times New Roman" w:hAnsi="Times New Roman" w:cs="Times New Roman" w:hint="eastAsia"/>
          <w:sz w:val="13"/>
          <w:szCs w:val="13"/>
        </w:rPr>
        <w:t xml:space="preserve"> </w:t>
      </w:r>
      <w:r w:rsidR="00CD76D9" w:rsidRPr="001E06CE">
        <w:rPr>
          <w:rFonts w:ascii="Times New Roman" w:hAnsi="Times New Roman" w:cs="Times New Roman"/>
          <w:sz w:val="13"/>
          <w:szCs w:val="13"/>
        </w:rPr>
        <w:t>(Accessed: 6 May 2026).</w:t>
      </w:r>
    </w:p>
    <w:p w14:paraId="49CB2220" w14:textId="7C9D0DEE"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Ryanair Holdings plc (2025) FY25 results. Dublin: Ryanair Holdings plc. </w:t>
      </w:r>
      <w:hyperlink r:id="rId24" w:history="1">
        <w:r w:rsidR="00CD76D9" w:rsidRPr="001E06CE">
          <w:rPr>
            <w:rStyle w:val="af2"/>
            <w:rFonts w:ascii="Times New Roman" w:hAnsi="Times New Roman" w:cs="Times New Roman"/>
            <w:sz w:val="13"/>
            <w:szCs w:val="13"/>
          </w:rPr>
          <w:t>https://investor.ryanair.com/wp-content/uploads/2025/05/FY25-Ryanair-Results.pdf</w:t>
        </w:r>
      </w:hyperlink>
      <w:r w:rsidR="00CD76D9" w:rsidRPr="001E06CE">
        <w:rPr>
          <w:rFonts w:ascii="Times New Roman" w:hAnsi="Times New Roman" w:cs="Times New Roman" w:hint="eastAsia"/>
          <w:sz w:val="13"/>
          <w:szCs w:val="13"/>
        </w:rPr>
        <w:t xml:space="preserve"> </w:t>
      </w:r>
      <w:r w:rsidR="00CD76D9" w:rsidRPr="001E06CE">
        <w:rPr>
          <w:rFonts w:ascii="Times New Roman" w:hAnsi="Times New Roman" w:cs="Times New Roman"/>
          <w:sz w:val="13"/>
          <w:szCs w:val="13"/>
        </w:rPr>
        <w:t>(Accessed: 6 May 2026).</w:t>
      </w:r>
    </w:p>
    <w:p w14:paraId="5718B8D5" w14:textId="4A2052E5"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Schein, E.H. (2010) Organizational Culture and Leadership. 4th </w:t>
      </w:r>
      <w:proofErr w:type="spellStart"/>
      <w:r w:rsidRPr="001E06CE">
        <w:rPr>
          <w:rFonts w:ascii="Times New Roman" w:hAnsi="Times New Roman" w:cs="Times New Roman"/>
          <w:sz w:val="13"/>
          <w:szCs w:val="13"/>
        </w:rPr>
        <w:t>edn</w:t>
      </w:r>
      <w:proofErr w:type="spellEnd"/>
      <w:r w:rsidRPr="001E06CE">
        <w:rPr>
          <w:rFonts w:ascii="Times New Roman" w:hAnsi="Times New Roman" w:cs="Times New Roman"/>
          <w:sz w:val="13"/>
          <w:szCs w:val="13"/>
        </w:rPr>
        <w:t>. San Francisco: Jossey-Bass.</w:t>
      </w:r>
    </w:p>
    <w:p w14:paraId="6A7795DF" w14:textId="26DA5CB6"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Teece, D.J., Pisano, G. and </w:t>
      </w:r>
      <w:proofErr w:type="spellStart"/>
      <w:r w:rsidRPr="001E06CE">
        <w:rPr>
          <w:rFonts w:ascii="Times New Roman" w:hAnsi="Times New Roman" w:cs="Times New Roman"/>
          <w:sz w:val="13"/>
          <w:szCs w:val="13"/>
        </w:rPr>
        <w:t>Shuen</w:t>
      </w:r>
      <w:proofErr w:type="spellEnd"/>
      <w:r w:rsidRPr="001E06CE">
        <w:rPr>
          <w:rFonts w:ascii="Times New Roman" w:hAnsi="Times New Roman" w:cs="Times New Roman"/>
          <w:sz w:val="13"/>
          <w:szCs w:val="13"/>
        </w:rPr>
        <w:t>, A. (1997) ‘Dynamic capabilities and strategic management’, Strategic Management Journal, 18(7), pp. 509–533.</w:t>
      </w:r>
      <w:r w:rsidR="00CD76D9" w:rsidRPr="001E06CE">
        <w:rPr>
          <w:rFonts w:ascii="Times New Roman" w:hAnsi="Times New Roman" w:cs="Times New Roman" w:hint="eastAsia"/>
          <w:sz w:val="13"/>
          <w:szCs w:val="13"/>
        </w:rPr>
        <w:t xml:space="preserve"> </w:t>
      </w:r>
      <w:hyperlink r:id="rId25" w:history="1">
        <w:r w:rsidR="00CD76D9" w:rsidRPr="001E06CE">
          <w:rPr>
            <w:rStyle w:val="af2"/>
            <w:rFonts w:ascii="Times New Roman" w:hAnsi="Times New Roman" w:cs="Times New Roman"/>
            <w:sz w:val="13"/>
            <w:szCs w:val="13"/>
          </w:rPr>
          <w:t>https://doi.org/10.1002/(SICI)1097-0266(199708)18:7%3C509::AID-SMJ882%3E3.0.CO;2-Z</w:t>
        </w:r>
      </w:hyperlink>
      <w:r w:rsidR="00CD76D9" w:rsidRPr="001E06CE">
        <w:rPr>
          <w:rFonts w:ascii="Times New Roman" w:hAnsi="Times New Roman" w:cs="Times New Roman" w:hint="eastAsia"/>
          <w:sz w:val="13"/>
          <w:szCs w:val="13"/>
        </w:rPr>
        <w:t>.</w:t>
      </w:r>
    </w:p>
    <w:p w14:paraId="4F4859D2" w14:textId="7AF9656E" w:rsidR="00A70944"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The LEGO Group (2025a) Annual Report 2024. Billund: The LEGO Group.</w:t>
      </w:r>
      <w:r w:rsidR="001E06CE">
        <w:rPr>
          <w:rFonts w:ascii="Times New Roman" w:hAnsi="Times New Roman" w:cs="Times New Roman" w:hint="eastAsia"/>
          <w:sz w:val="13"/>
          <w:szCs w:val="13"/>
        </w:rPr>
        <w:t xml:space="preserve"> </w:t>
      </w:r>
      <w:hyperlink r:id="rId26" w:history="1">
        <w:r w:rsidR="001E06CE" w:rsidRPr="00F57243">
          <w:rPr>
            <w:rStyle w:val="af2"/>
            <w:rFonts w:ascii="Times New Roman" w:hAnsi="Times New Roman" w:cs="Times New Roman"/>
            <w:sz w:val="13"/>
            <w:szCs w:val="13"/>
          </w:rPr>
          <w:t>https://www.lego.com/cdn/cs/aboutus/assets/blt1cdf90a38318ef56/the_LEGO_Group_Annual_Report_2024.pdf</w:t>
        </w:r>
      </w:hyperlink>
      <w:r w:rsidR="00CD76D9" w:rsidRPr="001E06CE">
        <w:rPr>
          <w:rFonts w:ascii="Times New Roman" w:hAnsi="Times New Roman" w:cs="Times New Roman" w:hint="eastAsia"/>
          <w:sz w:val="13"/>
          <w:szCs w:val="13"/>
        </w:rPr>
        <w:t xml:space="preserve"> </w:t>
      </w:r>
      <w:r w:rsidR="00CD76D9" w:rsidRPr="001E06CE">
        <w:rPr>
          <w:rFonts w:ascii="Times New Roman" w:hAnsi="Times New Roman" w:cs="Times New Roman"/>
          <w:sz w:val="13"/>
          <w:szCs w:val="13"/>
        </w:rPr>
        <w:t>(Accessed: 6 May 2026).</w:t>
      </w:r>
    </w:p>
    <w:p w14:paraId="0A6935EC" w14:textId="278E0EE5" w:rsidR="00CD76D9" w:rsidRP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 xml:space="preserve">The LEGO Group (2025b) Sustainability Statement 2024. Billund: The LEGO Group. </w:t>
      </w:r>
      <w:hyperlink r:id="rId27" w:history="1">
        <w:r w:rsidR="00CD76D9" w:rsidRPr="001E06CE">
          <w:rPr>
            <w:rStyle w:val="af2"/>
            <w:rFonts w:ascii="Times New Roman" w:hAnsi="Times New Roman" w:cs="Times New Roman"/>
            <w:sz w:val="13"/>
            <w:szCs w:val="13"/>
          </w:rPr>
          <w:t>https://www.lego.com/cdn/cs/aboutus/assets/blt2a759726033d5b67/LEGO_Group_Sustainability_Statement_2024.pdf</w:t>
        </w:r>
      </w:hyperlink>
      <w:r w:rsidR="00CD76D9" w:rsidRPr="001E06CE">
        <w:rPr>
          <w:rFonts w:ascii="Times New Roman" w:hAnsi="Times New Roman" w:cs="Times New Roman"/>
          <w:sz w:val="13"/>
          <w:szCs w:val="13"/>
        </w:rPr>
        <w:t xml:space="preserve"> (Accessed: 6 May 2026).</w:t>
      </w:r>
    </w:p>
    <w:p w14:paraId="08FC8926" w14:textId="77777777" w:rsidR="001E06CE" w:rsidRDefault="00A70944" w:rsidP="001E06CE">
      <w:pPr>
        <w:pStyle w:val="a9"/>
        <w:numPr>
          <w:ilvl w:val="0"/>
          <w:numId w:val="5"/>
        </w:numPr>
        <w:tabs>
          <w:tab w:val="left" w:pos="1100"/>
        </w:tabs>
        <w:spacing w:after="0" w:line="0" w:lineRule="atLeast"/>
        <w:ind w:rightChars="100" w:right="220"/>
        <w:rPr>
          <w:rFonts w:ascii="Times New Roman" w:hAnsi="Times New Roman" w:cs="Times New Roman"/>
          <w:sz w:val="13"/>
          <w:szCs w:val="13"/>
        </w:rPr>
      </w:pPr>
      <w:r w:rsidRPr="001E06CE">
        <w:rPr>
          <w:rFonts w:ascii="Times New Roman" w:hAnsi="Times New Roman" w:cs="Times New Roman"/>
          <w:sz w:val="13"/>
          <w:szCs w:val="13"/>
        </w:rPr>
        <w:t>Toyota Motor Corporation (no date) Toyota Production System. Toyota Motor Corporation Official Global Website.</w:t>
      </w:r>
    </w:p>
    <w:p w14:paraId="43B200C0" w14:textId="1D9BD2EE" w:rsidR="005C08EB" w:rsidRPr="00F5056B" w:rsidRDefault="001E06CE" w:rsidP="001E06CE">
      <w:pPr>
        <w:pStyle w:val="a9"/>
        <w:tabs>
          <w:tab w:val="left" w:pos="1100"/>
        </w:tabs>
        <w:spacing w:after="0" w:line="0" w:lineRule="atLeast"/>
        <w:ind w:left="550" w:rightChars="100" w:right="220"/>
        <w:rPr>
          <w:rFonts w:ascii="Times New Roman" w:hAnsi="Times New Roman" w:cs="Times New Roman" w:hint="eastAsia"/>
          <w:sz w:val="13"/>
          <w:szCs w:val="13"/>
        </w:rPr>
      </w:pPr>
      <w:hyperlink r:id="rId28" w:history="1">
        <w:r w:rsidRPr="00F57243">
          <w:rPr>
            <w:rStyle w:val="af2"/>
            <w:rFonts w:ascii="Times New Roman" w:hAnsi="Times New Roman" w:cs="Times New Roman"/>
            <w:sz w:val="13"/>
            <w:szCs w:val="13"/>
          </w:rPr>
          <w:t>https://global.toyota/en/company/vision-and-philosophy/production-system/index.htm1</w:t>
        </w:r>
      </w:hyperlink>
      <w:r w:rsidR="00CD76D9" w:rsidRPr="001E06CE">
        <w:rPr>
          <w:rFonts w:ascii="Times New Roman" w:hAnsi="Times New Roman" w:cs="Times New Roman"/>
          <w:sz w:val="13"/>
          <w:szCs w:val="13"/>
        </w:rPr>
        <w:t xml:space="preserve"> (Accessed: 6 May </w:t>
      </w:r>
      <w:r w:rsidR="00F5056B">
        <w:rPr>
          <w:rFonts w:ascii="Times New Roman" w:hAnsi="Times New Roman" w:cs="Times New Roman" w:hint="eastAsia"/>
          <w:sz w:val="13"/>
          <w:szCs w:val="13"/>
        </w:rPr>
        <w:t>2026).</w:t>
      </w:r>
    </w:p>
    <w:sectPr w:rsidR="005C08EB" w:rsidRPr="00F5056B" w:rsidSect="005C08EB">
      <w:headerReference w:type="even" r:id="rId29"/>
      <w:headerReference w:type="default" r:id="rId30"/>
      <w:footerReference w:type="even" r:id="rId31"/>
      <w:footerReference w:type="default" r:id="rId32"/>
      <w:headerReference w:type="first" r:id="rId33"/>
      <w:footerReference w:type="first" r:id="rId34"/>
      <w:pgSz w:w="11906" w:h="16838" w:code="9"/>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DD13D" w14:textId="77777777" w:rsidR="00341549" w:rsidRDefault="00341549" w:rsidP="009E3266">
      <w:pPr>
        <w:spacing w:after="0" w:line="240" w:lineRule="auto"/>
      </w:pPr>
      <w:r>
        <w:separator/>
      </w:r>
    </w:p>
  </w:endnote>
  <w:endnote w:type="continuationSeparator" w:id="0">
    <w:p w14:paraId="5C260BA2" w14:textId="77777777" w:rsidR="00341549" w:rsidRDefault="00341549" w:rsidP="009E3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0731F" w14:textId="77777777" w:rsidR="009E3266" w:rsidRDefault="009E3266">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C57ED" w14:textId="77777777" w:rsidR="009E3266" w:rsidRDefault="009E3266">
    <w:pPr>
      <w:pStyle w:val="af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15B47" w14:textId="77777777" w:rsidR="009E3266" w:rsidRDefault="009E3266">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1A5097" w14:textId="77777777" w:rsidR="00341549" w:rsidRDefault="00341549" w:rsidP="009E3266">
      <w:pPr>
        <w:spacing w:after="0" w:line="240" w:lineRule="auto"/>
      </w:pPr>
      <w:r>
        <w:separator/>
      </w:r>
    </w:p>
  </w:footnote>
  <w:footnote w:type="continuationSeparator" w:id="0">
    <w:p w14:paraId="081C54A5" w14:textId="77777777" w:rsidR="00341549" w:rsidRDefault="00341549" w:rsidP="009E32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E80AF" w14:textId="77777777" w:rsidR="009E3266" w:rsidRDefault="009E3266" w:rsidP="009E3266">
    <w:pPr>
      <w:pStyle w:val="a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8EB7A" w14:textId="77777777" w:rsidR="009E3266" w:rsidRDefault="009E3266" w:rsidP="009E3266">
    <w:pPr>
      <w:pStyle w:val="a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9DECB" w14:textId="77777777" w:rsidR="009E3266" w:rsidRDefault="009E3266">
    <w:pPr>
      <w:pStyle w:val="a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95428"/>
    <w:multiLevelType w:val="hybridMultilevel"/>
    <w:tmpl w:val="9AF67752"/>
    <w:lvl w:ilvl="0" w:tplc="0B1439D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B8F2BF4"/>
    <w:multiLevelType w:val="hybridMultilevel"/>
    <w:tmpl w:val="EB5CD6A8"/>
    <w:lvl w:ilvl="0" w:tplc="1B726EF4">
      <w:start w:val="1"/>
      <w:numFmt w:val="decimal"/>
      <w:lvlText w:val="【%1】"/>
      <w:lvlJc w:val="left"/>
      <w:pPr>
        <w:ind w:left="55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4F8A3762"/>
    <w:multiLevelType w:val="hybridMultilevel"/>
    <w:tmpl w:val="8F182C02"/>
    <w:lvl w:ilvl="0" w:tplc="1C5C795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CDA667A"/>
    <w:multiLevelType w:val="hybridMultilevel"/>
    <w:tmpl w:val="C74EB21C"/>
    <w:lvl w:ilvl="0" w:tplc="2A427D2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E107AD8"/>
    <w:multiLevelType w:val="hybridMultilevel"/>
    <w:tmpl w:val="1E26DC5E"/>
    <w:lvl w:ilvl="0" w:tplc="4AE8383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535429700">
    <w:abstractNumId w:val="2"/>
  </w:num>
  <w:num w:numId="2" w16cid:durableId="1736855817">
    <w:abstractNumId w:val="0"/>
  </w:num>
  <w:num w:numId="3" w16cid:durableId="1512988681">
    <w:abstractNumId w:val="3"/>
  </w:num>
  <w:num w:numId="4" w16cid:durableId="381946804">
    <w:abstractNumId w:val="4"/>
  </w:num>
  <w:num w:numId="5" w16cid:durableId="350764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8EB"/>
    <w:rsid w:val="001E06CE"/>
    <w:rsid w:val="001F56E6"/>
    <w:rsid w:val="002153EC"/>
    <w:rsid w:val="00293C0A"/>
    <w:rsid w:val="0029636D"/>
    <w:rsid w:val="00341549"/>
    <w:rsid w:val="00392CEB"/>
    <w:rsid w:val="0039454D"/>
    <w:rsid w:val="003B17F1"/>
    <w:rsid w:val="004A76C7"/>
    <w:rsid w:val="004B7BCC"/>
    <w:rsid w:val="004C621A"/>
    <w:rsid w:val="004D702C"/>
    <w:rsid w:val="004E5AC6"/>
    <w:rsid w:val="00521D06"/>
    <w:rsid w:val="00575405"/>
    <w:rsid w:val="005C08EB"/>
    <w:rsid w:val="005D5459"/>
    <w:rsid w:val="00642A9E"/>
    <w:rsid w:val="006843FD"/>
    <w:rsid w:val="0068625B"/>
    <w:rsid w:val="0077226C"/>
    <w:rsid w:val="007A562B"/>
    <w:rsid w:val="00897CEF"/>
    <w:rsid w:val="009A5FE5"/>
    <w:rsid w:val="009E3266"/>
    <w:rsid w:val="00A01C27"/>
    <w:rsid w:val="00A70944"/>
    <w:rsid w:val="00AA5164"/>
    <w:rsid w:val="00B24002"/>
    <w:rsid w:val="00BA0165"/>
    <w:rsid w:val="00BF64BC"/>
    <w:rsid w:val="00C70C0C"/>
    <w:rsid w:val="00C9271A"/>
    <w:rsid w:val="00CD76D9"/>
    <w:rsid w:val="00D66C44"/>
    <w:rsid w:val="00F505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FA197D"/>
  <w15:chartTrackingRefBased/>
  <w15:docId w15:val="{975CDCAE-EAFA-4ADD-B618-2D3031697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5C08E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C08E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C08E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C08E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C08EB"/>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5C08EB"/>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C08EB"/>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C08EB"/>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5C08EB"/>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C08E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C08E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C08E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C08EB"/>
    <w:rPr>
      <w:rFonts w:cstheme="majorBidi"/>
      <w:color w:val="0F4761" w:themeColor="accent1" w:themeShade="BF"/>
      <w:sz w:val="28"/>
      <w:szCs w:val="28"/>
    </w:rPr>
  </w:style>
  <w:style w:type="character" w:customStyle="1" w:styleId="50">
    <w:name w:val="标题 5 字符"/>
    <w:basedOn w:val="a0"/>
    <w:link w:val="5"/>
    <w:uiPriority w:val="9"/>
    <w:semiHidden/>
    <w:rsid w:val="005C08EB"/>
    <w:rPr>
      <w:rFonts w:cstheme="majorBidi"/>
      <w:color w:val="0F4761" w:themeColor="accent1" w:themeShade="BF"/>
      <w:sz w:val="24"/>
    </w:rPr>
  </w:style>
  <w:style w:type="character" w:customStyle="1" w:styleId="60">
    <w:name w:val="标题 6 字符"/>
    <w:basedOn w:val="a0"/>
    <w:link w:val="6"/>
    <w:uiPriority w:val="9"/>
    <w:semiHidden/>
    <w:rsid w:val="005C08EB"/>
    <w:rPr>
      <w:rFonts w:cstheme="majorBidi"/>
      <w:b/>
      <w:bCs/>
      <w:color w:val="0F4761" w:themeColor="accent1" w:themeShade="BF"/>
    </w:rPr>
  </w:style>
  <w:style w:type="character" w:customStyle="1" w:styleId="70">
    <w:name w:val="标题 7 字符"/>
    <w:basedOn w:val="a0"/>
    <w:link w:val="7"/>
    <w:uiPriority w:val="9"/>
    <w:semiHidden/>
    <w:rsid w:val="005C08EB"/>
    <w:rPr>
      <w:rFonts w:cstheme="majorBidi"/>
      <w:b/>
      <w:bCs/>
      <w:color w:val="595959" w:themeColor="text1" w:themeTint="A6"/>
    </w:rPr>
  </w:style>
  <w:style w:type="character" w:customStyle="1" w:styleId="80">
    <w:name w:val="标题 8 字符"/>
    <w:basedOn w:val="a0"/>
    <w:link w:val="8"/>
    <w:uiPriority w:val="9"/>
    <w:semiHidden/>
    <w:rsid w:val="005C08EB"/>
    <w:rPr>
      <w:rFonts w:cstheme="majorBidi"/>
      <w:color w:val="595959" w:themeColor="text1" w:themeTint="A6"/>
    </w:rPr>
  </w:style>
  <w:style w:type="character" w:customStyle="1" w:styleId="90">
    <w:name w:val="标题 9 字符"/>
    <w:basedOn w:val="a0"/>
    <w:link w:val="9"/>
    <w:uiPriority w:val="9"/>
    <w:semiHidden/>
    <w:rsid w:val="005C08EB"/>
    <w:rPr>
      <w:rFonts w:eastAsiaTheme="majorEastAsia" w:cstheme="majorBidi"/>
      <w:color w:val="595959" w:themeColor="text1" w:themeTint="A6"/>
    </w:rPr>
  </w:style>
  <w:style w:type="paragraph" w:styleId="a3">
    <w:name w:val="Title"/>
    <w:basedOn w:val="a"/>
    <w:next w:val="a"/>
    <w:link w:val="a4"/>
    <w:uiPriority w:val="10"/>
    <w:qFormat/>
    <w:rsid w:val="005C08EB"/>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C08E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C08EB"/>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C08E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C08EB"/>
    <w:pPr>
      <w:spacing w:before="160"/>
      <w:jc w:val="center"/>
    </w:pPr>
    <w:rPr>
      <w:i/>
      <w:iCs/>
      <w:color w:val="404040" w:themeColor="text1" w:themeTint="BF"/>
    </w:rPr>
  </w:style>
  <w:style w:type="character" w:customStyle="1" w:styleId="a8">
    <w:name w:val="引用 字符"/>
    <w:basedOn w:val="a0"/>
    <w:link w:val="a7"/>
    <w:uiPriority w:val="29"/>
    <w:rsid w:val="005C08EB"/>
    <w:rPr>
      <w:i/>
      <w:iCs/>
      <w:color w:val="404040" w:themeColor="text1" w:themeTint="BF"/>
    </w:rPr>
  </w:style>
  <w:style w:type="paragraph" w:styleId="a9">
    <w:name w:val="List Paragraph"/>
    <w:basedOn w:val="a"/>
    <w:uiPriority w:val="34"/>
    <w:qFormat/>
    <w:rsid w:val="005C08EB"/>
    <w:pPr>
      <w:ind w:left="720"/>
      <w:contextualSpacing/>
    </w:pPr>
  </w:style>
  <w:style w:type="character" w:styleId="aa">
    <w:name w:val="Intense Emphasis"/>
    <w:basedOn w:val="a0"/>
    <w:uiPriority w:val="21"/>
    <w:qFormat/>
    <w:rsid w:val="005C08EB"/>
    <w:rPr>
      <w:i/>
      <w:iCs/>
      <w:color w:val="0F4761" w:themeColor="accent1" w:themeShade="BF"/>
    </w:rPr>
  </w:style>
  <w:style w:type="paragraph" w:styleId="ab">
    <w:name w:val="Intense Quote"/>
    <w:basedOn w:val="a"/>
    <w:next w:val="a"/>
    <w:link w:val="ac"/>
    <w:uiPriority w:val="30"/>
    <w:qFormat/>
    <w:rsid w:val="005C08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C08EB"/>
    <w:rPr>
      <w:i/>
      <w:iCs/>
      <w:color w:val="0F4761" w:themeColor="accent1" w:themeShade="BF"/>
    </w:rPr>
  </w:style>
  <w:style w:type="character" w:styleId="ad">
    <w:name w:val="Intense Reference"/>
    <w:basedOn w:val="a0"/>
    <w:uiPriority w:val="32"/>
    <w:qFormat/>
    <w:rsid w:val="005C08EB"/>
    <w:rPr>
      <w:b/>
      <w:bCs/>
      <w:smallCaps/>
      <w:color w:val="0F4761" w:themeColor="accent1" w:themeShade="BF"/>
      <w:spacing w:val="5"/>
    </w:rPr>
  </w:style>
  <w:style w:type="paragraph" w:styleId="ae">
    <w:name w:val="header"/>
    <w:basedOn w:val="a"/>
    <w:link w:val="af"/>
    <w:uiPriority w:val="99"/>
    <w:unhideWhenUsed/>
    <w:rsid w:val="009E3266"/>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9E3266"/>
    <w:rPr>
      <w:sz w:val="18"/>
      <w:szCs w:val="18"/>
    </w:rPr>
  </w:style>
  <w:style w:type="paragraph" w:styleId="af0">
    <w:name w:val="footer"/>
    <w:basedOn w:val="a"/>
    <w:link w:val="af1"/>
    <w:uiPriority w:val="99"/>
    <w:unhideWhenUsed/>
    <w:rsid w:val="009E3266"/>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9E3266"/>
    <w:rPr>
      <w:sz w:val="18"/>
      <w:szCs w:val="18"/>
    </w:rPr>
  </w:style>
  <w:style w:type="character" w:styleId="af2">
    <w:name w:val="Hyperlink"/>
    <w:basedOn w:val="a0"/>
    <w:uiPriority w:val="99"/>
    <w:unhideWhenUsed/>
    <w:rsid w:val="00A70944"/>
    <w:rPr>
      <w:color w:val="467886" w:themeColor="hyperlink"/>
      <w:u w:val="single"/>
    </w:rPr>
  </w:style>
  <w:style w:type="character" w:styleId="af3">
    <w:name w:val="Unresolved Mention"/>
    <w:basedOn w:val="a0"/>
    <w:uiPriority w:val="99"/>
    <w:semiHidden/>
    <w:unhideWhenUsed/>
    <w:rsid w:val="00A70944"/>
    <w:rPr>
      <w:color w:val="605E5C"/>
      <w:shd w:val="clear" w:color="auto" w:fill="E1DFDD"/>
    </w:rPr>
  </w:style>
  <w:style w:type="character" w:styleId="af4">
    <w:name w:val="FollowedHyperlink"/>
    <w:basedOn w:val="a0"/>
    <w:uiPriority w:val="99"/>
    <w:semiHidden/>
    <w:unhideWhenUsed/>
    <w:rsid w:val="00A709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14920639101700108" TargetMode="External"/><Relationship Id="rId18" Type="http://schemas.openxmlformats.org/officeDocument/2006/relationships/hyperlink" Target="https://s22.q4cdn.com/959853165/files/doc_financials/2024/q4/FINAL-Q4-24-Shareholder-Letter.pdf" TargetMode="External"/><Relationship Id="rId26" Type="http://schemas.openxmlformats.org/officeDocument/2006/relationships/hyperlink" Target="https://www.lego.com/cdn/cs/aboutus/assets/blt1cdf90a38318ef56/the_LEGO_Group_Annual_Report_2024.pdf" TargetMode="External"/><Relationship Id="rId3" Type="http://schemas.openxmlformats.org/officeDocument/2006/relationships/styles" Target="styles.xml"/><Relationship Id="rId21" Type="http://schemas.openxmlformats.org/officeDocument/2006/relationships/hyperlink" Target="https://www.reuters.com/business/autos-transportation/india-approves-policy-boost-e-vehicle-manufacturing-2024-03-15/"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apple.com/uk/newsroom/2025/10/apple-unleashes-m5-the-next-big-leap-in-ai-performance-for-apple-silicon/" TargetMode="External"/><Relationship Id="rId17" Type="http://schemas.openxmlformats.org/officeDocument/2006/relationships/hyperlink" Target="https://www.sec.gov/Archives/edgar/data/1065280/000106528025000044/nflx-20241231.htm" TargetMode="External"/><Relationship Id="rId25" Type="http://schemas.openxmlformats.org/officeDocument/2006/relationships/hyperlink" Target="https://doi.org/10.1002/(SICI)1097-0266(199708)18:7%3C509::AID-SMJ882%3E3.0.CO;2-Z"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1177/002224299305700101" TargetMode="External"/><Relationship Id="rId20" Type="http://schemas.openxmlformats.org/officeDocument/2006/relationships/hyperlink" Target="https://hbr.org/2011/01/the-big-idea-creating-shared-valu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c.gov/Archives/edgar/data/320193/000032019325000079/aapl-20250927.htm" TargetMode="External"/><Relationship Id="rId24" Type="http://schemas.openxmlformats.org/officeDocument/2006/relationships/hyperlink" Target="https://investor.ryanair.com/wp-content/uploads/2025/05/FY25-Ryanair-Results.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16/0007-6813(91)90005-G" TargetMode="External"/><Relationship Id="rId23" Type="http://schemas.openxmlformats.org/officeDocument/2006/relationships/hyperlink" Target="https://corporate.ryanair.com/wp-content/uploads/2025/09/Ryanair-Sustainability-Report-2025.pdf" TargetMode="External"/><Relationship Id="rId28" Type="http://schemas.openxmlformats.org/officeDocument/2006/relationships/hyperlink" Target="https://global.toyota/en/company/vision-and-philosophy/production-system/index.htm1" TargetMode="External"/><Relationship Id="rId36" Type="http://schemas.openxmlformats.org/officeDocument/2006/relationships/theme" Target="theme/theme1.xml"/><Relationship Id="rId10" Type="http://schemas.openxmlformats.org/officeDocument/2006/relationships/hyperlink" Target="https://www.sec.gov/Archives/edgar/data/320193/000032019324000123/aapl-20240928.htm" TargetMode="External"/><Relationship Id="rId19" Type="http://schemas.openxmlformats.org/officeDocument/2006/relationships/hyperlink" Target="https://hbr.org/2008/01/the-five-competitive-forces-that-shape-strategy"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pple.com/uk/newsroom/2024/06/introducing-apple-intelligence-for-iphone-ipad-and-mac/" TargetMode="External"/><Relationship Id="rId14" Type="http://schemas.openxmlformats.org/officeDocument/2006/relationships/hyperlink" Target="https://doi.org/10.5465/ame.1995.9512032192" TargetMode="External"/><Relationship Id="rId22" Type="http://schemas.openxmlformats.org/officeDocument/2006/relationships/hyperlink" Target="https://www.reuters.com/technology/apple-says-some-ai-improvements-siri-delayed-2026-2025-03-07/" TargetMode="External"/><Relationship Id="rId27" Type="http://schemas.openxmlformats.org/officeDocument/2006/relationships/hyperlink" Target="https://www.lego.com/cdn/cs/aboutus/assets/blt2a759726033d5b67/LEGO_Group_Sustainability_Statement_2024.pdf"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hyperlink" Target="https://www.apple.com/uk/newsroom/2020/06/apple-announces-mac-transition-to-apple-silico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501F8-DDF8-4F01-8D1C-F55B75BC2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2</Pages>
  <Words>4096</Words>
  <Characters>23966</Characters>
  <Application>Microsoft Office Word</Application>
  <DocSecurity>0</DocSecurity>
  <Lines>182</Lines>
  <Paragraphs>51</Paragraphs>
  <ScaleCrop>false</ScaleCrop>
  <Company/>
  <LinksUpToDate>false</LinksUpToDate>
  <CharactersWithSpaces>28011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香君 陈</dc:creator>
  <cp:keywords/>
  <dc:description/>
  <cp:lastModifiedBy>香君 陈</cp:lastModifiedBy>
  <cp:revision>7</cp:revision>
  <dcterms:created xsi:type="dcterms:W3CDTF">2026-05-05T21:57:00Z</dcterms:created>
  <dcterms:modified xsi:type="dcterms:W3CDTF">2026-05-07T00:56:00Z</dcterms:modified>
</cp:coreProperties>
</file>