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9D91C" w14:textId="77777777" w:rsidR="00B95226" w:rsidRPr="00B95226" w:rsidRDefault="00B95226" w:rsidP="00B95226">
      <w:pPr>
        <w:pStyle w:val="isselectedend"/>
        <w:rPr>
          <w:rFonts w:ascii="Arial" w:hAnsi="Arial" w:cs="Arial"/>
          <w:b/>
          <w:bCs/>
          <w:color w:val="000000"/>
          <w:u w:val="single"/>
        </w:rPr>
      </w:pPr>
      <w:r>
        <w:rPr>
          <w:rFonts w:ascii="Arial" w:hAnsi="Arial" w:cs="Arial"/>
          <w:b/>
          <w:bCs/>
          <w:color w:val="000000"/>
          <w:u w:val="single"/>
        </w:rPr>
        <w:t>I</w:t>
      </w:r>
      <w:r w:rsidRPr="00B95226">
        <w:rPr>
          <w:rFonts w:ascii="Arial" w:hAnsi="Arial" w:cs="Arial"/>
          <w:b/>
          <w:bCs/>
          <w:color w:val="000000"/>
          <w:u w:val="single"/>
        </w:rPr>
        <w:t>ntroduction</w:t>
      </w:r>
    </w:p>
    <w:p w14:paraId="668AB89F" w14:textId="407F976C" w:rsidR="00B95226" w:rsidRPr="00B95226" w:rsidRDefault="00B95226" w:rsidP="00B95226">
      <w:pPr>
        <w:pStyle w:val="NormalWeb"/>
        <w:rPr>
          <w:rFonts w:ascii="Arial" w:hAnsi="Arial" w:cs="Arial"/>
          <w:color w:val="000000"/>
        </w:rPr>
      </w:pPr>
      <w:r w:rsidRPr="00B95226">
        <w:rPr>
          <w:rFonts w:ascii="Arial" w:hAnsi="Arial" w:cs="Arial"/>
          <w:color w:val="000000"/>
        </w:rPr>
        <w:t xml:space="preserve">Measles is a highly contagious viral infection caused by a </w:t>
      </w:r>
      <w:r w:rsidR="00853220" w:rsidRPr="00B95226">
        <w:rPr>
          <w:rFonts w:ascii="Arial" w:hAnsi="Arial" w:cs="Arial"/>
          <w:color w:val="000000"/>
        </w:rPr>
        <w:t>pathogen.</w:t>
      </w:r>
      <w:r>
        <w:rPr>
          <w:rFonts w:ascii="Arial" w:hAnsi="Arial" w:cs="Arial"/>
          <w:color w:val="000000"/>
        </w:rPr>
        <w:t xml:space="preserve"> </w:t>
      </w:r>
      <w:r w:rsidRPr="00B95226">
        <w:rPr>
          <w:rFonts w:ascii="Arial" w:hAnsi="Arial" w:cs="Arial"/>
          <w:color w:val="000000"/>
        </w:rPr>
        <w:t>Despite the widespread availability of a safe and effective vaccine, measles continues to pose a substantial global public health challenge. Transmission occurs primarily through respiratory droplets and airborne spread, and the infection can lead to severe complications, particularly among infants, pregnant women, immunocompromised individuals, and those who remain unvaccinated. According to the World Health Organization (WHO, 2024), measles can result in serious outcomes such as pneumonia, encephalitis, blindness, and, in severe cases, death.</w:t>
      </w:r>
    </w:p>
    <w:p w14:paraId="1962DC08" w14:textId="3EC71FC5" w:rsidR="0030404C" w:rsidRPr="00472F10" w:rsidRDefault="00472F10" w:rsidP="00B95226">
      <w:pPr>
        <w:pStyle w:val="NormalWeb"/>
        <w:rPr>
          <w:rFonts w:ascii="Arial" w:hAnsi="Arial" w:cs="Arial"/>
          <w:color w:val="EE0000"/>
        </w:rPr>
      </w:pPr>
      <w:r w:rsidRPr="00472F10">
        <w:rPr>
          <w:rFonts w:ascii="Arial" w:hAnsi="Arial" w:cs="Arial"/>
          <w:color w:val="EE0000"/>
        </w:rPr>
        <w:t>Signs and symptoms</w:t>
      </w:r>
    </w:p>
    <w:p w14:paraId="10EECD67" w14:textId="77777777" w:rsidR="0030404C" w:rsidRDefault="0030404C" w:rsidP="00B95226">
      <w:pPr>
        <w:pStyle w:val="NormalWeb"/>
        <w:rPr>
          <w:rFonts w:ascii="Arial" w:hAnsi="Arial" w:cs="Arial"/>
          <w:color w:val="000000"/>
        </w:rPr>
      </w:pPr>
    </w:p>
    <w:p w14:paraId="72D9A777" w14:textId="009FE3B2" w:rsidR="00B95226" w:rsidRDefault="00B95226" w:rsidP="00B95226">
      <w:pPr>
        <w:pStyle w:val="NormalWeb"/>
        <w:rPr>
          <w:rFonts w:ascii="Arial" w:hAnsi="Arial" w:cs="Arial"/>
          <w:color w:val="000000"/>
        </w:rPr>
      </w:pPr>
      <w:r w:rsidRPr="00B95226">
        <w:rPr>
          <w:rFonts w:ascii="Arial" w:hAnsi="Arial" w:cs="Arial"/>
          <w:color w:val="000000"/>
        </w:rPr>
        <w:t>Outbreaks persist in communities where vaccination coverage falls below the threshold required to maintain herd immunity. Consequently, public health professionals play a critical role in measuring, monitoring, and controlling measles incidence to prevent outbreaks and safeguard vulnerable populations. This discussion examines the principal methods and strategies used to assess measles incidence within local communities, track disease trends, implement control measures, and explore the broader determinants influencing the health and wellbeing of affected individuals.</w:t>
      </w:r>
    </w:p>
    <w:p w14:paraId="6D5D2595" w14:textId="1F085C6F" w:rsidR="002F6BB6" w:rsidRPr="002F6BB6" w:rsidRDefault="002F6BB6" w:rsidP="00B95226">
      <w:pPr>
        <w:pStyle w:val="NormalWeb"/>
        <w:rPr>
          <w:rFonts w:ascii="Arial" w:hAnsi="Arial" w:cs="Arial"/>
          <w:color w:val="EE0000"/>
        </w:rPr>
      </w:pPr>
      <w:r w:rsidRPr="002F6BB6">
        <w:rPr>
          <w:rFonts w:ascii="Arial" w:hAnsi="Arial" w:cs="Arial"/>
          <w:color w:val="EE0000"/>
        </w:rPr>
        <w:t>Briefly introduce the case</w:t>
      </w:r>
    </w:p>
    <w:p w14:paraId="5B55E6E6" w14:textId="77777777" w:rsidR="00BA7B48" w:rsidRDefault="00BA7B48" w:rsidP="00B95226">
      <w:pPr>
        <w:pStyle w:val="NormalWeb"/>
        <w:rPr>
          <w:rFonts w:ascii="Arial" w:hAnsi="Arial" w:cs="Arial"/>
          <w:color w:val="000000"/>
        </w:rPr>
      </w:pPr>
    </w:p>
    <w:p w14:paraId="40F0250E" w14:textId="080C83DD" w:rsidR="00BA7B48" w:rsidRDefault="00BA7B48" w:rsidP="00B95226">
      <w:pPr>
        <w:pStyle w:val="NormalWeb"/>
        <w:rPr>
          <w:rFonts w:ascii="Arial" w:hAnsi="Arial" w:cs="Arial"/>
          <w:color w:val="000000"/>
        </w:rPr>
      </w:pPr>
      <w:r>
        <w:rPr>
          <w:rFonts w:ascii="Arial" w:hAnsi="Arial" w:cs="Arial"/>
          <w:color w:val="000000"/>
        </w:rPr>
        <w:t xml:space="preserve">Question 1: Strategy </w:t>
      </w:r>
      <w:r w:rsidR="003C0998">
        <w:rPr>
          <w:rFonts w:ascii="Arial" w:hAnsi="Arial" w:cs="Arial"/>
          <w:color w:val="000000"/>
        </w:rPr>
        <w:t>– government</w:t>
      </w:r>
    </w:p>
    <w:p w14:paraId="1890C07D" w14:textId="2F0E6714" w:rsidR="003C0998" w:rsidRDefault="003C0998" w:rsidP="00B95226">
      <w:pPr>
        <w:pStyle w:val="NormalWeb"/>
        <w:rPr>
          <w:rFonts w:ascii="Arial" w:hAnsi="Arial" w:cs="Arial"/>
          <w:color w:val="EE0000"/>
        </w:rPr>
      </w:pPr>
      <w:r>
        <w:rPr>
          <w:rFonts w:ascii="Arial" w:hAnsi="Arial" w:cs="Arial"/>
          <w:color w:val="EE0000"/>
        </w:rPr>
        <w:t xml:space="preserve">Define </w:t>
      </w:r>
      <w:proofErr w:type="spellStart"/>
      <w:r>
        <w:rPr>
          <w:rFonts w:ascii="Arial" w:hAnsi="Arial" w:cs="Arial"/>
          <w:color w:val="EE0000"/>
        </w:rPr>
        <w:t>thestrategy</w:t>
      </w:r>
      <w:proofErr w:type="spellEnd"/>
    </w:p>
    <w:p w14:paraId="36F27686" w14:textId="0297E628" w:rsidR="003C0998" w:rsidRDefault="003C0998" w:rsidP="00B95226">
      <w:pPr>
        <w:pStyle w:val="NormalWeb"/>
        <w:rPr>
          <w:rFonts w:ascii="Arial" w:hAnsi="Arial" w:cs="Arial"/>
          <w:color w:val="EE0000"/>
        </w:rPr>
      </w:pPr>
      <w:r>
        <w:rPr>
          <w:rFonts w:ascii="Arial" w:hAnsi="Arial" w:cs="Arial"/>
          <w:color w:val="EE0000"/>
        </w:rPr>
        <w:t>Who created it</w:t>
      </w:r>
    </w:p>
    <w:p w14:paraId="001BB57B" w14:textId="253A7EB4" w:rsidR="003C0998" w:rsidRDefault="00B04BFA" w:rsidP="00B95226">
      <w:pPr>
        <w:pStyle w:val="NormalWeb"/>
        <w:rPr>
          <w:rFonts w:ascii="Arial" w:hAnsi="Arial" w:cs="Arial"/>
          <w:color w:val="EE0000"/>
        </w:rPr>
      </w:pPr>
      <w:r>
        <w:rPr>
          <w:rFonts w:ascii="Arial" w:hAnsi="Arial" w:cs="Arial"/>
          <w:color w:val="EE0000"/>
        </w:rPr>
        <w:t>Why it is important</w:t>
      </w:r>
    </w:p>
    <w:p w14:paraId="48DE9723" w14:textId="33D276E2" w:rsidR="00B04BFA" w:rsidRDefault="00B04BFA" w:rsidP="00B95226">
      <w:pPr>
        <w:pStyle w:val="NormalWeb"/>
        <w:rPr>
          <w:rFonts w:ascii="Arial" w:hAnsi="Arial" w:cs="Arial"/>
          <w:color w:val="EE0000"/>
        </w:rPr>
      </w:pPr>
      <w:r>
        <w:rPr>
          <w:rFonts w:ascii="Arial" w:hAnsi="Arial" w:cs="Arial"/>
          <w:color w:val="EE0000"/>
        </w:rPr>
        <w:t>Is it effective</w:t>
      </w:r>
    </w:p>
    <w:p w14:paraId="0628CACB" w14:textId="1D6DB909" w:rsidR="00B04BFA" w:rsidRDefault="00B04BFA" w:rsidP="00B95226">
      <w:pPr>
        <w:pStyle w:val="NormalWeb"/>
        <w:rPr>
          <w:rFonts w:ascii="Arial" w:hAnsi="Arial" w:cs="Arial"/>
          <w:color w:val="EE0000"/>
        </w:rPr>
      </w:pPr>
      <w:r>
        <w:rPr>
          <w:rFonts w:ascii="Arial" w:hAnsi="Arial" w:cs="Arial"/>
          <w:color w:val="EE0000"/>
        </w:rPr>
        <w:t xml:space="preserve">Strengths and limitations of the strategy </w:t>
      </w:r>
    </w:p>
    <w:p w14:paraId="7EF9F89B" w14:textId="77777777" w:rsidR="003F1AED" w:rsidRDefault="003F1AED" w:rsidP="00B95226">
      <w:pPr>
        <w:pStyle w:val="NormalWeb"/>
        <w:rPr>
          <w:rFonts w:ascii="Arial" w:hAnsi="Arial" w:cs="Arial"/>
          <w:color w:val="EE0000"/>
        </w:rPr>
      </w:pPr>
    </w:p>
    <w:p w14:paraId="1EB4382A" w14:textId="77777777" w:rsidR="003F1AED" w:rsidRDefault="003F1AED" w:rsidP="00B95226">
      <w:pPr>
        <w:pStyle w:val="NormalWeb"/>
        <w:rPr>
          <w:rFonts w:ascii="Arial" w:hAnsi="Arial" w:cs="Arial"/>
          <w:color w:val="EE0000"/>
        </w:rPr>
      </w:pPr>
    </w:p>
    <w:p w14:paraId="38A02229" w14:textId="77777777" w:rsidR="003F1AED" w:rsidRDefault="003F1AED" w:rsidP="00B95226">
      <w:pPr>
        <w:pStyle w:val="NormalWeb"/>
        <w:rPr>
          <w:rFonts w:ascii="Arial" w:hAnsi="Arial" w:cs="Arial"/>
          <w:color w:val="EE0000"/>
        </w:rPr>
      </w:pPr>
    </w:p>
    <w:p w14:paraId="4F6CEEE9" w14:textId="77777777" w:rsidR="003F1AED" w:rsidRDefault="003F1AED" w:rsidP="00B95226">
      <w:pPr>
        <w:pStyle w:val="NormalWeb"/>
        <w:rPr>
          <w:rFonts w:ascii="Arial" w:hAnsi="Arial" w:cs="Arial"/>
          <w:color w:val="EE0000"/>
        </w:rPr>
      </w:pPr>
    </w:p>
    <w:p w14:paraId="6EE520A9" w14:textId="77777777" w:rsidR="003F1AED" w:rsidRDefault="003F1AED" w:rsidP="00B95226">
      <w:pPr>
        <w:pStyle w:val="NormalWeb"/>
        <w:rPr>
          <w:rFonts w:ascii="Arial" w:hAnsi="Arial" w:cs="Arial"/>
          <w:color w:val="EE0000"/>
        </w:rPr>
      </w:pPr>
    </w:p>
    <w:p w14:paraId="42F385D0" w14:textId="1553210B" w:rsidR="003F1AED" w:rsidRDefault="003F1AED" w:rsidP="00B95226">
      <w:pPr>
        <w:pStyle w:val="NormalWeb"/>
        <w:rPr>
          <w:rFonts w:ascii="Arial" w:hAnsi="Arial" w:cs="Arial"/>
          <w:color w:val="EE0000"/>
        </w:rPr>
      </w:pPr>
      <w:r>
        <w:rPr>
          <w:rFonts w:ascii="Arial" w:hAnsi="Arial" w:cs="Arial"/>
          <w:color w:val="EE0000"/>
        </w:rPr>
        <w:lastRenderedPageBreak/>
        <w:t>Question 2: Factors</w:t>
      </w:r>
      <w:r w:rsidR="00B45442">
        <w:rPr>
          <w:rFonts w:ascii="Arial" w:hAnsi="Arial" w:cs="Arial"/>
          <w:color w:val="EE0000"/>
        </w:rPr>
        <w:t>- Discuss factors and link them to the case study</w:t>
      </w:r>
    </w:p>
    <w:p w14:paraId="4C6F7A2A" w14:textId="77777777" w:rsidR="00B45442" w:rsidRDefault="00B45442" w:rsidP="00B95226">
      <w:pPr>
        <w:pStyle w:val="NormalWeb"/>
        <w:rPr>
          <w:rFonts w:ascii="Arial" w:hAnsi="Arial" w:cs="Arial"/>
          <w:color w:val="EE0000"/>
        </w:rPr>
      </w:pPr>
    </w:p>
    <w:p w14:paraId="753046E5" w14:textId="7C8EA162" w:rsidR="00DB4DF3" w:rsidRPr="00DB4DF3" w:rsidRDefault="00DB4DF3" w:rsidP="00B95226">
      <w:pPr>
        <w:pStyle w:val="NormalWeb"/>
        <w:rPr>
          <w:rFonts w:ascii="Arial" w:hAnsi="Arial" w:cs="Arial"/>
          <w:b/>
          <w:bCs/>
          <w:color w:val="EE0000"/>
        </w:rPr>
      </w:pPr>
      <w:r w:rsidRPr="00DB4DF3">
        <w:rPr>
          <w:rFonts w:ascii="Arial" w:hAnsi="Arial" w:cs="Arial"/>
          <w:b/>
          <w:bCs/>
          <w:color w:val="EE0000"/>
        </w:rPr>
        <w:t>Question 3</w:t>
      </w:r>
    </w:p>
    <w:p w14:paraId="22FA7C2A" w14:textId="77777777" w:rsidR="00B95226" w:rsidRPr="00B95226" w:rsidRDefault="00B95226" w:rsidP="00B95226">
      <w:pPr>
        <w:pStyle w:val="NormalWeb"/>
        <w:rPr>
          <w:rFonts w:ascii="Arial" w:hAnsi="Arial" w:cs="Arial"/>
          <w:color w:val="000000"/>
          <w:sz w:val="22"/>
          <w:szCs w:val="22"/>
          <w:u w:val="single"/>
        </w:rPr>
      </w:pPr>
      <w:r w:rsidRPr="00B95226">
        <w:rPr>
          <w:rFonts w:ascii="Arial" w:hAnsi="Arial" w:cs="Arial"/>
          <w:b/>
          <w:bCs/>
          <w:color w:val="000000"/>
          <w:u w:val="single"/>
        </w:rPr>
        <w:t>Measuring the Incidence of Measles in the Local Community</w:t>
      </w:r>
    </w:p>
    <w:p w14:paraId="7E7A1B5D" w14:textId="77777777" w:rsidR="00B95226" w:rsidRPr="00B95226" w:rsidRDefault="00B95226" w:rsidP="00B95226">
      <w:pPr>
        <w:spacing w:before="100" w:beforeAutospacing="1" w:after="100" w:afterAutospacing="1" w:line="240" w:lineRule="auto"/>
        <w:rPr>
          <w:rFonts w:ascii="Arial" w:eastAsia="Times New Roman" w:hAnsi="Arial" w:cs="Arial"/>
          <w:color w:val="000000"/>
          <w:kern w:val="0"/>
          <w:lang w:eastAsia="en-GB"/>
          <w14:ligatures w14:val="none"/>
        </w:rPr>
      </w:pPr>
      <w:r w:rsidRPr="00B95226">
        <w:rPr>
          <w:rFonts w:ascii="Arial" w:eastAsia="Times New Roman" w:hAnsi="Arial" w:cs="Arial"/>
          <w:color w:val="000000"/>
          <w:kern w:val="0"/>
          <w:lang w:eastAsia="en-GB"/>
          <w14:ligatures w14:val="none"/>
        </w:rPr>
        <w:t>Disease incidence refers to the number of newly identified cases within a defined population over a specified period. Accurate measurement of measles incidence is essential for detecting outbreaks, guiding resource allocation, and informing targeted public health interventions.</w:t>
      </w:r>
    </w:p>
    <w:p w14:paraId="2D78C343" w14:textId="77777777" w:rsidR="00B95226" w:rsidRPr="00B95226" w:rsidRDefault="00B95226" w:rsidP="00B95226">
      <w:pPr>
        <w:spacing w:before="100" w:beforeAutospacing="1" w:after="100" w:afterAutospacing="1" w:line="240" w:lineRule="auto"/>
        <w:outlineLvl w:val="2"/>
        <w:rPr>
          <w:rFonts w:ascii="Arial" w:eastAsia="Times New Roman" w:hAnsi="Arial" w:cs="Arial"/>
          <w:b/>
          <w:bCs/>
          <w:color w:val="000000"/>
          <w:kern w:val="0"/>
          <w:u w:val="single"/>
          <w:lang w:eastAsia="en-GB"/>
          <w14:ligatures w14:val="none"/>
        </w:rPr>
      </w:pPr>
      <w:r w:rsidRPr="00B95226">
        <w:rPr>
          <w:rFonts w:ascii="Arial" w:eastAsia="Times New Roman" w:hAnsi="Arial" w:cs="Arial"/>
          <w:b/>
          <w:bCs/>
          <w:color w:val="000000"/>
          <w:kern w:val="0"/>
          <w:u w:val="single"/>
          <w:lang w:eastAsia="en-GB"/>
          <w14:ligatures w14:val="none"/>
        </w:rPr>
        <w:t>Disease Surveillance Systems</w:t>
      </w:r>
    </w:p>
    <w:p w14:paraId="0CE79A37" w14:textId="77777777" w:rsidR="00B95226" w:rsidRPr="00B95226" w:rsidRDefault="00B95226" w:rsidP="00B95226">
      <w:pPr>
        <w:spacing w:before="100" w:beforeAutospacing="1" w:after="100" w:afterAutospacing="1" w:line="240" w:lineRule="auto"/>
        <w:rPr>
          <w:rFonts w:ascii="Arial" w:eastAsia="Times New Roman" w:hAnsi="Arial" w:cs="Arial"/>
          <w:color w:val="000000"/>
          <w:kern w:val="0"/>
          <w:lang w:eastAsia="en-GB"/>
          <w14:ligatures w14:val="none"/>
        </w:rPr>
      </w:pPr>
      <w:r w:rsidRPr="00B95226">
        <w:rPr>
          <w:rFonts w:ascii="Arial" w:eastAsia="Times New Roman" w:hAnsi="Arial" w:cs="Arial"/>
          <w:color w:val="000000"/>
          <w:kern w:val="0"/>
          <w:lang w:eastAsia="en-GB"/>
          <w14:ligatures w14:val="none"/>
        </w:rPr>
        <w:t>A central approach to measuring measles incidence is the use of disease surveillance systems. Surveillance involves the systematic collection, analysis, and interpretation of health-related data. Because measles is classified as a notifiable disease in many countries—including the United Kingdom—healthcare professionals are legally required to report both suspected and confirmed cases to public health authorities (UK Health Security Agency, 2024). This mandatory reporting enables timely identification of transmission patterns and supports rapid public health respons</w:t>
      </w:r>
      <w:r>
        <w:rPr>
          <w:rFonts w:ascii="Arial" w:eastAsia="Times New Roman" w:hAnsi="Arial" w:cs="Arial"/>
          <w:color w:val="000000"/>
          <w:kern w:val="0"/>
          <w:lang w:eastAsia="en-GB"/>
          <w14:ligatures w14:val="none"/>
        </w:rPr>
        <w:t>es.</w:t>
      </w:r>
    </w:p>
    <w:p w14:paraId="46FDD9DD" w14:textId="77777777" w:rsidR="00A8377A" w:rsidRPr="00A8377A" w:rsidRDefault="00A8377A" w:rsidP="00A8377A">
      <w:pPr>
        <w:pStyle w:val="NormalWeb"/>
        <w:rPr>
          <w:rStyle w:val="Strong"/>
          <w:rFonts w:ascii="Arial" w:eastAsiaTheme="majorEastAsia" w:hAnsi="Arial" w:cs="Arial"/>
          <w:color w:val="000000"/>
          <w:u w:val="single"/>
        </w:rPr>
      </w:pPr>
      <w:r w:rsidRPr="00A8377A">
        <w:rPr>
          <w:rStyle w:val="Strong"/>
          <w:rFonts w:ascii="Arial" w:eastAsiaTheme="majorEastAsia" w:hAnsi="Arial" w:cs="Arial"/>
          <w:color w:val="000000"/>
          <w:u w:val="single"/>
        </w:rPr>
        <w:t>Laboratory Confirmation</w:t>
      </w:r>
    </w:p>
    <w:p w14:paraId="37BC7ED5" w14:textId="25C5A852" w:rsidR="00A8377A" w:rsidRPr="00A8377A" w:rsidRDefault="00A8377A" w:rsidP="00A8377A">
      <w:pPr>
        <w:pStyle w:val="NormalWeb"/>
        <w:rPr>
          <w:rFonts w:ascii="Arial" w:hAnsi="Arial" w:cs="Arial"/>
          <w:color w:val="000000"/>
        </w:rPr>
      </w:pPr>
      <w:r w:rsidRPr="00A8377A">
        <w:rPr>
          <w:rFonts w:ascii="Arial" w:hAnsi="Arial" w:cs="Arial"/>
          <w:color w:val="000000"/>
        </w:rPr>
        <w:t xml:space="preserve"> Laboratory testing represents a critical component in ensuring the accurate measurement of measles incidence. Suspected cases are confirmed through serological analysis, specifically the detection of measles</w:t>
      </w:r>
      <w:r w:rsidRPr="00A8377A">
        <w:rPr>
          <w:rFonts w:ascii="Arial" w:hAnsi="Arial" w:cs="Arial"/>
          <w:color w:val="000000"/>
        </w:rPr>
        <w:noBreakHyphen/>
        <w:t>specific immunoglobulin M (IgM) antibodies, or through polymerase chain reaction (PCR) testing, which identifies viral RNA. Laboratory confirmation significantly reduces the likelihood of misdiagnosis and enhances the reliability of surveillance data (</w:t>
      </w:r>
      <w:r w:rsidR="00F53C57" w:rsidRPr="00A8377A">
        <w:rPr>
          <w:rFonts w:ascii="Arial" w:hAnsi="Arial" w:cs="Arial"/>
          <w:color w:val="000000"/>
        </w:rPr>
        <w:t>Centres</w:t>
      </w:r>
      <w:r w:rsidRPr="00A8377A">
        <w:rPr>
          <w:rFonts w:ascii="Arial" w:hAnsi="Arial" w:cs="Arial"/>
          <w:color w:val="000000"/>
        </w:rPr>
        <w:t xml:space="preserve"> for Disease Control and Prevention, 2024). This diagnostic accuracy is essential for distinguishing measles from other febrile rash illnesses and for supporting timely public health action.</w:t>
      </w:r>
    </w:p>
    <w:p w14:paraId="0DE124D2" w14:textId="77777777" w:rsidR="00A8377A" w:rsidRPr="00A8377A" w:rsidRDefault="00A8377A" w:rsidP="00A8377A">
      <w:pPr>
        <w:pStyle w:val="NormalWeb"/>
        <w:rPr>
          <w:rFonts w:ascii="Arial" w:hAnsi="Arial" w:cs="Arial"/>
          <w:color w:val="000000"/>
          <w:u w:val="single"/>
        </w:rPr>
      </w:pPr>
      <w:r w:rsidRPr="00A8377A">
        <w:rPr>
          <w:rStyle w:val="Strong"/>
          <w:rFonts w:ascii="Arial" w:eastAsiaTheme="majorEastAsia" w:hAnsi="Arial" w:cs="Arial"/>
          <w:color w:val="000000"/>
          <w:u w:val="single"/>
        </w:rPr>
        <w:t>Population</w:t>
      </w:r>
      <w:r w:rsidRPr="00A8377A">
        <w:rPr>
          <w:rStyle w:val="Strong"/>
          <w:rFonts w:ascii="Arial" w:eastAsiaTheme="majorEastAsia" w:hAnsi="Arial" w:cs="Arial"/>
          <w:color w:val="000000"/>
          <w:u w:val="single"/>
        </w:rPr>
        <w:noBreakHyphen/>
        <w:t>Based Surveys</w:t>
      </w:r>
      <w:r w:rsidRPr="00A8377A">
        <w:rPr>
          <w:rFonts w:ascii="Arial" w:hAnsi="Arial" w:cs="Arial"/>
          <w:color w:val="000000"/>
          <w:u w:val="single"/>
        </w:rPr>
        <w:t xml:space="preserve"> </w:t>
      </w:r>
    </w:p>
    <w:p w14:paraId="555A77F6" w14:textId="3536B594" w:rsidR="00A8377A" w:rsidRDefault="00A8377A" w:rsidP="00A8377A">
      <w:pPr>
        <w:pStyle w:val="NormalWeb"/>
        <w:rPr>
          <w:rFonts w:ascii="Arial" w:hAnsi="Arial" w:cs="Arial"/>
          <w:color w:val="000000"/>
        </w:rPr>
      </w:pPr>
      <w:r w:rsidRPr="00A8377A">
        <w:rPr>
          <w:rFonts w:ascii="Arial" w:hAnsi="Arial" w:cs="Arial"/>
          <w:color w:val="000000"/>
        </w:rPr>
        <w:t>Population</w:t>
      </w:r>
      <w:r w:rsidRPr="00A8377A">
        <w:rPr>
          <w:rFonts w:ascii="Arial" w:hAnsi="Arial" w:cs="Arial"/>
          <w:color w:val="000000"/>
        </w:rPr>
        <w:noBreakHyphen/>
        <w:t>based community health surveys also contribute to understanding measles incidence by assessing vaccination coverage and identifying groups at elevated risk of infection. These surveys provide valuable insights into vaccine uptake, public attitudes toward immunisation, and structural or social barriers that may limit access to healthcare services. The information gathered enables public health authorities to estimate levels of susceptibility within the community and to identify populations that may be more vulnerable to future outbreaks.</w:t>
      </w:r>
    </w:p>
    <w:p w14:paraId="07B19A31" w14:textId="77777777" w:rsidR="001B56B7" w:rsidRPr="008E14AD" w:rsidRDefault="001B56B7" w:rsidP="001B56B7">
      <w:pPr>
        <w:pStyle w:val="NormalWeb"/>
        <w:rPr>
          <w:rFonts w:ascii="Arial" w:hAnsi="Arial" w:cs="Arial"/>
          <w:color w:val="000000"/>
          <w:u w:val="single"/>
        </w:rPr>
      </w:pPr>
      <w:r w:rsidRPr="008E14AD">
        <w:rPr>
          <w:rStyle w:val="Strong"/>
          <w:rFonts w:ascii="Arial" w:eastAsiaTheme="majorEastAsia" w:hAnsi="Arial" w:cs="Arial"/>
          <w:color w:val="000000"/>
          <w:u w:val="single"/>
        </w:rPr>
        <w:t>Epidemiological Data Analysis</w:t>
      </w:r>
      <w:r w:rsidRPr="008E14AD">
        <w:rPr>
          <w:rFonts w:ascii="Arial" w:hAnsi="Arial" w:cs="Arial"/>
          <w:color w:val="000000"/>
          <w:u w:val="single"/>
        </w:rPr>
        <w:t xml:space="preserve"> </w:t>
      </w:r>
    </w:p>
    <w:p w14:paraId="4E96C946" w14:textId="0C21CC91" w:rsidR="001B56B7" w:rsidRPr="001B56B7" w:rsidRDefault="001B56B7" w:rsidP="001B56B7">
      <w:pPr>
        <w:pStyle w:val="NormalWeb"/>
        <w:rPr>
          <w:rFonts w:ascii="Arial" w:hAnsi="Arial" w:cs="Arial"/>
          <w:color w:val="000000"/>
        </w:rPr>
      </w:pPr>
      <w:r w:rsidRPr="001B56B7">
        <w:rPr>
          <w:rFonts w:ascii="Arial" w:hAnsi="Arial" w:cs="Arial"/>
          <w:color w:val="000000"/>
        </w:rPr>
        <w:t xml:space="preserve">Public health professionals undertake detailed epidemiological analysis to calculate measles incidence rates, typically expressed as the number of newly reported cases </w:t>
      </w:r>
      <w:r w:rsidRPr="001B56B7">
        <w:rPr>
          <w:rFonts w:ascii="Arial" w:hAnsi="Arial" w:cs="Arial"/>
          <w:color w:val="000000"/>
        </w:rPr>
        <w:lastRenderedPageBreak/>
        <w:t>per 100,000 individuals within a defined population and time period. Analysing incidence across different age groups, geographic areas, and socioeconomic categories enables authorities to identify emerging patterns, detect disparities, and pinpoint populations at heightened risk of infection. Such analysis supports evidence</w:t>
      </w:r>
      <w:r w:rsidRPr="001B56B7">
        <w:rPr>
          <w:rFonts w:ascii="Arial" w:hAnsi="Arial" w:cs="Arial"/>
          <w:color w:val="000000"/>
        </w:rPr>
        <w:noBreakHyphen/>
        <w:t>based decision</w:t>
      </w:r>
      <w:r w:rsidRPr="001B56B7">
        <w:rPr>
          <w:rFonts w:ascii="Arial" w:hAnsi="Arial" w:cs="Arial"/>
          <w:color w:val="000000"/>
        </w:rPr>
        <w:noBreakHyphen/>
        <w:t>making and informs targeted intervention strategies.</w:t>
      </w:r>
    </w:p>
    <w:p w14:paraId="782E5518" w14:textId="77777777" w:rsidR="001B56B7" w:rsidRPr="008E14AD" w:rsidRDefault="001B56B7" w:rsidP="001B56B7">
      <w:pPr>
        <w:pStyle w:val="NormalWeb"/>
        <w:rPr>
          <w:rStyle w:val="Strong"/>
          <w:rFonts w:ascii="Arial" w:eastAsiaTheme="majorEastAsia" w:hAnsi="Arial" w:cs="Arial"/>
          <w:color w:val="000000"/>
          <w:u w:val="single"/>
        </w:rPr>
      </w:pPr>
      <w:r w:rsidRPr="008E14AD">
        <w:rPr>
          <w:rStyle w:val="Strong"/>
          <w:rFonts w:ascii="Arial" w:eastAsiaTheme="majorEastAsia" w:hAnsi="Arial" w:cs="Arial"/>
          <w:color w:val="000000"/>
          <w:u w:val="single"/>
        </w:rPr>
        <w:t>School and Community Reporting</w:t>
      </w:r>
    </w:p>
    <w:p w14:paraId="09B46DCE" w14:textId="4374F02A" w:rsidR="001B56B7" w:rsidRDefault="001B56B7" w:rsidP="001B56B7">
      <w:pPr>
        <w:pStyle w:val="NormalWeb"/>
        <w:rPr>
          <w:rFonts w:ascii="Arial" w:hAnsi="Arial" w:cs="Arial"/>
          <w:color w:val="000000"/>
        </w:rPr>
      </w:pPr>
      <w:r w:rsidRPr="001B56B7">
        <w:rPr>
          <w:rFonts w:ascii="Arial" w:hAnsi="Arial" w:cs="Arial"/>
          <w:color w:val="000000"/>
        </w:rPr>
        <w:t xml:space="preserve"> Schools, childcare settings, and community organisations also play an important role in supporting the measurement of measles incidence by reporting suspected cases or clusters of illness. Children are particularly susceptible to measles, and educational environments often facilitate rapid transmission due to close contact and high population density. Monitoring patterns of absenteeism and illness reports within these settings can provide an early warning of rising incidence and potential outbreaks, prompting timely public health investigation and response.</w:t>
      </w:r>
    </w:p>
    <w:p w14:paraId="7A4F15AB" w14:textId="77777777" w:rsidR="00B53E13" w:rsidRDefault="00B53E13" w:rsidP="001B56B7">
      <w:pPr>
        <w:pStyle w:val="NormalWeb"/>
        <w:rPr>
          <w:rFonts w:ascii="Arial" w:hAnsi="Arial" w:cs="Arial"/>
          <w:color w:val="000000"/>
        </w:rPr>
      </w:pPr>
    </w:p>
    <w:p w14:paraId="46636264" w14:textId="6ADCCBD3" w:rsidR="00B53E13" w:rsidRDefault="00B53E13" w:rsidP="001B56B7">
      <w:pPr>
        <w:pStyle w:val="NormalWeb"/>
        <w:rPr>
          <w:rFonts w:ascii="Arial" w:hAnsi="Arial" w:cs="Arial"/>
          <w:color w:val="EE0000"/>
        </w:rPr>
      </w:pPr>
      <w:r>
        <w:rPr>
          <w:rFonts w:ascii="Arial" w:hAnsi="Arial" w:cs="Arial"/>
          <w:color w:val="EE0000"/>
        </w:rPr>
        <w:t xml:space="preserve">Discuss the </w:t>
      </w:r>
      <w:proofErr w:type="spellStart"/>
      <w:r w:rsidR="009C36F4">
        <w:rPr>
          <w:rFonts w:ascii="Arial" w:hAnsi="Arial" w:cs="Arial"/>
          <w:color w:val="EE0000"/>
        </w:rPr>
        <w:t>morbility</w:t>
      </w:r>
      <w:proofErr w:type="spellEnd"/>
      <w:r w:rsidR="009C36F4">
        <w:rPr>
          <w:rFonts w:ascii="Arial" w:hAnsi="Arial" w:cs="Arial"/>
          <w:color w:val="EE0000"/>
        </w:rPr>
        <w:t xml:space="preserve"> and mod…….</w:t>
      </w:r>
    </w:p>
    <w:p w14:paraId="76793EAB" w14:textId="77777777" w:rsidR="009C36F4" w:rsidRPr="00B53E13" w:rsidRDefault="009C36F4" w:rsidP="001B56B7">
      <w:pPr>
        <w:pStyle w:val="NormalWeb"/>
        <w:rPr>
          <w:rFonts w:ascii="Arial" w:hAnsi="Arial" w:cs="Arial"/>
          <w:color w:val="EE0000"/>
        </w:rPr>
      </w:pPr>
    </w:p>
    <w:p w14:paraId="2EE0519F" w14:textId="77777777" w:rsidR="00780DB9" w:rsidRPr="00780DB9"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Monitoring the Incidence of Measles in the Local Community</w:t>
      </w:r>
      <w:r w:rsidRPr="008E14AD">
        <w:rPr>
          <w:rFonts w:ascii="Arial" w:eastAsia="Times New Roman" w:hAnsi="Arial" w:cs="Arial"/>
          <w:color w:val="000000"/>
          <w:kern w:val="0"/>
          <w:u w:val="single"/>
          <w:lang w:eastAsia="en-GB"/>
          <w14:ligatures w14:val="none"/>
        </w:rPr>
        <w:t xml:space="preserve"> </w:t>
      </w:r>
    </w:p>
    <w:p w14:paraId="0D43EF3D" w14:textId="37A7792C"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Monitoring refers to the continuous observation and assessment of disease trends over time. Effective monitoring enables public health authorities to detect outbreaks promptly and evaluate the impact of ongoing interventions.</w:t>
      </w:r>
    </w:p>
    <w:p w14:paraId="3E85007C" w14:textId="77777777" w:rsidR="00780DB9" w:rsidRPr="00780DB9"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Continuous Surveillance</w:t>
      </w:r>
      <w:r w:rsidRPr="008E14AD">
        <w:rPr>
          <w:rFonts w:ascii="Arial" w:eastAsia="Times New Roman" w:hAnsi="Arial" w:cs="Arial"/>
          <w:color w:val="000000"/>
          <w:kern w:val="0"/>
          <w:u w:val="single"/>
          <w:lang w:eastAsia="en-GB"/>
          <w14:ligatures w14:val="none"/>
        </w:rPr>
        <w:t xml:space="preserve"> </w:t>
      </w:r>
    </w:p>
    <w:p w14:paraId="023DAEFC" w14:textId="6EA802EC"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Ongoing surveillance remains central to measles monitoring. Public health agencies routinely collect, analyse and interpret epidemiological data to identify fluctuations in disease incidence. Such trends may reveal seasonal variations, emerging outbreaks or reductions in vaccination coverage. For instance, a sudden rise in reported cases within a specific locality may indicate active transmission requiring immediate investigation. Continuous surveillance therefore supports rapid public health responses aimed at preventing widespread outbreaks.</w:t>
      </w:r>
    </w:p>
    <w:p w14:paraId="136EB964" w14:textId="38A3F62D" w:rsidR="008E14AD" w:rsidRPr="008E14AD" w:rsidRDefault="008E14AD" w:rsidP="008E14AD">
      <w:pPr>
        <w:spacing w:before="100" w:beforeAutospacing="1" w:after="100" w:afterAutospacing="1" w:line="240" w:lineRule="auto"/>
        <w:rPr>
          <w:rFonts w:ascii="Arial" w:eastAsia="Times New Roman" w:hAnsi="Arial" w:cs="Arial"/>
          <w:b/>
          <w:bCs/>
          <w:color w:val="000000"/>
          <w:kern w:val="0"/>
          <w:lang w:eastAsia="en-GB"/>
          <w14:ligatures w14:val="none"/>
        </w:rPr>
      </w:pPr>
      <w:r w:rsidRPr="008E14AD">
        <w:rPr>
          <w:rFonts w:ascii="Arial" w:eastAsia="Times New Roman" w:hAnsi="Arial" w:cs="Arial"/>
          <w:color w:val="000000"/>
          <w:kern w:val="0"/>
          <w:lang w:eastAsia="en-GB"/>
          <w14:ligatures w14:val="none"/>
        </w:rPr>
        <w:t>Contact Tracing Contact tracing is a key strategy for monitoring measles transmission. Public health teams identify individuals who have been exposed to confirmed cases and assess their vaccination status and susceptibility. Exposed contacts are monitored for symptoms throughout the incubation period, typically seven to fourteen days (NHS, 2024). Effective contact tracing helps authorities understand transmission pathways, identify clusters of infection and implement timely control measures.</w:t>
      </w:r>
    </w:p>
    <w:p w14:paraId="6549C1BA" w14:textId="77777777" w:rsidR="00406A7F"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b/>
          <w:bCs/>
          <w:color w:val="000000"/>
          <w:kern w:val="0"/>
          <w:lang w:eastAsia="en-GB"/>
          <w14:ligatures w14:val="none"/>
        </w:rPr>
        <w:t>Vaccination Coverage Monitoring</w:t>
      </w:r>
      <w:r w:rsidRPr="008E14AD">
        <w:rPr>
          <w:rFonts w:ascii="Arial" w:eastAsia="Times New Roman" w:hAnsi="Arial" w:cs="Arial"/>
          <w:color w:val="000000"/>
          <w:kern w:val="0"/>
          <w:lang w:eastAsia="en-GB"/>
          <w14:ligatures w14:val="none"/>
        </w:rPr>
        <w:t xml:space="preserve"> </w:t>
      </w:r>
    </w:p>
    <w:p w14:paraId="19CADB85" w14:textId="56891DD1"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 xml:space="preserve">Monitoring vaccination coverage is essential, as high uptake is required to maintain herd immunity. Public health agencies analyse immunisation records to identify </w:t>
      </w:r>
      <w:r w:rsidRPr="008E14AD">
        <w:rPr>
          <w:rFonts w:ascii="Arial" w:eastAsia="Times New Roman" w:hAnsi="Arial" w:cs="Arial"/>
          <w:color w:val="000000"/>
          <w:kern w:val="0"/>
          <w:lang w:eastAsia="en-GB"/>
          <w14:ligatures w14:val="none"/>
        </w:rPr>
        <w:lastRenderedPageBreak/>
        <w:t>communities with low vaccine uptake. Such areas are more vulnerable to outbreaks and may require targeted interventions. The WHO recommends that at least 95% of the population receive two doses of a measles</w:t>
      </w:r>
      <w:r w:rsidRPr="008E14AD">
        <w:rPr>
          <w:rFonts w:ascii="Arial" w:eastAsia="Times New Roman" w:hAnsi="Arial" w:cs="Arial"/>
          <w:color w:val="000000"/>
          <w:kern w:val="0"/>
          <w:lang w:eastAsia="en-GB"/>
          <w14:ligatures w14:val="none"/>
        </w:rPr>
        <w:noBreakHyphen/>
        <w:t>containing vaccine to prevent sustained transmission (WHO, 2024).</w:t>
      </w:r>
    </w:p>
    <w:p w14:paraId="7EF9BDD8" w14:textId="77777777" w:rsidR="00406A7F"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b/>
          <w:bCs/>
          <w:color w:val="000000"/>
          <w:kern w:val="0"/>
          <w:lang w:eastAsia="en-GB"/>
          <w14:ligatures w14:val="none"/>
        </w:rPr>
        <w:t>Outbreak Investigation</w:t>
      </w:r>
      <w:r w:rsidRPr="008E14AD">
        <w:rPr>
          <w:rFonts w:ascii="Arial" w:eastAsia="Times New Roman" w:hAnsi="Arial" w:cs="Arial"/>
          <w:color w:val="000000"/>
          <w:kern w:val="0"/>
          <w:lang w:eastAsia="en-GB"/>
          <w14:ligatures w14:val="none"/>
        </w:rPr>
        <w:t xml:space="preserve"> </w:t>
      </w:r>
    </w:p>
    <w:p w14:paraId="16542B8D" w14:textId="5999DE80"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When multiple cases occur within a short timeframe, outbreak investigations are initiated. Public health teams gather information on transmission routes, affected populations and potential sources of infection. Findings from these investigations contribute to ongoing monitoring and inform the development of effective control strategies.</w:t>
      </w:r>
    </w:p>
    <w:p w14:paraId="6376F615" w14:textId="77777777" w:rsidR="00406A7F"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b/>
          <w:bCs/>
          <w:color w:val="000000"/>
          <w:kern w:val="0"/>
          <w:lang w:eastAsia="en-GB"/>
          <w14:ligatures w14:val="none"/>
        </w:rPr>
        <w:t>Digital Health Technologies</w:t>
      </w:r>
      <w:r w:rsidRPr="008E14AD">
        <w:rPr>
          <w:rFonts w:ascii="Arial" w:eastAsia="Times New Roman" w:hAnsi="Arial" w:cs="Arial"/>
          <w:color w:val="000000"/>
          <w:kern w:val="0"/>
          <w:lang w:eastAsia="en-GB"/>
          <w14:ligatures w14:val="none"/>
        </w:rPr>
        <w:t xml:space="preserve"> </w:t>
      </w:r>
    </w:p>
    <w:p w14:paraId="36177679" w14:textId="6AA8A962"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Advances in digital health have enhanced the capacity for real</w:t>
      </w:r>
      <w:r w:rsidRPr="008E14AD">
        <w:rPr>
          <w:rFonts w:ascii="Arial" w:eastAsia="Times New Roman" w:hAnsi="Arial" w:cs="Arial"/>
          <w:color w:val="000000"/>
          <w:kern w:val="0"/>
          <w:lang w:eastAsia="en-GB"/>
          <w14:ligatures w14:val="none"/>
        </w:rPr>
        <w:noBreakHyphen/>
        <w:t>time monitoring. Electronic health records, disease notification systems and public health databases facilitate rapid reporting and analysis of measles cases. Geographic Information Systems (GIS) enable spatial mapping of cases, helping identify areas experiencing increased transmission. These technologies support timely decision</w:t>
      </w:r>
      <w:r w:rsidRPr="008E14AD">
        <w:rPr>
          <w:rFonts w:ascii="Arial" w:eastAsia="Times New Roman" w:hAnsi="Arial" w:cs="Arial"/>
          <w:color w:val="000000"/>
          <w:kern w:val="0"/>
          <w:lang w:eastAsia="en-GB"/>
          <w14:ligatures w14:val="none"/>
        </w:rPr>
        <w:noBreakHyphen/>
        <w:t>making and strengthen evidence</w:t>
      </w:r>
      <w:r w:rsidRPr="008E14AD">
        <w:rPr>
          <w:rFonts w:ascii="Arial" w:eastAsia="Times New Roman" w:hAnsi="Arial" w:cs="Arial"/>
          <w:color w:val="000000"/>
          <w:kern w:val="0"/>
          <w:lang w:eastAsia="en-GB"/>
          <w14:ligatures w14:val="none"/>
        </w:rPr>
        <w:noBreakHyphen/>
        <w:t>based public health practice.</w:t>
      </w:r>
    </w:p>
    <w:p w14:paraId="3D28C6EA" w14:textId="77777777" w:rsidR="008E14AD" w:rsidRPr="008E14AD" w:rsidRDefault="008E14AD" w:rsidP="008E14AD">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8E14AD">
        <w:rPr>
          <w:rFonts w:ascii="Arial" w:eastAsia="Times New Roman" w:hAnsi="Arial" w:cs="Arial"/>
          <w:b/>
          <w:bCs/>
          <w:color w:val="000000"/>
          <w:kern w:val="0"/>
          <w:lang w:eastAsia="en-GB"/>
          <w14:ligatures w14:val="none"/>
        </w:rPr>
        <w:t>Controlling the Incidence of Measles in the Local Community</w:t>
      </w:r>
    </w:p>
    <w:p w14:paraId="6063D95F" w14:textId="77777777"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Effective measles control requires a comprehensive public health approach centred on prevention, rapid response and community engagement.</w:t>
      </w:r>
    </w:p>
    <w:p w14:paraId="7196ED99" w14:textId="77777777"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Vaccination Programmes Vaccination remains the most effective strategy for controlling measles. The MMR vaccine provides high levels of protection and has substantially reduced global disease burden. Ensuring widespread uptake is therefore a key public health priority. Routine childhood immunisation programmes should be complemented by catch</w:t>
      </w:r>
      <w:r w:rsidRPr="008E14AD">
        <w:rPr>
          <w:rFonts w:ascii="Arial" w:eastAsia="Times New Roman" w:hAnsi="Arial" w:cs="Arial"/>
          <w:color w:val="000000"/>
          <w:kern w:val="0"/>
          <w:lang w:eastAsia="en-GB"/>
          <w14:ligatures w14:val="none"/>
        </w:rPr>
        <w:noBreakHyphen/>
        <w:t>up campaigns for individuals who have missed scheduled doses. Community outreach initiatives can address barriers to vaccination and improve access to immunisation services.</w:t>
      </w:r>
    </w:p>
    <w:p w14:paraId="479C6172" w14:textId="77777777" w:rsidR="00406A7F"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b/>
          <w:bCs/>
          <w:color w:val="000000"/>
          <w:kern w:val="0"/>
          <w:lang w:eastAsia="en-GB"/>
          <w14:ligatures w14:val="none"/>
        </w:rPr>
        <w:t>Health Education and Promotion</w:t>
      </w:r>
      <w:r w:rsidRPr="008E14AD">
        <w:rPr>
          <w:rFonts w:ascii="Arial" w:eastAsia="Times New Roman" w:hAnsi="Arial" w:cs="Arial"/>
          <w:color w:val="000000"/>
          <w:kern w:val="0"/>
          <w:lang w:eastAsia="en-GB"/>
          <w14:ligatures w14:val="none"/>
        </w:rPr>
        <w:t xml:space="preserve"> </w:t>
      </w:r>
    </w:p>
    <w:p w14:paraId="4625E97D" w14:textId="65CB6988"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Public education is vital for disease control. Health promotion campaigns can increase awareness of measles symptoms, transmission routes and the benefits of vaccination. Providing accurate information helps counter misinformation and vaccine hesitancy, both of which have contributed to recent outbreaks. Educational initiatives should target parents, schools, community leaders and healthcare professionals to support informed decision</w:t>
      </w:r>
      <w:r w:rsidRPr="008E14AD">
        <w:rPr>
          <w:rFonts w:ascii="Arial" w:eastAsia="Times New Roman" w:hAnsi="Arial" w:cs="Arial"/>
          <w:color w:val="000000"/>
          <w:kern w:val="0"/>
          <w:lang w:eastAsia="en-GB"/>
          <w14:ligatures w14:val="none"/>
        </w:rPr>
        <w:noBreakHyphen/>
        <w:t>making.</w:t>
      </w:r>
    </w:p>
    <w:p w14:paraId="500C71FA"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Isolation and Infection Control</w:t>
      </w:r>
      <w:r w:rsidRPr="008E14AD">
        <w:rPr>
          <w:rFonts w:ascii="Arial" w:eastAsia="Times New Roman" w:hAnsi="Arial" w:cs="Arial"/>
          <w:color w:val="000000"/>
          <w:kern w:val="0"/>
          <w:u w:val="single"/>
          <w:lang w:eastAsia="en-GB"/>
          <w14:ligatures w14:val="none"/>
        </w:rPr>
        <w:t xml:space="preserve"> </w:t>
      </w:r>
    </w:p>
    <w:p w14:paraId="377B3142" w14:textId="0396ECF0" w:rsid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 xml:space="preserve">Individuals diagnosed with measles should be isolated to prevent further transmission. Healthcare facilities must implement robust infection control measures, including the use of personal protective equipment and isolation rooms when </w:t>
      </w:r>
      <w:r w:rsidRPr="008E14AD">
        <w:rPr>
          <w:rFonts w:ascii="Arial" w:eastAsia="Times New Roman" w:hAnsi="Arial" w:cs="Arial"/>
          <w:color w:val="000000"/>
          <w:kern w:val="0"/>
          <w:lang w:eastAsia="en-GB"/>
          <w14:ligatures w14:val="none"/>
        </w:rPr>
        <w:lastRenderedPageBreak/>
        <w:t>appropriate. Excluding infected children from schools and childcare settings during the infectious period can significantly reduce community spread.</w:t>
      </w:r>
    </w:p>
    <w:p w14:paraId="6FAEF5DC" w14:textId="5FBE3034" w:rsidR="006B54E0" w:rsidRDefault="00EC1D47" w:rsidP="008E14AD">
      <w:pPr>
        <w:spacing w:before="100" w:beforeAutospacing="1" w:after="100" w:afterAutospacing="1" w:line="240" w:lineRule="auto"/>
        <w:rPr>
          <w:rFonts w:ascii="Arial" w:eastAsia="Times New Roman" w:hAnsi="Arial" w:cs="Arial"/>
          <w:color w:val="EE0000"/>
          <w:kern w:val="0"/>
          <w:lang w:eastAsia="en-GB"/>
          <w14:ligatures w14:val="none"/>
        </w:rPr>
      </w:pPr>
      <w:r>
        <w:rPr>
          <w:rFonts w:ascii="Arial" w:eastAsia="Times New Roman" w:hAnsi="Arial" w:cs="Arial"/>
          <w:color w:val="EE0000"/>
          <w:kern w:val="0"/>
          <w:lang w:eastAsia="en-GB"/>
          <w14:ligatures w14:val="none"/>
        </w:rPr>
        <w:t>Link this to the case study- how they can monitor the person in your case</w:t>
      </w:r>
    </w:p>
    <w:p w14:paraId="676AFF9D" w14:textId="77777777" w:rsidR="00EC1D47" w:rsidRPr="008E14AD" w:rsidRDefault="00EC1D47" w:rsidP="008E14AD">
      <w:pPr>
        <w:spacing w:before="100" w:beforeAutospacing="1" w:after="100" w:afterAutospacing="1" w:line="240" w:lineRule="auto"/>
        <w:rPr>
          <w:rFonts w:ascii="Arial" w:eastAsia="Times New Roman" w:hAnsi="Arial" w:cs="Arial"/>
          <w:color w:val="EE0000"/>
          <w:kern w:val="0"/>
          <w:lang w:eastAsia="en-GB"/>
          <w14:ligatures w14:val="none"/>
        </w:rPr>
      </w:pPr>
    </w:p>
    <w:p w14:paraId="4DBB1FD7"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Contact Management and Post</w:t>
      </w:r>
      <w:r w:rsidRPr="008E14AD">
        <w:rPr>
          <w:rFonts w:ascii="Arial" w:eastAsia="Times New Roman" w:hAnsi="Arial" w:cs="Arial"/>
          <w:b/>
          <w:bCs/>
          <w:color w:val="000000"/>
          <w:kern w:val="0"/>
          <w:u w:val="single"/>
          <w:lang w:eastAsia="en-GB"/>
          <w14:ligatures w14:val="none"/>
        </w:rPr>
        <w:noBreakHyphen/>
        <w:t>Exposure Prophylaxis</w:t>
      </w:r>
      <w:r w:rsidRPr="008E14AD">
        <w:rPr>
          <w:rFonts w:ascii="Arial" w:eastAsia="Times New Roman" w:hAnsi="Arial" w:cs="Arial"/>
          <w:color w:val="000000"/>
          <w:kern w:val="0"/>
          <w:u w:val="single"/>
          <w:lang w:eastAsia="en-GB"/>
          <w14:ligatures w14:val="none"/>
        </w:rPr>
        <w:t xml:space="preserve"> </w:t>
      </w:r>
    </w:p>
    <w:p w14:paraId="0C1D8A72" w14:textId="087D65E8"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Public health authorities may provide post</w:t>
      </w:r>
      <w:r w:rsidRPr="008E14AD">
        <w:rPr>
          <w:rFonts w:ascii="Arial" w:eastAsia="Times New Roman" w:hAnsi="Arial" w:cs="Arial"/>
          <w:color w:val="000000"/>
          <w:kern w:val="0"/>
          <w:lang w:eastAsia="en-GB"/>
          <w14:ligatures w14:val="none"/>
        </w:rPr>
        <w:noBreakHyphen/>
        <w:t>exposure prophylaxis to susceptible contacts. Administration of the MMR vaccine within 72 hours of exposure, or immunoglobulin within six days, can reduce the likelihood or severity of infection (CDC, 2024). These interventions are particularly important for vulnerable groups such as infants and immunocompromised individuals.</w:t>
      </w:r>
    </w:p>
    <w:p w14:paraId="7AE18E34"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Policy and Legislative Measures</w:t>
      </w:r>
      <w:r w:rsidRPr="008E14AD">
        <w:rPr>
          <w:rFonts w:ascii="Arial" w:eastAsia="Times New Roman" w:hAnsi="Arial" w:cs="Arial"/>
          <w:color w:val="000000"/>
          <w:kern w:val="0"/>
          <w:u w:val="single"/>
          <w:lang w:eastAsia="en-GB"/>
          <w14:ligatures w14:val="none"/>
        </w:rPr>
        <w:t xml:space="preserve"> </w:t>
      </w:r>
    </w:p>
    <w:p w14:paraId="6454E63E" w14:textId="1EC15B8A"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Government policies support measles control through vaccination requirements, surveillance mandates and outbreak response protocols. Some countries enforce vaccination as a prerequisite for school attendance to improve coverage and reduce transmission. Strong public health policy frameworks contribute to sustained disease control and support long</w:t>
      </w:r>
      <w:r w:rsidRPr="008E14AD">
        <w:rPr>
          <w:rFonts w:ascii="Arial" w:eastAsia="Times New Roman" w:hAnsi="Arial" w:cs="Arial"/>
          <w:color w:val="000000"/>
          <w:kern w:val="0"/>
          <w:lang w:eastAsia="en-GB"/>
          <w14:ligatures w14:val="none"/>
        </w:rPr>
        <w:noBreakHyphen/>
        <w:t>term elimination goals.</w:t>
      </w:r>
    </w:p>
    <w:p w14:paraId="2811C685" w14:textId="77777777" w:rsidR="008E14AD" w:rsidRPr="008E14AD" w:rsidRDefault="008E14AD" w:rsidP="008E14AD">
      <w:pPr>
        <w:spacing w:before="100" w:beforeAutospacing="1" w:after="100" w:afterAutospacing="1" w:line="240" w:lineRule="auto"/>
        <w:outlineLvl w:val="2"/>
        <w:rPr>
          <w:rFonts w:ascii="Arial" w:eastAsia="Times New Roman" w:hAnsi="Arial" w:cs="Arial"/>
          <w:b/>
          <w:bCs/>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Factors Influencing the Health and Wellbeing of Individuals Affected by Measles</w:t>
      </w:r>
    </w:p>
    <w:p w14:paraId="4CF9A8AB" w14:textId="77777777"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Measles affects individuals across multiple dimensions—physical, psychological, social, economic and cultural. Understanding these influences supports holistic public health responses.</w:t>
      </w:r>
    </w:p>
    <w:p w14:paraId="67A0F9E1" w14:textId="77777777" w:rsidR="00C152B2" w:rsidRPr="009D0813"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 xml:space="preserve">Physical Health </w:t>
      </w:r>
      <w:r w:rsidR="00C152B2" w:rsidRPr="009D0813">
        <w:rPr>
          <w:rFonts w:ascii="Arial" w:eastAsia="Times New Roman" w:hAnsi="Arial" w:cs="Arial"/>
          <w:b/>
          <w:bCs/>
          <w:color w:val="000000"/>
          <w:kern w:val="0"/>
          <w:u w:val="single"/>
          <w:lang w:eastAsia="en-GB"/>
          <w14:ligatures w14:val="none"/>
        </w:rPr>
        <w:t>Impacts</w:t>
      </w:r>
      <w:r w:rsidR="00C152B2" w:rsidRPr="009D0813">
        <w:rPr>
          <w:rFonts w:ascii="Arial" w:eastAsia="Times New Roman" w:hAnsi="Arial" w:cs="Arial"/>
          <w:color w:val="000000"/>
          <w:kern w:val="0"/>
          <w:u w:val="single"/>
          <w:lang w:eastAsia="en-GB"/>
          <w14:ligatures w14:val="none"/>
        </w:rPr>
        <w:t xml:space="preserve"> </w:t>
      </w:r>
    </w:p>
    <w:p w14:paraId="20C8857C" w14:textId="22490DBE" w:rsidR="008E14AD" w:rsidRPr="008E14AD" w:rsidRDefault="00C152B2"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C152B2">
        <w:rPr>
          <w:rFonts w:ascii="Arial" w:eastAsia="Times New Roman" w:hAnsi="Arial" w:cs="Arial"/>
          <w:color w:val="000000"/>
          <w:kern w:val="0"/>
          <w:lang w:eastAsia="en-GB"/>
          <w14:ligatures w14:val="none"/>
        </w:rPr>
        <w:t>Measles</w:t>
      </w:r>
      <w:r w:rsidR="008E14AD" w:rsidRPr="008E14AD">
        <w:rPr>
          <w:rFonts w:ascii="Arial" w:eastAsia="Times New Roman" w:hAnsi="Arial" w:cs="Arial"/>
          <w:color w:val="000000"/>
          <w:kern w:val="0"/>
          <w:lang w:eastAsia="en-GB"/>
          <w14:ligatures w14:val="none"/>
        </w:rPr>
        <w:t xml:space="preserve"> typically presents with fever, cough, coryza, conjunctivitis and a characteristic rash. While many individuals recover fully, complications can occur. Pneumonia is a leading cause of measles</w:t>
      </w:r>
      <w:r w:rsidR="008E14AD" w:rsidRPr="008E14AD">
        <w:rPr>
          <w:rFonts w:ascii="Arial" w:eastAsia="Times New Roman" w:hAnsi="Arial" w:cs="Arial"/>
          <w:color w:val="000000"/>
          <w:kern w:val="0"/>
          <w:lang w:eastAsia="en-GB"/>
          <w14:ligatures w14:val="none"/>
        </w:rPr>
        <w:noBreakHyphen/>
        <w:t>related mortality, particularly among young children. Other complications include encephalitis, hearing loss and severe diarrhoea (WHO, 2024). Individuals with weakened immune systems face a heightened risk of severe disease and long</w:t>
      </w:r>
      <w:r w:rsidR="008E14AD" w:rsidRPr="008E14AD">
        <w:rPr>
          <w:rFonts w:ascii="Arial" w:eastAsia="Times New Roman" w:hAnsi="Arial" w:cs="Arial"/>
          <w:color w:val="000000"/>
          <w:kern w:val="0"/>
          <w:lang w:eastAsia="en-GB"/>
          <w14:ligatures w14:val="none"/>
        </w:rPr>
        <w:noBreakHyphen/>
        <w:t>term consequences.</w:t>
      </w:r>
    </w:p>
    <w:p w14:paraId="18071BDD" w14:textId="77777777" w:rsidR="00406A7F" w:rsidRPr="00406A7F" w:rsidRDefault="008E14AD" w:rsidP="008E14AD">
      <w:pPr>
        <w:spacing w:before="100" w:beforeAutospacing="1" w:after="100" w:afterAutospacing="1" w:line="240" w:lineRule="auto"/>
        <w:rPr>
          <w:rFonts w:ascii="Arial" w:eastAsia="Times New Roman" w:hAnsi="Arial" w:cs="Arial"/>
          <w:b/>
          <w:bCs/>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Age and Vulnerability</w:t>
      </w:r>
    </w:p>
    <w:p w14:paraId="47B5A5F6" w14:textId="0DE151AD"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 xml:space="preserve"> Infants, pregnant women and immunocompromised individuals are especially vulnerable to adverse outcomes. Young children may experience nutritional deficiencies during illness, while pregnant women face increased risks of miscarriage, premature birth and maternal complications. These vulnerabilities highlight the need for targeted protection of high</w:t>
      </w:r>
      <w:r w:rsidRPr="008E14AD">
        <w:rPr>
          <w:rFonts w:ascii="Arial" w:eastAsia="Times New Roman" w:hAnsi="Arial" w:cs="Arial"/>
          <w:color w:val="000000"/>
          <w:kern w:val="0"/>
          <w:lang w:eastAsia="en-GB"/>
          <w14:ligatures w14:val="none"/>
        </w:rPr>
        <w:noBreakHyphen/>
        <w:t>risk groups.</w:t>
      </w:r>
    </w:p>
    <w:p w14:paraId="152F6352"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Psychological Wellbeing</w:t>
      </w:r>
      <w:r w:rsidRPr="008E14AD">
        <w:rPr>
          <w:rFonts w:ascii="Arial" w:eastAsia="Times New Roman" w:hAnsi="Arial" w:cs="Arial"/>
          <w:color w:val="000000"/>
          <w:kern w:val="0"/>
          <w:u w:val="single"/>
          <w:lang w:eastAsia="en-GB"/>
          <w14:ligatures w14:val="none"/>
        </w:rPr>
        <w:t xml:space="preserve"> </w:t>
      </w:r>
    </w:p>
    <w:p w14:paraId="1EACA5E3" w14:textId="4894F2B2"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lastRenderedPageBreak/>
        <w:t>A measles diagnosis can generate anxiety and stress for affected individuals and their families. Concerns about complications, hospitalisation and transmission to vulnerable relatives may negatively impact mental wellbeing. Parents of infected children may experience significant emotional distress, particularly when complications arise. Clear communication and supportive public health guidance can help alleviate anxiety.</w:t>
      </w:r>
    </w:p>
    <w:p w14:paraId="252DB1AB"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Social Factors</w:t>
      </w:r>
      <w:r w:rsidRPr="008E14AD">
        <w:rPr>
          <w:rFonts w:ascii="Arial" w:eastAsia="Times New Roman" w:hAnsi="Arial" w:cs="Arial"/>
          <w:color w:val="000000"/>
          <w:kern w:val="0"/>
          <w:u w:val="single"/>
          <w:lang w:eastAsia="en-GB"/>
          <w14:ligatures w14:val="none"/>
        </w:rPr>
        <w:t xml:space="preserve"> </w:t>
      </w:r>
    </w:p>
    <w:p w14:paraId="6064AEEF" w14:textId="726EE21C" w:rsidR="008E14AD" w:rsidRPr="008E14AD" w:rsidRDefault="008E14AD" w:rsidP="008E14AD">
      <w:pPr>
        <w:spacing w:before="100" w:beforeAutospacing="1" w:after="100" w:afterAutospacing="1" w:line="240" w:lineRule="auto"/>
        <w:rPr>
          <w:rFonts w:ascii="Arial" w:eastAsia="Times New Roman" w:hAnsi="Arial" w:cs="Arial"/>
          <w:color w:val="EE0000"/>
          <w:kern w:val="0"/>
          <w:lang w:eastAsia="en-GB"/>
          <w14:ligatures w14:val="none"/>
        </w:rPr>
      </w:pPr>
      <w:r w:rsidRPr="008E14AD">
        <w:rPr>
          <w:rFonts w:ascii="Arial" w:eastAsia="Times New Roman" w:hAnsi="Arial" w:cs="Arial"/>
          <w:color w:val="000000"/>
          <w:kern w:val="0"/>
          <w:lang w:eastAsia="en-GB"/>
          <w14:ligatures w14:val="none"/>
        </w:rPr>
        <w:t xml:space="preserve">Social determinants of health strongly influence measles outcomes. Overcrowded housing increases exposure risk, while limited access to healthcare may delay diagnosis and treatment. Health literacy also plays a role; individuals with limited understanding of vaccination or disease symptoms may be less able to seek timely </w:t>
      </w:r>
      <w:proofErr w:type="gramStart"/>
      <w:r w:rsidRPr="008E14AD">
        <w:rPr>
          <w:rFonts w:ascii="Arial" w:eastAsia="Times New Roman" w:hAnsi="Arial" w:cs="Arial"/>
          <w:color w:val="000000"/>
          <w:kern w:val="0"/>
          <w:lang w:eastAsia="en-GB"/>
          <w14:ligatures w14:val="none"/>
        </w:rPr>
        <w:t>care.</w:t>
      </w:r>
      <w:r w:rsidR="0024613D">
        <w:rPr>
          <w:rFonts w:ascii="Arial" w:eastAsia="Times New Roman" w:hAnsi="Arial" w:cs="Arial"/>
          <w:color w:val="000000"/>
          <w:kern w:val="0"/>
          <w:lang w:eastAsia="en-GB"/>
          <w14:ligatures w14:val="none"/>
        </w:rPr>
        <w:t>-</w:t>
      </w:r>
      <w:proofErr w:type="gramEnd"/>
      <w:r w:rsidR="00927DF3">
        <w:rPr>
          <w:rFonts w:ascii="Arial" w:eastAsia="Times New Roman" w:hAnsi="Arial" w:cs="Arial"/>
          <w:color w:val="EE0000"/>
          <w:kern w:val="0"/>
          <w:lang w:eastAsia="en-GB"/>
          <w14:ligatures w14:val="none"/>
        </w:rPr>
        <w:t xml:space="preserve"> link to the case study about isolation and the impact of this</w:t>
      </w:r>
    </w:p>
    <w:p w14:paraId="266D028C" w14:textId="77777777" w:rsidR="00406A7F" w:rsidRPr="00406A7F"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Economic Factors</w:t>
      </w:r>
      <w:r w:rsidRPr="008E14AD">
        <w:rPr>
          <w:rFonts w:ascii="Arial" w:eastAsia="Times New Roman" w:hAnsi="Arial" w:cs="Arial"/>
          <w:color w:val="000000"/>
          <w:kern w:val="0"/>
          <w:u w:val="single"/>
          <w:lang w:eastAsia="en-GB"/>
          <w14:ligatures w14:val="none"/>
        </w:rPr>
        <w:t xml:space="preserve"> </w:t>
      </w:r>
    </w:p>
    <w:p w14:paraId="1197ECE1" w14:textId="46BE1E9F"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Measles can impose substantial financial burdens on families and healthcare systems. Parents may lose income while caring for sick children, and hospitalisation can incur significant costs. At the community level, outbreaks require extensive public health resources for surveillance, contact tracing and vaccination campaigns. Preventing outbreaks through vaccination is therefore more cost</w:t>
      </w:r>
      <w:r w:rsidRPr="008E14AD">
        <w:rPr>
          <w:rFonts w:ascii="Arial" w:eastAsia="Times New Roman" w:hAnsi="Arial" w:cs="Arial"/>
          <w:color w:val="000000"/>
          <w:kern w:val="0"/>
          <w:lang w:eastAsia="en-GB"/>
          <w14:ligatures w14:val="none"/>
        </w:rPr>
        <w:noBreakHyphen/>
        <w:t>effective than responding to widespread transmission.</w:t>
      </w:r>
      <w:r w:rsidR="00927DF3">
        <w:rPr>
          <w:rFonts w:ascii="Arial" w:eastAsia="Times New Roman" w:hAnsi="Arial" w:cs="Arial"/>
          <w:color w:val="000000"/>
          <w:kern w:val="0"/>
          <w:lang w:eastAsia="en-GB"/>
          <w14:ligatures w14:val="none"/>
        </w:rPr>
        <w:t xml:space="preserve"> </w:t>
      </w:r>
      <w:r w:rsidR="00927DF3" w:rsidRPr="00927DF3">
        <w:rPr>
          <w:rFonts w:ascii="Arial" w:eastAsia="Times New Roman" w:hAnsi="Arial" w:cs="Arial"/>
          <w:color w:val="EE0000"/>
          <w:kern w:val="0"/>
          <w:lang w:eastAsia="en-GB"/>
          <w14:ligatures w14:val="none"/>
        </w:rPr>
        <w:t>Link back to the case study</w:t>
      </w:r>
    </w:p>
    <w:p w14:paraId="1B09739B" w14:textId="77777777" w:rsidR="00406A7F" w:rsidRPr="00C152B2" w:rsidRDefault="008E14AD" w:rsidP="008E14AD">
      <w:pPr>
        <w:spacing w:before="100" w:beforeAutospacing="1" w:after="100" w:afterAutospacing="1" w:line="240" w:lineRule="auto"/>
        <w:rPr>
          <w:rFonts w:ascii="Arial" w:eastAsia="Times New Roman" w:hAnsi="Arial" w:cs="Arial"/>
          <w:color w:val="000000"/>
          <w:kern w:val="0"/>
          <w:u w:val="single"/>
          <w:lang w:eastAsia="en-GB"/>
          <w14:ligatures w14:val="none"/>
        </w:rPr>
      </w:pPr>
      <w:r w:rsidRPr="008E14AD">
        <w:rPr>
          <w:rFonts w:ascii="Arial" w:eastAsia="Times New Roman" w:hAnsi="Arial" w:cs="Arial"/>
          <w:b/>
          <w:bCs/>
          <w:color w:val="000000"/>
          <w:kern w:val="0"/>
          <w:u w:val="single"/>
          <w:lang w:eastAsia="en-GB"/>
          <w14:ligatures w14:val="none"/>
        </w:rPr>
        <w:t>Cultural and Behavioural Factors</w:t>
      </w:r>
      <w:r w:rsidRPr="008E14AD">
        <w:rPr>
          <w:rFonts w:ascii="Arial" w:eastAsia="Times New Roman" w:hAnsi="Arial" w:cs="Arial"/>
          <w:color w:val="000000"/>
          <w:kern w:val="0"/>
          <w:u w:val="single"/>
          <w:lang w:eastAsia="en-GB"/>
          <w14:ligatures w14:val="none"/>
        </w:rPr>
        <w:t xml:space="preserve"> </w:t>
      </w:r>
    </w:p>
    <w:p w14:paraId="0C67365A" w14:textId="3F076DBB" w:rsid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Cultural beliefs and attitudes toward vaccination influence susceptibility to measles. Vaccine hesitancy may stem from misinformation, religious beliefs or concerns about vaccine safety. These factors can reduce immunisation coverage and increase outbreak risk. Public health interventions must be culturally sensitive and tailored to community needs to promote trust and encourage vaccine acceptance.</w:t>
      </w:r>
    </w:p>
    <w:p w14:paraId="41308A33" w14:textId="77777777" w:rsidR="001B33E2" w:rsidRDefault="001B33E2" w:rsidP="008E14AD">
      <w:pPr>
        <w:spacing w:before="100" w:beforeAutospacing="1" w:after="100" w:afterAutospacing="1" w:line="240" w:lineRule="auto"/>
        <w:rPr>
          <w:rFonts w:ascii="Arial" w:eastAsia="Times New Roman" w:hAnsi="Arial" w:cs="Arial"/>
          <w:color w:val="000000"/>
          <w:kern w:val="0"/>
          <w:lang w:eastAsia="en-GB"/>
          <w14:ligatures w14:val="none"/>
        </w:rPr>
      </w:pPr>
    </w:p>
    <w:p w14:paraId="76AC6E6A" w14:textId="65277A1E" w:rsidR="001B33E2" w:rsidRDefault="001B33E2" w:rsidP="008E14AD">
      <w:pPr>
        <w:spacing w:before="100" w:beforeAutospacing="1" w:after="100" w:afterAutospacing="1" w:line="240" w:lineRule="auto"/>
        <w:rPr>
          <w:rFonts w:ascii="Arial" w:eastAsia="Times New Roman" w:hAnsi="Arial" w:cs="Arial"/>
          <w:color w:val="EE0000"/>
          <w:kern w:val="0"/>
          <w:lang w:eastAsia="en-GB"/>
          <w14:ligatures w14:val="none"/>
        </w:rPr>
      </w:pPr>
      <w:r w:rsidRPr="001B33E2">
        <w:rPr>
          <w:rFonts w:ascii="Arial" w:eastAsia="Times New Roman" w:hAnsi="Arial" w:cs="Arial"/>
          <w:color w:val="EE0000"/>
          <w:kern w:val="0"/>
          <w:lang w:eastAsia="en-GB"/>
          <w14:ligatures w14:val="none"/>
        </w:rPr>
        <w:t>Question 4:</w:t>
      </w:r>
      <w:r>
        <w:rPr>
          <w:rFonts w:ascii="Arial" w:eastAsia="Times New Roman" w:hAnsi="Arial" w:cs="Arial"/>
          <w:color w:val="EE0000"/>
          <w:kern w:val="0"/>
          <w:lang w:eastAsia="en-GB"/>
          <w14:ligatures w14:val="none"/>
        </w:rPr>
        <w:t xml:space="preserve"> Discuss the </w:t>
      </w:r>
      <w:proofErr w:type="gramStart"/>
      <w:r>
        <w:rPr>
          <w:rFonts w:ascii="Arial" w:eastAsia="Times New Roman" w:hAnsi="Arial" w:cs="Arial"/>
          <w:color w:val="EE0000"/>
          <w:kern w:val="0"/>
          <w:lang w:eastAsia="en-GB"/>
          <w14:ligatures w14:val="none"/>
        </w:rPr>
        <w:t xml:space="preserve">impact </w:t>
      </w:r>
      <w:r w:rsidR="00581453">
        <w:rPr>
          <w:rFonts w:ascii="Arial" w:eastAsia="Times New Roman" w:hAnsi="Arial" w:cs="Arial"/>
          <w:color w:val="EE0000"/>
          <w:kern w:val="0"/>
          <w:lang w:eastAsia="en-GB"/>
          <w14:ligatures w14:val="none"/>
        </w:rPr>
        <w:t xml:space="preserve"> and</w:t>
      </w:r>
      <w:proofErr w:type="gramEnd"/>
      <w:r w:rsidR="00581453">
        <w:rPr>
          <w:rFonts w:ascii="Arial" w:eastAsia="Times New Roman" w:hAnsi="Arial" w:cs="Arial"/>
          <w:color w:val="EE0000"/>
          <w:kern w:val="0"/>
          <w:lang w:eastAsia="en-GB"/>
          <w14:ligatures w14:val="none"/>
        </w:rPr>
        <w:t xml:space="preserve"> link back to the case study</w:t>
      </w:r>
    </w:p>
    <w:p w14:paraId="1CA20ECC" w14:textId="77777777" w:rsidR="00581453" w:rsidRPr="008E14AD" w:rsidRDefault="00581453" w:rsidP="008E14AD">
      <w:pPr>
        <w:spacing w:before="100" w:beforeAutospacing="1" w:after="100" w:afterAutospacing="1" w:line="240" w:lineRule="auto"/>
        <w:rPr>
          <w:rFonts w:ascii="Arial" w:eastAsia="Times New Roman" w:hAnsi="Arial" w:cs="Arial"/>
          <w:color w:val="EE0000"/>
          <w:kern w:val="0"/>
          <w:lang w:eastAsia="en-GB"/>
          <w14:ligatures w14:val="none"/>
        </w:rPr>
      </w:pPr>
    </w:p>
    <w:p w14:paraId="6E9CE087" w14:textId="77777777" w:rsidR="008E14AD" w:rsidRPr="008E14AD" w:rsidRDefault="008E14AD" w:rsidP="008E14AD">
      <w:pPr>
        <w:spacing w:before="100" w:beforeAutospacing="1" w:after="100" w:afterAutospacing="1" w:line="240" w:lineRule="auto"/>
        <w:outlineLvl w:val="2"/>
        <w:rPr>
          <w:rFonts w:ascii="Arial" w:eastAsia="Times New Roman" w:hAnsi="Arial" w:cs="Arial"/>
          <w:b/>
          <w:bCs/>
          <w:color w:val="000000"/>
          <w:kern w:val="0"/>
          <w:sz w:val="27"/>
          <w:szCs w:val="27"/>
          <w:u w:val="single"/>
          <w:lang w:eastAsia="en-GB"/>
          <w14:ligatures w14:val="none"/>
        </w:rPr>
      </w:pPr>
      <w:r w:rsidRPr="008E14AD">
        <w:rPr>
          <w:rFonts w:ascii="Arial" w:eastAsia="Times New Roman" w:hAnsi="Arial" w:cs="Arial"/>
          <w:b/>
          <w:bCs/>
          <w:color w:val="000000"/>
          <w:kern w:val="0"/>
          <w:sz w:val="27"/>
          <w:szCs w:val="27"/>
          <w:u w:val="single"/>
          <w:lang w:eastAsia="en-GB"/>
          <w14:ligatures w14:val="none"/>
        </w:rPr>
        <w:t>Conclusion</w:t>
      </w:r>
    </w:p>
    <w:p w14:paraId="135E7FF9" w14:textId="60C63E70" w:rsidR="008E14AD" w:rsidRPr="008E14AD" w:rsidRDefault="008E14AD" w:rsidP="008E14AD">
      <w:pPr>
        <w:spacing w:before="100" w:beforeAutospacing="1" w:after="100" w:afterAutospacing="1" w:line="240" w:lineRule="auto"/>
        <w:rPr>
          <w:rFonts w:ascii="Arial" w:eastAsia="Times New Roman" w:hAnsi="Arial" w:cs="Arial"/>
          <w:color w:val="000000"/>
          <w:kern w:val="0"/>
          <w:lang w:eastAsia="en-GB"/>
          <w14:ligatures w14:val="none"/>
        </w:rPr>
      </w:pPr>
      <w:r w:rsidRPr="008E14AD">
        <w:rPr>
          <w:rFonts w:ascii="Arial" w:eastAsia="Times New Roman" w:hAnsi="Arial" w:cs="Arial"/>
          <w:color w:val="000000"/>
          <w:kern w:val="0"/>
          <w:lang w:eastAsia="en-GB"/>
          <w14:ligatures w14:val="none"/>
        </w:rPr>
        <w:t xml:space="preserve">Measles remains a major public health challenge despite the availability of effective vaccines. Accurate measurement of incidence through surveillance, laboratory testing and epidemiological analysis enables authorities to understand transmission dynamics within communities. Continuous monitoring—supported by contact tracing, vaccination coverage assessments and digital technologies—facilitates early outbreak detection and informs timely responses. Maintaining high vaccination coverage is the most effective strategy for controlling measles, supported by health education, infection control measures and robust outbreak management. The health and wellbeing of individuals affected by measles are shaped by a range of physical, psychological, social, economic and cultural factors. Recognising these influences </w:t>
      </w:r>
      <w:r w:rsidRPr="008E14AD">
        <w:rPr>
          <w:rFonts w:ascii="Arial" w:eastAsia="Times New Roman" w:hAnsi="Arial" w:cs="Arial"/>
          <w:color w:val="000000"/>
          <w:kern w:val="0"/>
          <w:lang w:eastAsia="en-GB"/>
          <w14:ligatures w14:val="none"/>
        </w:rPr>
        <w:lastRenderedPageBreak/>
        <w:t>enables public health professionals to design holistic interventions that promote disease prevention and enhance community wellbeing.</w:t>
      </w:r>
      <w:r w:rsidR="00581453">
        <w:rPr>
          <w:rFonts w:ascii="Arial" w:eastAsia="Times New Roman" w:hAnsi="Arial" w:cs="Arial"/>
          <w:color w:val="000000"/>
          <w:kern w:val="0"/>
          <w:lang w:eastAsia="en-GB"/>
          <w14:ligatures w14:val="none"/>
        </w:rPr>
        <w:t xml:space="preserve"> </w:t>
      </w:r>
      <w:r w:rsidR="00581453" w:rsidRPr="00581453">
        <w:rPr>
          <w:rFonts w:ascii="Arial" w:eastAsia="Times New Roman" w:hAnsi="Arial" w:cs="Arial"/>
          <w:color w:val="EE0000"/>
          <w:kern w:val="0"/>
          <w:lang w:eastAsia="en-GB"/>
          <w14:ligatures w14:val="none"/>
        </w:rPr>
        <w:t>Case study</w:t>
      </w:r>
    </w:p>
    <w:p w14:paraId="0B7AB565" w14:textId="77777777" w:rsidR="008E14AD" w:rsidRDefault="008E14AD" w:rsidP="001B56B7">
      <w:pPr>
        <w:pStyle w:val="NormalWeb"/>
        <w:rPr>
          <w:rFonts w:ascii="Arial" w:hAnsi="Arial" w:cs="Arial"/>
          <w:color w:val="000000"/>
        </w:rPr>
      </w:pPr>
    </w:p>
    <w:p w14:paraId="3EA4BEFF" w14:textId="77777777" w:rsidR="008E14AD" w:rsidRDefault="008E14AD" w:rsidP="001B56B7">
      <w:pPr>
        <w:pStyle w:val="NormalWeb"/>
        <w:rPr>
          <w:rFonts w:ascii="Arial" w:hAnsi="Arial" w:cs="Arial"/>
          <w:color w:val="000000"/>
        </w:rPr>
      </w:pPr>
    </w:p>
    <w:p w14:paraId="229F9883" w14:textId="77777777" w:rsidR="008E14AD" w:rsidRDefault="008E14AD" w:rsidP="001B56B7">
      <w:pPr>
        <w:pStyle w:val="NormalWeb"/>
        <w:rPr>
          <w:rFonts w:ascii="Arial" w:hAnsi="Arial" w:cs="Arial"/>
          <w:color w:val="000000"/>
        </w:rPr>
      </w:pPr>
    </w:p>
    <w:p w14:paraId="2F59BB2C" w14:textId="77777777" w:rsidR="008E14AD" w:rsidRDefault="008E14AD" w:rsidP="001B56B7">
      <w:pPr>
        <w:pStyle w:val="NormalWeb"/>
        <w:rPr>
          <w:rFonts w:ascii="Arial" w:hAnsi="Arial" w:cs="Arial"/>
          <w:color w:val="000000"/>
        </w:rPr>
      </w:pPr>
    </w:p>
    <w:p w14:paraId="45855053" w14:textId="77777777" w:rsidR="008E14AD" w:rsidRDefault="008E14AD" w:rsidP="001B56B7">
      <w:pPr>
        <w:pStyle w:val="NormalWeb"/>
        <w:rPr>
          <w:rFonts w:ascii="Arial" w:hAnsi="Arial" w:cs="Arial"/>
          <w:color w:val="000000"/>
        </w:rPr>
      </w:pPr>
    </w:p>
    <w:p w14:paraId="65E2F7B8" w14:textId="77777777" w:rsidR="008E14AD" w:rsidRDefault="008E14AD" w:rsidP="001B56B7">
      <w:pPr>
        <w:pStyle w:val="NormalWeb"/>
        <w:rPr>
          <w:rFonts w:ascii="Arial" w:hAnsi="Arial" w:cs="Arial"/>
          <w:color w:val="000000"/>
        </w:rPr>
      </w:pPr>
    </w:p>
    <w:p w14:paraId="55108C58" w14:textId="77777777" w:rsidR="008E14AD" w:rsidRDefault="008E14AD" w:rsidP="001B56B7">
      <w:pPr>
        <w:pStyle w:val="NormalWeb"/>
        <w:rPr>
          <w:rFonts w:ascii="Arial" w:hAnsi="Arial" w:cs="Arial"/>
          <w:color w:val="000000"/>
        </w:rPr>
      </w:pPr>
    </w:p>
    <w:p w14:paraId="475F3BB7" w14:textId="77777777" w:rsidR="008E14AD" w:rsidRDefault="008E14AD" w:rsidP="001B56B7">
      <w:pPr>
        <w:pStyle w:val="NormalWeb"/>
        <w:rPr>
          <w:rFonts w:ascii="Arial" w:hAnsi="Arial" w:cs="Arial"/>
          <w:color w:val="000000"/>
        </w:rPr>
      </w:pPr>
    </w:p>
    <w:p w14:paraId="4FD1E3B4" w14:textId="77777777" w:rsidR="008E14AD" w:rsidRDefault="008E14AD" w:rsidP="001B56B7">
      <w:pPr>
        <w:pStyle w:val="NormalWeb"/>
        <w:rPr>
          <w:rFonts w:ascii="Arial" w:hAnsi="Arial" w:cs="Arial"/>
          <w:color w:val="000000"/>
        </w:rPr>
      </w:pPr>
    </w:p>
    <w:p w14:paraId="5F474AD8" w14:textId="77777777" w:rsidR="008E14AD" w:rsidRDefault="008E14AD" w:rsidP="001B56B7">
      <w:pPr>
        <w:pStyle w:val="NormalWeb"/>
        <w:rPr>
          <w:rFonts w:ascii="Arial" w:hAnsi="Arial" w:cs="Arial"/>
          <w:color w:val="000000"/>
        </w:rPr>
      </w:pPr>
    </w:p>
    <w:p w14:paraId="5BE36728" w14:textId="77777777" w:rsidR="008E14AD" w:rsidRDefault="008E14AD" w:rsidP="001B56B7">
      <w:pPr>
        <w:pStyle w:val="NormalWeb"/>
        <w:rPr>
          <w:rFonts w:ascii="Arial" w:hAnsi="Arial" w:cs="Arial"/>
          <w:color w:val="000000"/>
        </w:rPr>
      </w:pPr>
    </w:p>
    <w:p w14:paraId="212F8771" w14:textId="77777777" w:rsidR="008E14AD" w:rsidRPr="001B56B7" w:rsidRDefault="008E14AD" w:rsidP="001B56B7">
      <w:pPr>
        <w:pStyle w:val="NormalWeb"/>
        <w:rPr>
          <w:rFonts w:ascii="Arial" w:hAnsi="Arial" w:cs="Arial"/>
          <w:color w:val="000000"/>
        </w:rPr>
      </w:pPr>
    </w:p>
    <w:p w14:paraId="5C46C47A" w14:textId="77777777" w:rsidR="006235F1" w:rsidRPr="001B56B7" w:rsidRDefault="006235F1" w:rsidP="00A8377A">
      <w:pPr>
        <w:pStyle w:val="NormalWeb"/>
        <w:rPr>
          <w:rFonts w:ascii="Arial" w:hAnsi="Arial" w:cs="Arial"/>
          <w:color w:val="000000"/>
        </w:rPr>
      </w:pPr>
    </w:p>
    <w:p w14:paraId="0441C298" w14:textId="77777777" w:rsidR="006235F1" w:rsidRDefault="006235F1" w:rsidP="00A8377A">
      <w:pPr>
        <w:pStyle w:val="NormalWeb"/>
        <w:rPr>
          <w:rFonts w:ascii="Arial" w:hAnsi="Arial" w:cs="Arial"/>
          <w:color w:val="000000"/>
        </w:rPr>
      </w:pPr>
    </w:p>
    <w:p w14:paraId="5D557E96" w14:textId="77777777" w:rsidR="006235F1" w:rsidRDefault="006235F1" w:rsidP="00A8377A">
      <w:pPr>
        <w:pStyle w:val="NormalWeb"/>
        <w:rPr>
          <w:rFonts w:ascii="Arial" w:hAnsi="Arial" w:cs="Arial"/>
          <w:color w:val="000000"/>
        </w:rPr>
      </w:pPr>
    </w:p>
    <w:p w14:paraId="1CD228F6" w14:textId="77777777" w:rsidR="006235F1" w:rsidRDefault="006235F1" w:rsidP="00A8377A">
      <w:pPr>
        <w:pStyle w:val="NormalWeb"/>
        <w:rPr>
          <w:rFonts w:ascii="Arial" w:hAnsi="Arial" w:cs="Arial"/>
          <w:color w:val="000000"/>
        </w:rPr>
      </w:pPr>
    </w:p>
    <w:p w14:paraId="77ECCA14" w14:textId="77777777" w:rsidR="006235F1" w:rsidRDefault="006235F1" w:rsidP="00A8377A">
      <w:pPr>
        <w:pStyle w:val="NormalWeb"/>
        <w:rPr>
          <w:rFonts w:ascii="Arial" w:hAnsi="Arial" w:cs="Arial"/>
          <w:color w:val="000000"/>
        </w:rPr>
      </w:pPr>
    </w:p>
    <w:p w14:paraId="7D87C4C6" w14:textId="77777777" w:rsidR="006235F1" w:rsidRDefault="006235F1" w:rsidP="00A8377A">
      <w:pPr>
        <w:pStyle w:val="NormalWeb"/>
        <w:rPr>
          <w:rFonts w:ascii="Arial" w:hAnsi="Arial" w:cs="Arial"/>
          <w:color w:val="000000"/>
        </w:rPr>
      </w:pPr>
    </w:p>
    <w:p w14:paraId="5675A960" w14:textId="77777777" w:rsidR="006235F1" w:rsidRDefault="006235F1" w:rsidP="00A8377A">
      <w:pPr>
        <w:pStyle w:val="NormalWeb"/>
        <w:rPr>
          <w:rFonts w:ascii="Arial" w:hAnsi="Arial" w:cs="Arial"/>
          <w:color w:val="000000"/>
        </w:rPr>
      </w:pPr>
    </w:p>
    <w:p w14:paraId="58B3BD47" w14:textId="77777777" w:rsidR="006235F1" w:rsidRDefault="006235F1" w:rsidP="00A8377A">
      <w:pPr>
        <w:pStyle w:val="NormalWeb"/>
        <w:rPr>
          <w:rFonts w:ascii="Arial" w:hAnsi="Arial" w:cs="Arial"/>
          <w:color w:val="000000"/>
        </w:rPr>
      </w:pPr>
    </w:p>
    <w:p w14:paraId="4AE69AE2" w14:textId="77777777" w:rsidR="006235F1" w:rsidRDefault="006235F1" w:rsidP="00A8377A">
      <w:pPr>
        <w:pStyle w:val="NormalWeb"/>
        <w:rPr>
          <w:rFonts w:ascii="Arial" w:hAnsi="Arial" w:cs="Arial"/>
          <w:color w:val="000000"/>
        </w:rPr>
      </w:pPr>
    </w:p>
    <w:p w14:paraId="60EBD604" w14:textId="77777777" w:rsidR="006235F1" w:rsidRDefault="006235F1" w:rsidP="00A8377A">
      <w:pPr>
        <w:pStyle w:val="NormalWeb"/>
        <w:rPr>
          <w:rFonts w:ascii="Arial" w:hAnsi="Arial" w:cs="Arial"/>
          <w:color w:val="000000"/>
        </w:rPr>
      </w:pPr>
    </w:p>
    <w:p w14:paraId="4EFC32FE" w14:textId="77777777" w:rsidR="006235F1" w:rsidRPr="00A8377A" w:rsidRDefault="006235F1" w:rsidP="00A8377A">
      <w:pPr>
        <w:pStyle w:val="NormalWeb"/>
        <w:rPr>
          <w:rFonts w:ascii="Arial" w:hAnsi="Arial" w:cs="Arial"/>
          <w:color w:val="000000"/>
        </w:rPr>
      </w:pPr>
    </w:p>
    <w:p w14:paraId="2C13DE4A" w14:textId="77777777" w:rsidR="00B95226" w:rsidRPr="00B95226" w:rsidRDefault="00B95226">
      <w:pPr>
        <w:rPr>
          <w:rFonts w:ascii="Arial" w:hAnsi="Arial" w:cs="Arial"/>
        </w:rPr>
      </w:pPr>
    </w:p>
    <w:sectPr w:rsidR="00B95226" w:rsidRPr="00B95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226"/>
    <w:rsid w:val="001B33E2"/>
    <w:rsid w:val="001B56B7"/>
    <w:rsid w:val="0024613D"/>
    <w:rsid w:val="002F6BB6"/>
    <w:rsid w:val="0030404C"/>
    <w:rsid w:val="003C0998"/>
    <w:rsid w:val="003F1AED"/>
    <w:rsid w:val="00406A7F"/>
    <w:rsid w:val="00472F10"/>
    <w:rsid w:val="00581453"/>
    <w:rsid w:val="006235F1"/>
    <w:rsid w:val="006B54E0"/>
    <w:rsid w:val="00780DB9"/>
    <w:rsid w:val="00853220"/>
    <w:rsid w:val="008E14AD"/>
    <w:rsid w:val="00927DF3"/>
    <w:rsid w:val="009C36F4"/>
    <w:rsid w:val="009D0813"/>
    <w:rsid w:val="00A8377A"/>
    <w:rsid w:val="00B04BFA"/>
    <w:rsid w:val="00B45442"/>
    <w:rsid w:val="00B53E13"/>
    <w:rsid w:val="00B95226"/>
    <w:rsid w:val="00BA7B48"/>
    <w:rsid w:val="00C152B2"/>
    <w:rsid w:val="00DB4DF3"/>
    <w:rsid w:val="00E32FAA"/>
    <w:rsid w:val="00EC1D47"/>
    <w:rsid w:val="00F53C57"/>
    <w:rsid w:val="00FC7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A0695"/>
  <w15:chartTrackingRefBased/>
  <w15:docId w15:val="{E7C67293-BB01-F14A-8C1C-49D640DAB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2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2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52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2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2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2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2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2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2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2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52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52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2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2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2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2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2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226"/>
    <w:rPr>
      <w:rFonts w:eastAsiaTheme="majorEastAsia" w:cstheme="majorBidi"/>
      <w:color w:val="272727" w:themeColor="text1" w:themeTint="D8"/>
    </w:rPr>
  </w:style>
  <w:style w:type="paragraph" w:styleId="Title">
    <w:name w:val="Title"/>
    <w:basedOn w:val="Normal"/>
    <w:next w:val="Normal"/>
    <w:link w:val="TitleChar"/>
    <w:uiPriority w:val="10"/>
    <w:qFormat/>
    <w:rsid w:val="00B952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2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2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2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226"/>
    <w:pPr>
      <w:spacing w:before="160"/>
      <w:jc w:val="center"/>
    </w:pPr>
    <w:rPr>
      <w:i/>
      <w:iCs/>
      <w:color w:val="404040" w:themeColor="text1" w:themeTint="BF"/>
    </w:rPr>
  </w:style>
  <w:style w:type="character" w:customStyle="1" w:styleId="QuoteChar">
    <w:name w:val="Quote Char"/>
    <w:basedOn w:val="DefaultParagraphFont"/>
    <w:link w:val="Quote"/>
    <w:uiPriority w:val="29"/>
    <w:rsid w:val="00B95226"/>
    <w:rPr>
      <w:i/>
      <w:iCs/>
      <w:color w:val="404040" w:themeColor="text1" w:themeTint="BF"/>
    </w:rPr>
  </w:style>
  <w:style w:type="paragraph" w:styleId="ListParagraph">
    <w:name w:val="List Paragraph"/>
    <w:basedOn w:val="Normal"/>
    <w:uiPriority w:val="34"/>
    <w:qFormat/>
    <w:rsid w:val="00B95226"/>
    <w:pPr>
      <w:ind w:left="720"/>
      <w:contextualSpacing/>
    </w:pPr>
  </w:style>
  <w:style w:type="character" w:styleId="IntenseEmphasis">
    <w:name w:val="Intense Emphasis"/>
    <w:basedOn w:val="DefaultParagraphFont"/>
    <w:uiPriority w:val="21"/>
    <w:qFormat/>
    <w:rsid w:val="00B95226"/>
    <w:rPr>
      <w:i/>
      <w:iCs/>
      <w:color w:val="0F4761" w:themeColor="accent1" w:themeShade="BF"/>
    </w:rPr>
  </w:style>
  <w:style w:type="paragraph" w:styleId="IntenseQuote">
    <w:name w:val="Intense Quote"/>
    <w:basedOn w:val="Normal"/>
    <w:next w:val="Normal"/>
    <w:link w:val="IntenseQuoteChar"/>
    <w:uiPriority w:val="30"/>
    <w:qFormat/>
    <w:rsid w:val="00B952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226"/>
    <w:rPr>
      <w:i/>
      <w:iCs/>
      <w:color w:val="0F4761" w:themeColor="accent1" w:themeShade="BF"/>
    </w:rPr>
  </w:style>
  <w:style w:type="character" w:styleId="IntenseReference">
    <w:name w:val="Intense Reference"/>
    <w:basedOn w:val="DefaultParagraphFont"/>
    <w:uiPriority w:val="32"/>
    <w:qFormat/>
    <w:rsid w:val="00B95226"/>
    <w:rPr>
      <w:b/>
      <w:bCs/>
      <w:smallCaps/>
      <w:color w:val="0F4761" w:themeColor="accent1" w:themeShade="BF"/>
      <w:spacing w:val="5"/>
    </w:rPr>
  </w:style>
  <w:style w:type="paragraph" w:customStyle="1" w:styleId="isselectedend">
    <w:name w:val="isselectedend"/>
    <w:basedOn w:val="Normal"/>
    <w:rsid w:val="00B952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B952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95226"/>
    <w:rPr>
      <w:i/>
      <w:iCs/>
    </w:rPr>
  </w:style>
  <w:style w:type="character" w:styleId="Strong">
    <w:name w:val="Strong"/>
    <w:basedOn w:val="DefaultParagraphFont"/>
    <w:uiPriority w:val="22"/>
    <w:qFormat/>
    <w:rsid w:val="00B952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7</Pages>
  <Words>2101</Words>
  <Characters>11980</Characters>
  <Application>Microsoft Office Word</Application>
  <DocSecurity>0</DocSecurity>
  <Lines>99</Lines>
  <Paragraphs>28</Paragraphs>
  <ScaleCrop>false</ScaleCrop>
  <Company/>
  <LinksUpToDate>false</LinksUpToDate>
  <CharactersWithSpaces>14053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adiba hussain</dc:creator>
  <cp:keywords/>
  <dc:description/>
  <cp:lastModifiedBy>Halima Hussain (2526594)</cp:lastModifiedBy>
  <cp:revision>29</cp:revision>
  <dcterms:created xsi:type="dcterms:W3CDTF">2026-05-31T11:06:00Z</dcterms:created>
  <dcterms:modified xsi:type="dcterms:W3CDTF">2026-06-07T11:42:00Z</dcterms:modified>
</cp:coreProperties>
</file>