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C082B1" w14:textId="77777777" w:rsidR="006D1DCD" w:rsidRPr="004F33B6" w:rsidRDefault="006D1DCD" w:rsidP="006D1DCD">
      <w:pPr>
        <w:spacing w:line="360" w:lineRule="auto"/>
        <w:jc w:val="center"/>
        <w:rPr>
          <w:rFonts w:ascii="Times New Roman" w:eastAsia="Times New Roman" w:hAnsi="Times New Roman" w:cs="Times New Roman"/>
          <w:b/>
          <w:color w:val="222222"/>
          <w:sz w:val="24"/>
          <w:szCs w:val="24"/>
          <w:lang w:val="en-GB"/>
        </w:rPr>
      </w:pPr>
      <w:r w:rsidRPr="004F33B6">
        <w:rPr>
          <w:rFonts w:ascii="Times New Roman" w:eastAsia="Times New Roman" w:hAnsi="Times New Roman" w:cs="Times New Roman"/>
          <w:b/>
          <w:color w:val="222222"/>
          <w:sz w:val="24"/>
          <w:szCs w:val="24"/>
          <w:lang w:val="en-GB"/>
        </w:rPr>
        <w:t>ASSIGNMENT TITLE:</w:t>
      </w:r>
      <w:r w:rsidRPr="004F33B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4F33B6">
        <w:rPr>
          <w:rFonts w:ascii="Times New Roman" w:eastAsia="Times New Roman" w:hAnsi="Times New Roman" w:cs="Times New Roman"/>
          <w:b/>
          <w:color w:val="222222"/>
          <w:sz w:val="24"/>
          <w:szCs w:val="24"/>
          <w:lang w:val="en-GB"/>
        </w:rPr>
        <w:t>COMPONENT 2: DEBATE / DISCUSSION OF DOES TECHNOLOGY TRULY EMPOWER OLDER ADULTS, OR DOES IT FURTHER ISOLATE THEM?</w:t>
      </w:r>
    </w:p>
    <w:p w14:paraId="426276D9" w14:textId="77777777" w:rsidR="006D1DCD" w:rsidRDefault="006D1DCD" w:rsidP="006D1DCD">
      <w:pPr>
        <w:spacing w:line="360" w:lineRule="auto"/>
        <w:rPr>
          <w:rFonts w:ascii="Times New Roman" w:eastAsia="Times New Roman" w:hAnsi="Times New Roman" w:cs="Times New Roman"/>
          <w:b/>
          <w:i/>
          <w:sz w:val="24"/>
          <w:szCs w:val="24"/>
          <w:lang w:val="en-GB"/>
        </w:rPr>
      </w:pPr>
    </w:p>
    <w:p w14:paraId="567645A9" w14:textId="77777777" w:rsidR="006C08C2" w:rsidRDefault="006C08C2"/>
    <w:p w14:paraId="125B54A4" w14:textId="77777777" w:rsidR="008105EF" w:rsidRPr="004F33B6" w:rsidRDefault="008105EF" w:rsidP="008105EF">
      <w:pPr>
        <w:pStyle w:val="NoSpacing"/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4F33B6">
        <w:rPr>
          <w:rFonts w:ascii="Times New Roman" w:hAnsi="Times New Roman" w:cs="Times New Roman"/>
          <w:b/>
          <w:bCs/>
          <w:sz w:val="24"/>
          <w:szCs w:val="24"/>
          <w:lang w:val="en-GB"/>
        </w:rPr>
        <w:t>Arguments ‘against’ digital tools promote independence and inclusion among aged people</w:t>
      </w:r>
    </w:p>
    <w:p w14:paraId="7029FF66" w14:textId="618C9FEB" w:rsidR="006D1DCD" w:rsidRPr="002E1AA0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b/>
          <w:i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b/>
          <w:i/>
          <w:color w:val="222222"/>
          <w:sz w:val="24"/>
          <w:szCs w:val="24"/>
          <w:highlight w:val="white"/>
          <w:lang w:val="en-GB"/>
        </w:rPr>
        <w:t xml:space="preserve"> </w:t>
      </w:r>
    </w:p>
    <w:p w14:paraId="1637CD04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An, J., Zhu, X., Wan, K., Xiang, Z., Shi, Z., An, J. and Huang, W. (2024). ‘Older adults’ self-perception, technology anxiety, and intention to use digital public services.’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BMC Public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24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(1), pp.1-13. </w:t>
      </w:r>
    </w:p>
    <w:p w14:paraId="75C0C793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Anderson, S., Araten‐Bergman, T. and Steel, G. (2023). ‘Adults with intellectual disabilities as users of social media: A scoping review.’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British Journal of Learning Disabilities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51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(4), pp.544-564. </w:t>
      </w:r>
    </w:p>
    <w:p w14:paraId="7FB54A49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Colvin, A.D. and Jackson, M.S. eds. (2025).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Social Work and Technology: A Practical Guide for Using Technology in Social Work Practice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. Taylor &amp; Francis.</w:t>
      </w:r>
    </w:p>
    <w:p w14:paraId="68EFC455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Frishammar, J., Essén, A., Bergström, F. and Ekman, T. (2023). ‘Digital health platforms for the elderly? Key adoption and usage barriers and ways to address them.’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Technological Forecasting and Social Change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189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pp. 1-13. </w:t>
      </w:r>
    </w:p>
    <w:p w14:paraId="514BEDC9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Henriksson, I., Johansson-Malmeling, C., Gustavsson, C. and Johansson, S. (2025). ‘Experiences of using the internet among people with aphasia: challenges and opportunities.’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Aphasiology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, pp.1-21.</w:t>
      </w:r>
    </w:p>
    <w:p w14:paraId="68EE09FD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Hollimon, L.A., Taylor, K.V., Fiegenbaum, R., Carrasco, M., Garchitorena Gomez, L., Chung, D. and Seixas, A.A. (2025). ‘Redefining and solving the digital divide and exclusion to improve healthcare: going beyond access to include availability, adequacy, acceptability, and affordability.’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Frontiers in Digital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7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pp. 1-12. </w:t>
      </w:r>
    </w:p>
    <w:p w14:paraId="0F02242D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Livieri, G., Mangina, E., Protopapadakis, E.D. and Panayiotou, A.G. (2025). ‘The gaps and challenges in digital health technology use as perceived by patients: a scoping review and narrative meta-synthesis.’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Frontiers in Digital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7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pp.1-15. </w:t>
      </w:r>
    </w:p>
    <w:p w14:paraId="60329016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lastRenderedPageBreak/>
        <w:t xml:space="preserve"> Middle, R. and Welch, L. (2022). ‘Experiences of digital exclusion and the impact on health in people living with severe mental illness.’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Frontiers in digital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4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pp. 1-12. </w:t>
      </w:r>
    </w:p>
    <w:p w14:paraId="0ECE8F9C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 O'Donnell, C.A., Macdonald, S., Browne, S., Albanese, A., Blane, D., Ibbotson, T., Laidlaw, L., Heaney, D. and Lowe, D.J. (2022). ‘Widening or narrowing inequalities? The equity implications of digital tools to support COVID‐19 contact tracing: A qualitative study.’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Health Expectations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25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(6), pp.2851-2861. </w:t>
      </w:r>
    </w:p>
    <w:p w14:paraId="25681191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Osian-Gabrie, J.A. (2024). ‘The impact of digital disruption on social inequality: Challenges and opportunities for social work practice.’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Arabian Journal of Business and Management Review (Oman Chapter)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11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(2), pp.45-49.</w:t>
      </w:r>
    </w:p>
    <w:p w14:paraId="24769C81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Progga, F.T. and Rubya, S. (2025). ‘Women's Perspectives and Challenges in Adopting Perinatal Mental Health Technologies.’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Proceedings of the ACM on Human-Computer Interaction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9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(1), pp.1-30.</w:t>
      </w:r>
    </w:p>
    <w:p w14:paraId="755EB682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Rivas, C., Anand, K., Ball, E., Begum, S., Heera, N., Shahid, Y., Zuzer Lal, Z. and Moore, A.P. (2025). ‘UK health and social care use during and after the pandemic: A qualitative study of the experiences of disabled people from minoritised ethnic groups.’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medRxiv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, pp.2025-02.</w:t>
      </w:r>
    </w:p>
    <w:p w14:paraId="4D8C9B87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Soubutts, E., Ayobi, A., Eardley, R., McNaney, R., Cater, K. and O'Kane, A.A. (2022). ‘Amazon Echo Show as a multimodal human-to-human care support tool within self-isolating older UK households.’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Proceedings of the ACM on Human-Computer Interaction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6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(CSCW2), pp.1-31.</w:t>
      </w:r>
    </w:p>
    <w:p w14:paraId="26375F17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Torous, J., Linardon, J., Goldberg, S.B., Sun, S., Bell, I., Nicholas, J., Hassan, L., Hua, Y., Milton, A. and Firth, J. (2025). ‘The evolving field of digital mental health: current evidence and implementation issues for smartphone apps, generative artificial intelligence, and virtual reality.’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World Psychiatry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24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(2), pp.156-174. </w:t>
      </w:r>
    </w:p>
    <w:p w14:paraId="3547AF0D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Turnbull, S., Lucas, P.J., Hay, A.D. and Cabral, C. (2021). ‘The role of economic, educational and social resources in supporting the use of digital health technologies by people with T2D: a qualitative study.’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BMC Public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21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(1), pp.1-12.  </w:t>
      </w:r>
    </w:p>
    <w:p w14:paraId="1A135A52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>Uslu, O. (2025). ‘Understanding digital wellbeing: impacts, strategies, and the path to healthier technology practices.’ Discover Social Science and Health, 5(1), pp. 1-17.</w:t>
      </w:r>
    </w:p>
    <w:p w14:paraId="737CB209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lastRenderedPageBreak/>
        <w:t xml:space="preserve">Wen, X. and Tian, B. (2024, December). ‘How Does Digital Integration Influence the Mental Health of Low-Income Populations?.’ In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Healthcare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 (Vol. 12, No. 24, p. 2593). MDPI. </w:t>
      </w:r>
    </w:p>
    <w:p w14:paraId="11C6F098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Wilson, J., Heinsch, M., Betts, D., Booth, D. and Kay-Lambkin, F. (2021). ‘Barriers and facilitators to the use of e-health by older adults: a scoping review.’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BMC public health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21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(1), pp.1-12. </w:t>
      </w:r>
    </w:p>
    <w:p w14:paraId="1808AB4C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Wilson-Menzfeld, G. and Brittain, K. (2022). ‘Digital exclusion in later life: A narrative review.’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Vulnerable People and Digital Inclusion: Theoretical and Applied Perspectives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pp.169-188. </w:t>
      </w:r>
    </w:p>
    <w:p w14:paraId="1FA03F4E" w14:textId="77777777" w:rsidR="006D1DCD" w:rsidRPr="004F33B6" w:rsidRDefault="006D1DCD" w:rsidP="006D1DCD">
      <w:pPr>
        <w:spacing w:before="240" w:line="360" w:lineRule="auto"/>
        <w:jc w:val="both"/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</w:pP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Yu, J., Bekerian, D.A. and Osback, C. (2024). ‘Navigating the digital landscape: challenges and barriers to effective information use on the internet.’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Encyclopedia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, </w:t>
      </w:r>
      <w:r w:rsidRPr="004F33B6">
        <w:rPr>
          <w:rFonts w:ascii="Times New Roman" w:eastAsia="Times New Roman" w:hAnsi="Times New Roman" w:cs="Times New Roman"/>
          <w:i/>
          <w:color w:val="222222"/>
          <w:sz w:val="24"/>
          <w:szCs w:val="24"/>
          <w:highlight w:val="white"/>
          <w:lang w:val="en-GB"/>
        </w:rPr>
        <w:t>4</w:t>
      </w:r>
      <w:r w:rsidRPr="004F33B6">
        <w:rPr>
          <w:rFonts w:ascii="Times New Roman" w:eastAsia="Times New Roman" w:hAnsi="Times New Roman" w:cs="Times New Roman"/>
          <w:color w:val="222222"/>
          <w:sz w:val="24"/>
          <w:szCs w:val="24"/>
          <w:highlight w:val="white"/>
          <w:lang w:val="en-GB"/>
        </w:rPr>
        <w:t xml:space="preserve">(4), pp.1665-1680. </w:t>
      </w:r>
    </w:p>
    <w:p w14:paraId="61A94BC1" w14:textId="77777777" w:rsidR="006D1DCD" w:rsidRDefault="006D1DCD"/>
    <w:sectPr w:rsidR="006D1D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010B28" w14:textId="77777777" w:rsidR="00AD163D" w:rsidRDefault="00AD163D" w:rsidP="00F16AEF">
      <w:pPr>
        <w:spacing w:line="240" w:lineRule="auto"/>
      </w:pPr>
      <w:r>
        <w:separator/>
      </w:r>
    </w:p>
  </w:endnote>
  <w:endnote w:type="continuationSeparator" w:id="0">
    <w:p w14:paraId="1F594731" w14:textId="77777777" w:rsidR="00AD163D" w:rsidRDefault="00AD163D" w:rsidP="00F16AE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EACB0B" w14:textId="77777777" w:rsidR="00AD163D" w:rsidRDefault="00AD163D" w:rsidP="00F16AEF">
      <w:pPr>
        <w:spacing w:line="240" w:lineRule="auto"/>
      </w:pPr>
      <w:r>
        <w:separator/>
      </w:r>
    </w:p>
  </w:footnote>
  <w:footnote w:type="continuationSeparator" w:id="0">
    <w:p w14:paraId="32D08378" w14:textId="77777777" w:rsidR="00AD163D" w:rsidRDefault="00AD163D" w:rsidP="00F16AE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movePersonalInformation/>
  <w:removeDateAndTime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D1DCD"/>
    <w:rsid w:val="002B7E16"/>
    <w:rsid w:val="004F71E4"/>
    <w:rsid w:val="00672EE3"/>
    <w:rsid w:val="006C08C2"/>
    <w:rsid w:val="006D1DCD"/>
    <w:rsid w:val="006D50D5"/>
    <w:rsid w:val="006F76BB"/>
    <w:rsid w:val="008105EF"/>
    <w:rsid w:val="00A65A33"/>
    <w:rsid w:val="00AD163D"/>
    <w:rsid w:val="00B0664C"/>
    <w:rsid w:val="00F03773"/>
    <w:rsid w:val="00F16AEF"/>
    <w:rsid w:val="00F25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7C731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6D1DCD"/>
    <w:pPr>
      <w:spacing w:after="0"/>
    </w:pPr>
    <w:rPr>
      <w:rFonts w:ascii="Arial" w:eastAsia="Arial" w:hAnsi="Arial" w:cs="Arial"/>
      <w:lang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105EF"/>
    <w:pPr>
      <w:spacing w:after="0" w:line="240" w:lineRule="auto"/>
    </w:pPr>
    <w:rPr>
      <w:rFonts w:ascii="Arial" w:eastAsia="Arial" w:hAnsi="Arial" w:cs="Arial"/>
      <w:lang w:eastAsia="en-IN"/>
    </w:rPr>
  </w:style>
  <w:style w:type="paragraph" w:styleId="Header">
    <w:name w:val="header"/>
    <w:basedOn w:val="Normal"/>
    <w:link w:val="HeaderChar"/>
    <w:uiPriority w:val="99"/>
    <w:unhideWhenUsed/>
    <w:rsid w:val="00F16AE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6AEF"/>
    <w:rPr>
      <w:rFonts w:ascii="Arial" w:eastAsia="Arial" w:hAnsi="Arial" w:cs="Arial"/>
      <w:lang w:eastAsia="en-IN"/>
    </w:rPr>
  </w:style>
  <w:style w:type="paragraph" w:styleId="Footer">
    <w:name w:val="footer"/>
    <w:basedOn w:val="Normal"/>
    <w:link w:val="FooterChar"/>
    <w:uiPriority w:val="99"/>
    <w:unhideWhenUsed/>
    <w:rsid w:val="00F16AE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6AEF"/>
    <w:rPr>
      <w:rFonts w:ascii="Arial" w:eastAsia="Arial" w:hAnsi="Arial" w:cs="Arial"/>
      <w:lang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709</Words>
  <Characters>4045</Characters>
  <Application>Microsoft Office Word</Application>
  <DocSecurity>0</DocSecurity>
  <Lines>33</Lines>
  <Paragraphs>9</Paragraphs>
  <ScaleCrop>false</ScaleCrop>
  <Company/>
  <LinksUpToDate>false</LinksUpToDate>
  <CharactersWithSpaces>4745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/>
  <cp:revision>1</cp:revision>
  <dcterms:created xsi:type="dcterms:W3CDTF">2025-11-09T08:25:00Z</dcterms:created>
  <dcterms:modified xsi:type="dcterms:W3CDTF">2025-11-09T08:25:00Z</dcterms:modified>
</cp:coreProperties>
</file>