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F0DE3AC" w14:textId="7524779E" w:rsidR="008A185F" w:rsidRPr="004D7E4B" w:rsidRDefault="00E71F32" w:rsidP="004D7E4B">
      <w:pPr>
        <w:rPr>
          <w:b/>
          <w:i/>
          <w:color w:val="auto"/>
          <w:szCs w:val="24"/>
        </w:rPr>
      </w:pPr>
      <w:bookmarkStart w:id="0" w:name="__RefHeading___Toc82856599"/>
      <w:bookmarkEnd w:id="0"/>
      <w:r>
        <w:rPr>
          <w:b/>
          <w:i/>
          <w:noProof/>
          <w:color w:val="auto"/>
          <w:szCs w:val="24"/>
        </w:rPr>
        <w:drawing>
          <wp:anchor distT="0" distB="0" distL="114300" distR="114300" simplePos="0" relativeHeight="251658240" behindDoc="0" locked="0" layoutInCell="1" allowOverlap="1" wp14:anchorId="725FC4AD" wp14:editId="593156EF">
            <wp:simplePos x="0" y="0"/>
            <wp:positionH relativeFrom="margin">
              <wp:posOffset>762000</wp:posOffset>
            </wp:positionH>
            <wp:positionV relativeFrom="paragraph">
              <wp:posOffset>0</wp:posOffset>
            </wp:positionV>
            <wp:extent cx="3825240" cy="1805940"/>
            <wp:effectExtent l="0" t="0" r="3810" b="3810"/>
            <wp:wrapSquare wrapText="bothSides"/>
            <wp:docPr id="44871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13995" name="Picture 448713995"/>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25240" cy="1805940"/>
                    </a:xfrm>
                    <a:prstGeom prst="rect">
                      <a:avLst/>
                    </a:prstGeom>
                  </pic:spPr>
                </pic:pic>
              </a:graphicData>
            </a:graphic>
            <wp14:sizeRelH relativeFrom="margin">
              <wp14:pctWidth>0</wp14:pctWidth>
            </wp14:sizeRelH>
          </wp:anchor>
        </w:drawing>
      </w:r>
      <w:r>
        <w:rPr>
          <w:b/>
          <w:i/>
          <w:color w:val="auto"/>
          <w:szCs w:val="24"/>
        </w:rPr>
        <w:br w:type="textWrapping" w:clear="all"/>
      </w:r>
    </w:p>
    <w:p w14:paraId="42E41CB8" w14:textId="77777777" w:rsidR="004D7E4B" w:rsidRDefault="004D7E4B" w:rsidP="004D7E4B">
      <w:pPr>
        <w:jc w:val="center"/>
        <w:rPr>
          <w:b/>
          <w:i/>
          <w:color w:val="auto"/>
          <w:sz w:val="56"/>
          <w:szCs w:val="48"/>
        </w:rPr>
      </w:pPr>
    </w:p>
    <w:p w14:paraId="442E9383" w14:textId="2E59676C" w:rsidR="008A185F" w:rsidRDefault="004D7E4B" w:rsidP="004D7E4B">
      <w:pPr>
        <w:jc w:val="center"/>
        <w:rPr>
          <w:b/>
          <w:i/>
          <w:sz w:val="72"/>
          <w:szCs w:val="72"/>
        </w:rPr>
      </w:pPr>
      <w:r w:rsidRPr="004D7E4B">
        <w:rPr>
          <w:b/>
          <w:i/>
          <w:color w:val="auto"/>
          <w:sz w:val="56"/>
          <w:szCs w:val="48"/>
        </w:rPr>
        <w:t xml:space="preserve"> </w:t>
      </w:r>
      <w:r w:rsidRPr="00E71F32">
        <w:rPr>
          <w:b/>
          <w:i/>
          <w:sz w:val="72"/>
          <w:szCs w:val="72"/>
        </w:rPr>
        <w:t>Principles of Human Resource Management</w:t>
      </w:r>
    </w:p>
    <w:p w14:paraId="79A7F281" w14:textId="77777777" w:rsidR="00E71F32" w:rsidRDefault="00E71F32" w:rsidP="004D7E4B">
      <w:pPr>
        <w:jc w:val="center"/>
        <w:rPr>
          <w:b/>
          <w:i/>
          <w:sz w:val="72"/>
          <w:szCs w:val="72"/>
        </w:rPr>
      </w:pPr>
    </w:p>
    <w:p w14:paraId="580D7E8B" w14:textId="5942B07C" w:rsidR="00E71F32" w:rsidRPr="00E71F32" w:rsidRDefault="00E71F32" w:rsidP="00E71F32">
      <w:pPr>
        <w:rPr>
          <w:b/>
          <w:i/>
          <w:sz w:val="52"/>
          <w:szCs w:val="52"/>
        </w:rPr>
      </w:pPr>
      <w:r>
        <w:rPr>
          <w:b/>
          <w:i/>
          <w:sz w:val="52"/>
          <w:szCs w:val="52"/>
        </w:rPr>
        <w:t xml:space="preserve">          </w:t>
      </w:r>
      <w:r w:rsidRPr="00E71F32">
        <w:rPr>
          <w:b/>
          <w:i/>
          <w:sz w:val="52"/>
          <w:szCs w:val="52"/>
        </w:rPr>
        <w:t>Module Code: LCBB5012</w:t>
      </w:r>
    </w:p>
    <w:p w14:paraId="530FFFA1" w14:textId="1D3C5591" w:rsidR="00E71F32" w:rsidRDefault="00E71F32" w:rsidP="004D7E4B">
      <w:pPr>
        <w:jc w:val="center"/>
        <w:rPr>
          <w:b/>
          <w:i/>
          <w:sz w:val="52"/>
          <w:szCs w:val="52"/>
        </w:rPr>
      </w:pPr>
      <w:r w:rsidRPr="00E71F32">
        <w:rPr>
          <w:b/>
          <w:i/>
          <w:sz w:val="52"/>
          <w:szCs w:val="52"/>
        </w:rPr>
        <w:t>Student Name: Adrian Mocanu</w:t>
      </w:r>
    </w:p>
    <w:p w14:paraId="7729E2B7" w14:textId="2354B874" w:rsidR="00E71F32" w:rsidRDefault="00E71F32" w:rsidP="00E71F32">
      <w:pPr>
        <w:rPr>
          <w:b/>
          <w:i/>
          <w:sz w:val="52"/>
          <w:szCs w:val="52"/>
        </w:rPr>
      </w:pPr>
      <w:r>
        <w:rPr>
          <w:b/>
          <w:i/>
          <w:sz w:val="52"/>
          <w:szCs w:val="52"/>
        </w:rPr>
        <w:t xml:space="preserve">          Student ID: 2243469</w:t>
      </w:r>
    </w:p>
    <w:p w14:paraId="7407E14B" w14:textId="6E7971B1" w:rsidR="00E71F32" w:rsidRDefault="00E71F32" w:rsidP="004D7E4B">
      <w:pPr>
        <w:jc w:val="center"/>
        <w:rPr>
          <w:b/>
          <w:i/>
          <w:sz w:val="52"/>
          <w:szCs w:val="52"/>
        </w:rPr>
      </w:pPr>
      <w:r>
        <w:rPr>
          <w:b/>
          <w:i/>
          <w:sz w:val="52"/>
          <w:szCs w:val="52"/>
        </w:rPr>
        <w:t xml:space="preserve">  Lecturer Name:Dr. Nerys Dosseh</w:t>
      </w:r>
    </w:p>
    <w:p w14:paraId="630A5EB0" w14:textId="1B097759" w:rsidR="00E71F32" w:rsidRPr="004257CD" w:rsidRDefault="00E71F32" w:rsidP="004257CD">
      <w:pPr>
        <w:rPr>
          <w:b/>
          <w:i/>
          <w:sz w:val="52"/>
          <w:szCs w:val="52"/>
        </w:rPr>
      </w:pPr>
      <w:r>
        <w:rPr>
          <w:b/>
          <w:i/>
          <w:sz w:val="52"/>
          <w:szCs w:val="52"/>
        </w:rPr>
        <w:t xml:space="preserve">                                                                             </w:t>
      </w:r>
    </w:p>
    <w:p w14:paraId="49DDEC2B" w14:textId="77777777" w:rsidR="008A185F" w:rsidRPr="004D7E4B" w:rsidRDefault="008A185F" w:rsidP="004257CD">
      <w:pPr>
        <w:pStyle w:val="ContentsHeading"/>
        <w:pageBreakBefore/>
        <w:jc w:val="both"/>
        <w:rPr>
          <w:sz w:val="24"/>
          <w:szCs w:val="24"/>
        </w:rPr>
      </w:pPr>
      <w:r w:rsidRPr="004D7E4B">
        <w:rPr>
          <w:color w:val="auto"/>
          <w:sz w:val="24"/>
          <w:szCs w:val="24"/>
        </w:rPr>
        <w:lastRenderedPageBreak/>
        <w:t>Table of Contents</w:t>
      </w:r>
    </w:p>
    <w:p w14:paraId="61BA16D2" w14:textId="77777777" w:rsidR="004D7E4B" w:rsidRPr="000A1285" w:rsidRDefault="008A185F" w:rsidP="004257CD">
      <w:pPr>
        <w:pStyle w:val="TOC1"/>
        <w:rPr>
          <w:rFonts w:ascii="Calibri" w:eastAsia="Times New Roman" w:hAnsi="Calibri" w:cs="Times New Roman"/>
          <w:noProof/>
          <w:color w:val="auto"/>
          <w:sz w:val="22"/>
          <w:lang w:val="en-IN" w:eastAsia="en-IN"/>
        </w:rPr>
      </w:pPr>
      <w:r w:rsidRPr="004D7E4B">
        <w:rPr>
          <w:rFonts w:cs="Times New Roman"/>
          <w:szCs w:val="24"/>
        </w:rPr>
        <w:fldChar w:fldCharType="begin"/>
      </w:r>
      <w:r w:rsidRPr="004D7E4B">
        <w:rPr>
          <w:rFonts w:cs="Times New Roman"/>
          <w:szCs w:val="24"/>
        </w:rPr>
        <w:instrText xml:space="preserve"> TOC \f \o "1-9" \o "1-9" </w:instrText>
      </w:r>
      <w:r w:rsidRPr="004D7E4B">
        <w:rPr>
          <w:rFonts w:cs="Times New Roman"/>
          <w:szCs w:val="24"/>
        </w:rPr>
        <w:fldChar w:fldCharType="separate"/>
      </w:r>
      <w:r w:rsidR="004D7E4B">
        <w:rPr>
          <w:noProof/>
        </w:rPr>
        <w:t>Introduction</w:t>
      </w:r>
      <w:r w:rsidR="004D7E4B">
        <w:rPr>
          <w:noProof/>
        </w:rPr>
        <w:tab/>
      </w:r>
      <w:r w:rsidR="004D7E4B">
        <w:rPr>
          <w:noProof/>
        </w:rPr>
        <w:fldChar w:fldCharType="begin"/>
      </w:r>
      <w:r w:rsidR="004D7E4B">
        <w:rPr>
          <w:noProof/>
        </w:rPr>
        <w:instrText xml:space="preserve"> PAGEREF _Toc224208459 \h </w:instrText>
      </w:r>
      <w:r w:rsidR="004D7E4B">
        <w:rPr>
          <w:noProof/>
        </w:rPr>
      </w:r>
      <w:r w:rsidR="004D7E4B">
        <w:rPr>
          <w:noProof/>
        </w:rPr>
        <w:fldChar w:fldCharType="separate"/>
      </w:r>
      <w:r w:rsidR="004D7E4B">
        <w:rPr>
          <w:noProof/>
        </w:rPr>
        <w:t>3</w:t>
      </w:r>
      <w:r w:rsidR="004D7E4B">
        <w:rPr>
          <w:noProof/>
        </w:rPr>
        <w:fldChar w:fldCharType="end"/>
      </w:r>
    </w:p>
    <w:p w14:paraId="3B0A5107" w14:textId="77777777" w:rsidR="004D7E4B" w:rsidRPr="000A1285" w:rsidRDefault="004D7E4B" w:rsidP="004257CD">
      <w:pPr>
        <w:pStyle w:val="TOC1"/>
        <w:rPr>
          <w:rFonts w:ascii="Calibri" w:eastAsia="Times New Roman" w:hAnsi="Calibri" w:cs="Times New Roman"/>
          <w:noProof/>
          <w:color w:val="auto"/>
          <w:sz w:val="22"/>
          <w:lang w:val="en-IN" w:eastAsia="en-IN"/>
        </w:rPr>
      </w:pPr>
      <w:r>
        <w:rPr>
          <w:noProof/>
        </w:rPr>
        <w:t>Main Body</w:t>
      </w:r>
      <w:r>
        <w:rPr>
          <w:noProof/>
        </w:rPr>
        <w:tab/>
      </w:r>
      <w:r>
        <w:rPr>
          <w:noProof/>
        </w:rPr>
        <w:fldChar w:fldCharType="begin"/>
      </w:r>
      <w:r>
        <w:rPr>
          <w:noProof/>
        </w:rPr>
        <w:instrText xml:space="preserve"> PAGEREF _Toc224208460 \h </w:instrText>
      </w:r>
      <w:r>
        <w:rPr>
          <w:noProof/>
        </w:rPr>
      </w:r>
      <w:r>
        <w:rPr>
          <w:noProof/>
        </w:rPr>
        <w:fldChar w:fldCharType="separate"/>
      </w:r>
      <w:r>
        <w:rPr>
          <w:noProof/>
        </w:rPr>
        <w:t>3</w:t>
      </w:r>
      <w:r>
        <w:rPr>
          <w:noProof/>
        </w:rPr>
        <w:fldChar w:fldCharType="end"/>
      </w:r>
    </w:p>
    <w:p w14:paraId="15D3521C" w14:textId="77777777" w:rsidR="004D7E4B" w:rsidRPr="000A1285" w:rsidRDefault="004D7E4B" w:rsidP="004257CD">
      <w:pPr>
        <w:pStyle w:val="TOC2"/>
        <w:rPr>
          <w:rFonts w:ascii="Calibri" w:eastAsia="Times New Roman" w:hAnsi="Calibri" w:cs="Times New Roman"/>
          <w:noProof/>
          <w:color w:val="auto"/>
          <w:sz w:val="22"/>
          <w:lang w:val="en-IN" w:eastAsia="en-IN"/>
        </w:rPr>
      </w:pPr>
      <w:r w:rsidRPr="00C17CB4">
        <w:rPr>
          <w:b/>
          <w:noProof/>
        </w:rPr>
        <w:t>Internal and External Environment</w:t>
      </w:r>
      <w:r>
        <w:rPr>
          <w:noProof/>
        </w:rPr>
        <w:tab/>
      </w:r>
      <w:r>
        <w:rPr>
          <w:noProof/>
        </w:rPr>
        <w:fldChar w:fldCharType="begin"/>
      </w:r>
      <w:r>
        <w:rPr>
          <w:noProof/>
        </w:rPr>
        <w:instrText xml:space="preserve"> PAGEREF _Toc224208461 \h </w:instrText>
      </w:r>
      <w:r>
        <w:rPr>
          <w:noProof/>
        </w:rPr>
      </w:r>
      <w:r>
        <w:rPr>
          <w:noProof/>
        </w:rPr>
        <w:fldChar w:fldCharType="separate"/>
      </w:r>
      <w:r>
        <w:rPr>
          <w:noProof/>
        </w:rPr>
        <w:t>3</w:t>
      </w:r>
      <w:r>
        <w:rPr>
          <w:noProof/>
        </w:rPr>
        <w:fldChar w:fldCharType="end"/>
      </w:r>
    </w:p>
    <w:p w14:paraId="6701CA78" w14:textId="77777777" w:rsidR="004D7E4B" w:rsidRPr="000A1285" w:rsidRDefault="004D7E4B" w:rsidP="004257CD">
      <w:pPr>
        <w:pStyle w:val="TOC2"/>
        <w:rPr>
          <w:rFonts w:ascii="Calibri" w:eastAsia="Times New Roman" w:hAnsi="Calibri" w:cs="Times New Roman"/>
          <w:noProof/>
          <w:color w:val="auto"/>
          <w:sz w:val="22"/>
          <w:lang w:val="en-IN" w:eastAsia="en-IN"/>
        </w:rPr>
      </w:pPr>
      <w:r w:rsidRPr="00C17CB4">
        <w:rPr>
          <w:b/>
          <w:noProof/>
        </w:rPr>
        <w:t>Organization Application</w:t>
      </w:r>
      <w:r>
        <w:rPr>
          <w:noProof/>
        </w:rPr>
        <w:tab/>
      </w:r>
      <w:r>
        <w:rPr>
          <w:noProof/>
        </w:rPr>
        <w:fldChar w:fldCharType="begin"/>
      </w:r>
      <w:r>
        <w:rPr>
          <w:noProof/>
        </w:rPr>
        <w:instrText xml:space="preserve"> PAGEREF _Toc224208462 \h </w:instrText>
      </w:r>
      <w:r>
        <w:rPr>
          <w:noProof/>
        </w:rPr>
      </w:r>
      <w:r>
        <w:rPr>
          <w:noProof/>
        </w:rPr>
        <w:fldChar w:fldCharType="separate"/>
      </w:r>
      <w:r>
        <w:rPr>
          <w:noProof/>
        </w:rPr>
        <w:t>5</w:t>
      </w:r>
      <w:r>
        <w:rPr>
          <w:noProof/>
        </w:rPr>
        <w:fldChar w:fldCharType="end"/>
      </w:r>
    </w:p>
    <w:p w14:paraId="4AC156AD" w14:textId="77777777" w:rsidR="004D7E4B" w:rsidRPr="000A1285" w:rsidRDefault="004D7E4B" w:rsidP="004257CD">
      <w:pPr>
        <w:pStyle w:val="TOC2"/>
        <w:rPr>
          <w:rFonts w:ascii="Calibri" w:eastAsia="Times New Roman" w:hAnsi="Calibri" w:cs="Times New Roman"/>
          <w:noProof/>
          <w:color w:val="auto"/>
          <w:sz w:val="22"/>
          <w:lang w:val="en-IN" w:eastAsia="en-IN"/>
        </w:rPr>
      </w:pPr>
      <w:r w:rsidRPr="00C17CB4">
        <w:rPr>
          <w:b/>
          <w:noProof/>
        </w:rPr>
        <w:t>Application of Model</w:t>
      </w:r>
      <w:r>
        <w:rPr>
          <w:noProof/>
        </w:rPr>
        <w:tab/>
      </w:r>
      <w:r>
        <w:rPr>
          <w:noProof/>
        </w:rPr>
        <w:fldChar w:fldCharType="begin"/>
      </w:r>
      <w:r>
        <w:rPr>
          <w:noProof/>
        </w:rPr>
        <w:instrText xml:space="preserve"> PAGEREF _Toc224208463 \h </w:instrText>
      </w:r>
      <w:r>
        <w:rPr>
          <w:noProof/>
        </w:rPr>
      </w:r>
      <w:r>
        <w:rPr>
          <w:noProof/>
        </w:rPr>
        <w:fldChar w:fldCharType="separate"/>
      </w:r>
      <w:r>
        <w:rPr>
          <w:noProof/>
        </w:rPr>
        <w:t>6</w:t>
      </w:r>
      <w:r>
        <w:rPr>
          <w:noProof/>
        </w:rPr>
        <w:fldChar w:fldCharType="end"/>
      </w:r>
    </w:p>
    <w:p w14:paraId="76271910" w14:textId="77777777" w:rsidR="004D7E4B" w:rsidRPr="000A1285" w:rsidRDefault="004D7E4B" w:rsidP="004257CD">
      <w:pPr>
        <w:pStyle w:val="TOC1"/>
        <w:rPr>
          <w:rFonts w:ascii="Calibri" w:eastAsia="Times New Roman" w:hAnsi="Calibri" w:cs="Times New Roman"/>
          <w:noProof/>
          <w:color w:val="auto"/>
          <w:sz w:val="22"/>
          <w:lang w:val="en-IN" w:eastAsia="en-IN"/>
        </w:rPr>
      </w:pPr>
      <w:r>
        <w:rPr>
          <w:noProof/>
        </w:rPr>
        <w:t>Conclusion</w:t>
      </w:r>
      <w:r>
        <w:rPr>
          <w:noProof/>
        </w:rPr>
        <w:tab/>
      </w:r>
      <w:r>
        <w:rPr>
          <w:noProof/>
        </w:rPr>
        <w:fldChar w:fldCharType="begin"/>
      </w:r>
      <w:r>
        <w:rPr>
          <w:noProof/>
        </w:rPr>
        <w:instrText xml:space="preserve"> PAGEREF _Toc224208464 \h </w:instrText>
      </w:r>
      <w:r>
        <w:rPr>
          <w:noProof/>
        </w:rPr>
      </w:r>
      <w:r>
        <w:rPr>
          <w:noProof/>
        </w:rPr>
        <w:fldChar w:fldCharType="separate"/>
      </w:r>
      <w:r>
        <w:rPr>
          <w:noProof/>
        </w:rPr>
        <w:t>8</w:t>
      </w:r>
      <w:r>
        <w:rPr>
          <w:noProof/>
        </w:rPr>
        <w:fldChar w:fldCharType="end"/>
      </w:r>
    </w:p>
    <w:p w14:paraId="54F9826F" w14:textId="77777777" w:rsidR="004D7E4B" w:rsidRPr="000A1285" w:rsidRDefault="004D7E4B" w:rsidP="004257CD">
      <w:pPr>
        <w:pStyle w:val="TOC1"/>
        <w:rPr>
          <w:rFonts w:ascii="Calibri" w:eastAsia="Times New Roman" w:hAnsi="Calibri" w:cs="Times New Roman"/>
          <w:noProof/>
          <w:color w:val="auto"/>
          <w:sz w:val="22"/>
          <w:lang w:val="en-IN" w:eastAsia="en-IN"/>
        </w:rPr>
      </w:pPr>
      <w:r>
        <w:rPr>
          <w:noProof/>
        </w:rPr>
        <w:t>References</w:t>
      </w:r>
      <w:r>
        <w:rPr>
          <w:noProof/>
        </w:rPr>
        <w:tab/>
      </w:r>
      <w:r>
        <w:rPr>
          <w:noProof/>
        </w:rPr>
        <w:fldChar w:fldCharType="begin"/>
      </w:r>
      <w:r>
        <w:rPr>
          <w:noProof/>
        </w:rPr>
        <w:instrText xml:space="preserve"> PAGEREF _Toc224208465 \h </w:instrText>
      </w:r>
      <w:r>
        <w:rPr>
          <w:noProof/>
        </w:rPr>
      </w:r>
      <w:r>
        <w:rPr>
          <w:noProof/>
        </w:rPr>
        <w:fldChar w:fldCharType="separate"/>
      </w:r>
      <w:r>
        <w:rPr>
          <w:noProof/>
        </w:rPr>
        <w:t>9</w:t>
      </w:r>
      <w:r>
        <w:rPr>
          <w:noProof/>
        </w:rPr>
        <w:fldChar w:fldCharType="end"/>
      </w:r>
    </w:p>
    <w:p w14:paraId="030DAD53" w14:textId="77777777" w:rsidR="008A185F" w:rsidRPr="004D7E4B" w:rsidRDefault="008A185F" w:rsidP="004257CD">
      <w:pPr>
        <w:pStyle w:val="TOC1"/>
        <w:rPr>
          <w:rFonts w:cs="Times New Roman"/>
          <w:color w:val="auto"/>
          <w:szCs w:val="24"/>
        </w:rPr>
      </w:pPr>
      <w:r w:rsidRPr="004D7E4B">
        <w:rPr>
          <w:rFonts w:cs="Times New Roman"/>
          <w:szCs w:val="24"/>
        </w:rPr>
        <w:fldChar w:fldCharType="end"/>
      </w:r>
    </w:p>
    <w:p w14:paraId="3EBF0A31" w14:textId="77777777" w:rsidR="008A185F" w:rsidRPr="004D7E4B" w:rsidRDefault="008A185F" w:rsidP="004257CD">
      <w:pPr>
        <w:rPr>
          <w:color w:val="auto"/>
          <w:szCs w:val="24"/>
        </w:rPr>
      </w:pPr>
    </w:p>
    <w:p w14:paraId="41F6C6C1" w14:textId="77777777" w:rsidR="008A185F" w:rsidRPr="004D7E4B" w:rsidRDefault="008A185F" w:rsidP="004257CD">
      <w:pPr>
        <w:rPr>
          <w:color w:val="auto"/>
          <w:szCs w:val="24"/>
        </w:rPr>
      </w:pPr>
    </w:p>
    <w:p w14:paraId="3333B980" w14:textId="77777777" w:rsidR="008A185F" w:rsidRPr="0011261C" w:rsidRDefault="0011261C" w:rsidP="004257CD">
      <w:pPr>
        <w:rPr>
          <w:b/>
          <w:color w:val="auto"/>
          <w:szCs w:val="24"/>
        </w:rPr>
      </w:pPr>
      <w:r w:rsidRPr="0011261C">
        <w:rPr>
          <w:b/>
          <w:color w:val="auto"/>
          <w:szCs w:val="24"/>
        </w:rPr>
        <w:t>List of Figures</w:t>
      </w:r>
    </w:p>
    <w:p w14:paraId="62601FBE" w14:textId="77777777" w:rsidR="0011261C" w:rsidRPr="000A1285" w:rsidRDefault="0011261C" w:rsidP="004257CD">
      <w:pPr>
        <w:pStyle w:val="TableofFigures"/>
        <w:tabs>
          <w:tab w:val="right" w:leader="dot" w:pos="9350"/>
        </w:tabs>
        <w:rPr>
          <w:rFonts w:ascii="Calibri" w:eastAsia="Times New Roman" w:hAnsi="Calibri"/>
          <w:noProof/>
          <w:color w:val="auto"/>
          <w:sz w:val="22"/>
          <w:lang w:val="en-IN" w:eastAsia="en-IN"/>
        </w:rPr>
      </w:pPr>
      <w:r>
        <w:rPr>
          <w:color w:val="auto"/>
          <w:szCs w:val="24"/>
        </w:rPr>
        <w:fldChar w:fldCharType="begin"/>
      </w:r>
      <w:r>
        <w:rPr>
          <w:color w:val="auto"/>
          <w:szCs w:val="24"/>
        </w:rPr>
        <w:instrText xml:space="preserve"> TOC \h \z \c "Figure" </w:instrText>
      </w:r>
      <w:r>
        <w:rPr>
          <w:color w:val="auto"/>
          <w:szCs w:val="24"/>
        </w:rPr>
        <w:fldChar w:fldCharType="separate"/>
      </w:r>
      <w:hyperlink w:anchor="_Toc224208641" w:history="1">
        <w:r w:rsidRPr="00D6097B">
          <w:rPr>
            <w:rStyle w:val="Hyperlink"/>
            <w:noProof/>
          </w:rPr>
          <w:t>Figure 1: Logo</w:t>
        </w:r>
        <w:r>
          <w:rPr>
            <w:noProof/>
            <w:webHidden/>
          </w:rPr>
          <w:tab/>
        </w:r>
        <w:r>
          <w:rPr>
            <w:noProof/>
            <w:webHidden/>
          </w:rPr>
          <w:fldChar w:fldCharType="begin"/>
        </w:r>
        <w:r>
          <w:rPr>
            <w:noProof/>
            <w:webHidden/>
          </w:rPr>
          <w:instrText xml:space="preserve"> PAGEREF _Toc224208641 \h </w:instrText>
        </w:r>
        <w:r>
          <w:rPr>
            <w:noProof/>
            <w:webHidden/>
          </w:rPr>
        </w:r>
        <w:r>
          <w:rPr>
            <w:noProof/>
            <w:webHidden/>
          </w:rPr>
          <w:fldChar w:fldCharType="separate"/>
        </w:r>
        <w:r>
          <w:rPr>
            <w:noProof/>
            <w:webHidden/>
          </w:rPr>
          <w:t>3</w:t>
        </w:r>
        <w:r>
          <w:rPr>
            <w:noProof/>
            <w:webHidden/>
          </w:rPr>
          <w:fldChar w:fldCharType="end"/>
        </w:r>
      </w:hyperlink>
    </w:p>
    <w:p w14:paraId="1CAE975D" w14:textId="77777777" w:rsidR="0011261C" w:rsidRPr="000A1285" w:rsidRDefault="0011261C" w:rsidP="004257CD">
      <w:pPr>
        <w:pStyle w:val="TableofFigures"/>
        <w:tabs>
          <w:tab w:val="right" w:leader="dot" w:pos="9350"/>
        </w:tabs>
        <w:rPr>
          <w:rFonts w:ascii="Calibri" w:eastAsia="Times New Roman" w:hAnsi="Calibri"/>
          <w:noProof/>
          <w:color w:val="auto"/>
          <w:sz w:val="22"/>
          <w:lang w:val="en-IN" w:eastAsia="en-IN"/>
        </w:rPr>
      </w:pPr>
      <w:hyperlink w:anchor="_Toc224208642" w:history="1">
        <w:r w:rsidRPr="00D6097B">
          <w:rPr>
            <w:rStyle w:val="Hyperlink"/>
            <w:noProof/>
          </w:rPr>
          <w:t>Figure 2: PESTLE Analysis</w:t>
        </w:r>
        <w:r>
          <w:rPr>
            <w:noProof/>
            <w:webHidden/>
          </w:rPr>
          <w:tab/>
        </w:r>
        <w:r>
          <w:rPr>
            <w:noProof/>
            <w:webHidden/>
          </w:rPr>
          <w:fldChar w:fldCharType="begin"/>
        </w:r>
        <w:r>
          <w:rPr>
            <w:noProof/>
            <w:webHidden/>
          </w:rPr>
          <w:instrText xml:space="preserve"> PAGEREF _Toc224208642 \h </w:instrText>
        </w:r>
        <w:r>
          <w:rPr>
            <w:noProof/>
            <w:webHidden/>
          </w:rPr>
        </w:r>
        <w:r>
          <w:rPr>
            <w:noProof/>
            <w:webHidden/>
          </w:rPr>
          <w:fldChar w:fldCharType="separate"/>
        </w:r>
        <w:r>
          <w:rPr>
            <w:noProof/>
            <w:webHidden/>
          </w:rPr>
          <w:t>6</w:t>
        </w:r>
        <w:r>
          <w:rPr>
            <w:noProof/>
            <w:webHidden/>
          </w:rPr>
          <w:fldChar w:fldCharType="end"/>
        </w:r>
      </w:hyperlink>
    </w:p>
    <w:p w14:paraId="70F18E5E" w14:textId="77777777" w:rsidR="0011261C" w:rsidRPr="004D7E4B" w:rsidRDefault="0011261C" w:rsidP="004257CD">
      <w:pPr>
        <w:rPr>
          <w:color w:val="auto"/>
          <w:szCs w:val="24"/>
        </w:rPr>
      </w:pPr>
      <w:r>
        <w:rPr>
          <w:color w:val="auto"/>
          <w:szCs w:val="24"/>
        </w:rPr>
        <w:fldChar w:fldCharType="end"/>
      </w:r>
    </w:p>
    <w:p w14:paraId="7DEFA634" w14:textId="77777777" w:rsidR="008A185F" w:rsidRPr="004D7E4B" w:rsidRDefault="008A185F" w:rsidP="004D7E4B">
      <w:pPr>
        <w:pStyle w:val="Heading1"/>
        <w:pageBreakBefore/>
        <w:rPr>
          <w:szCs w:val="24"/>
        </w:rPr>
      </w:pPr>
      <w:bookmarkStart w:id="1" w:name="_Toc224208459"/>
      <w:r w:rsidRPr="004D7E4B">
        <w:rPr>
          <w:szCs w:val="24"/>
        </w:rPr>
        <w:lastRenderedPageBreak/>
        <w:t>Introduction</w:t>
      </w:r>
      <w:bookmarkEnd w:id="1"/>
    </w:p>
    <w:p w14:paraId="6DC8150B" w14:textId="77777777" w:rsidR="00E54D60" w:rsidRPr="004D7E4B" w:rsidRDefault="00E54D60" w:rsidP="004D7E4B">
      <w:pPr>
        <w:rPr>
          <w:szCs w:val="24"/>
        </w:rPr>
      </w:pPr>
      <w:r w:rsidRPr="004D7E4B">
        <w:rPr>
          <w:szCs w:val="24"/>
        </w:rPr>
        <w:t>Human Resource Management (HRM) is a major aspect of the organization success particularly in such a multi-national organization as Google</w:t>
      </w:r>
      <w:r w:rsidR="00527F0C" w:rsidRPr="004D7E4B">
        <w:rPr>
          <w:szCs w:val="24"/>
        </w:rPr>
        <w:t xml:space="preserve"> (Reiche, 2022)</w:t>
      </w:r>
      <w:r w:rsidRPr="004D7E4B">
        <w:rPr>
          <w:szCs w:val="24"/>
        </w:rPr>
        <w:t>. The HR activities are recruitment, training and development, performance management and employee relations which are part of the organization culture development and its offering of employee engagement and business success. These HR operations are especially significant in the international companies in case numerous cultural, legislative, and economical factors have to be considered. Google as one of the most successful technological masterminds has an average of 150,000 employees operating in more than 50 countries. The human resource politics of this company must be in a position to adapt to other regional needs without betraying the corporate vision.</w:t>
      </w:r>
    </w:p>
    <w:p w14:paraId="2FDC4673" w14:textId="77777777" w:rsidR="00E54D60" w:rsidRPr="004D7E4B" w:rsidRDefault="00E54D60" w:rsidP="004D7E4B">
      <w:pPr>
        <w:ind w:firstLine="720"/>
        <w:rPr>
          <w:szCs w:val="24"/>
        </w:rPr>
      </w:pPr>
      <w:r w:rsidRPr="004D7E4B">
        <w:rPr>
          <w:szCs w:val="24"/>
        </w:rPr>
        <w:t>This report will establish an evaluation of the effects of the environmental factors (both internal and external) on the HR practices of Google. The report will examine the implication of the macro-environmental aspects on the HR functions of global operation of Google by applying the PESTLE model (Political, Economic, Social, Technological, Legal, and Environmental). The internal environment of Google including the organizational culture and leadership and the external forces like the legal systems and economies in other countries would be discussed.</w:t>
      </w:r>
    </w:p>
    <w:p w14:paraId="30878292" w14:textId="77777777" w:rsidR="00E54D60" w:rsidRDefault="00E54D60" w:rsidP="004D7E4B">
      <w:pPr>
        <w:ind w:firstLine="720"/>
        <w:rPr>
          <w:szCs w:val="24"/>
        </w:rPr>
      </w:pPr>
      <w:r w:rsidRPr="004D7E4B">
        <w:rPr>
          <w:szCs w:val="24"/>
        </w:rPr>
        <w:t>The factors will also provide an understanding of how the operating environment of Google impacts the practices of its HR and how managers at the HR department must accommodate the dynamic environment to remain functional. The effectiveness of HR in Google will be addressed by focusing on recruiting, performance management, and relationship among the employees in different geographies.</w:t>
      </w:r>
    </w:p>
    <w:p w14:paraId="59A8D7E1" w14:textId="77777777" w:rsidR="00DA3334" w:rsidRDefault="00AE2E33" w:rsidP="00DA3334">
      <w:pPr>
        <w:keepNext/>
        <w:ind w:firstLine="720"/>
        <w:jc w:val="center"/>
      </w:pPr>
      <w:r>
        <w:rPr>
          <w:noProof/>
        </w:rPr>
        <w:drawing>
          <wp:inline distT="0" distB="0" distL="0" distR="0" wp14:anchorId="0731CA55" wp14:editId="1C2BC0D3">
            <wp:extent cx="2143760" cy="1141730"/>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0">
                      <a:extLst>
                        <a:ext uri="{28A0092B-C50C-407E-A947-70E740481C1C}">
                          <a14:useLocalDpi xmlns:a14="http://schemas.microsoft.com/office/drawing/2010/main" val="0"/>
                        </a:ext>
                      </a:extLst>
                    </a:blip>
                    <a:srcRect t="21333" b="25333"/>
                    <a:stretch>
                      <a:fillRect/>
                    </a:stretch>
                  </pic:blipFill>
                  <pic:spPr bwMode="auto">
                    <a:xfrm>
                      <a:off x="0" y="0"/>
                      <a:ext cx="2143760" cy="1141730"/>
                    </a:xfrm>
                    <a:prstGeom prst="rect">
                      <a:avLst/>
                    </a:prstGeom>
                    <a:noFill/>
                    <a:ln>
                      <a:noFill/>
                    </a:ln>
                  </pic:spPr>
                </pic:pic>
              </a:graphicData>
            </a:graphic>
          </wp:inline>
        </w:drawing>
      </w:r>
    </w:p>
    <w:p w14:paraId="3D6EBF76" w14:textId="77777777" w:rsidR="00DA3334" w:rsidRDefault="00DA3334" w:rsidP="00DA3334">
      <w:pPr>
        <w:pStyle w:val="Caption"/>
        <w:jc w:val="center"/>
      </w:pPr>
      <w:bookmarkStart w:id="2" w:name="_Toc224208641"/>
      <w:r>
        <w:t xml:space="preserve">Figure </w:t>
      </w:r>
      <w:fldSimple w:instr=" SEQ Figure \* ARABIC ">
        <w:r>
          <w:rPr>
            <w:noProof/>
          </w:rPr>
          <w:t>1</w:t>
        </w:r>
      </w:fldSimple>
      <w:r>
        <w:t>: Logo</w:t>
      </w:r>
      <w:bookmarkEnd w:id="2"/>
    </w:p>
    <w:p w14:paraId="5CB3DAD9" w14:textId="77777777" w:rsidR="00DA3334" w:rsidRPr="00DA3334" w:rsidRDefault="00DA3334" w:rsidP="00DA3334">
      <w:pPr>
        <w:suppressAutoHyphens w:val="0"/>
        <w:spacing w:line="240" w:lineRule="auto"/>
        <w:jc w:val="center"/>
        <w:rPr>
          <w:rFonts w:eastAsia="Times New Roman"/>
          <w:i/>
          <w:color w:val="auto"/>
          <w:szCs w:val="24"/>
          <w:lang w:val="en-IN" w:eastAsia="en-IN"/>
        </w:rPr>
      </w:pPr>
      <w:r w:rsidRPr="00DA3334">
        <w:rPr>
          <w:i/>
        </w:rPr>
        <w:t xml:space="preserve">Source: </w:t>
      </w:r>
      <w:r w:rsidRPr="00DA3334">
        <w:rPr>
          <w:rFonts w:eastAsia="Times New Roman"/>
          <w:i/>
          <w:color w:val="auto"/>
          <w:szCs w:val="24"/>
          <w:lang w:val="en-IN" w:eastAsia="en-IN"/>
        </w:rPr>
        <w:t>(Google, 2025)</w:t>
      </w:r>
    </w:p>
    <w:p w14:paraId="7ADF8D85" w14:textId="77777777" w:rsidR="00E54D60" w:rsidRPr="004D7E4B" w:rsidRDefault="008A185F" w:rsidP="004D7E4B">
      <w:pPr>
        <w:pStyle w:val="Heading1"/>
        <w:rPr>
          <w:szCs w:val="24"/>
        </w:rPr>
      </w:pPr>
      <w:bookmarkStart w:id="3" w:name="_Toc224208460"/>
      <w:r w:rsidRPr="004D7E4B">
        <w:rPr>
          <w:szCs w:val="24"/>
        </w:rPr>
        <w:lastRenderedPageBreak/>
        <w:t>Main Body</w:t>
      </w:r>
      <w:bookmarkEnd w:id="3"/>
    </w:p>
    <w:p w14:paraId="6D452D96" w14:textId="77777777" w:rsidR="00E54D60" w:rsidRPr="004D7E4B" w:rsidRDefault="00E54D60" w:rsidP="004D7E4B">
      <w:pPr>
        <w:pStyle w:val="Heading2"/>
        <w:rPr>
          <w:rStyle w:val="Strong"/>
          <w:b w:val="0"/>
          <w:szCs w:val="24"/>
        </w:rPr>
      </w:pPr>
      <w:bookmarkStart w:id="4" w:name="_Toc224208461"/>
      <w:r w:rsidRPr="004D7E4B">
        <w:rPr>
          <w:rStyle w:val="Strong"/>
          <w:szCs w:val="24"/>
        </w:rPr>
        <w:t>Internal and External Environment</w:t>
      </w:r>
      <w:bookmarkEnd w:id="4"/>
      <w:r w:rsidRPr="004D7E4B">
        <w:rPr>
          <w:rStyle w:val="Strong"/>
          <w:b w:val="0"/>
          <w:szCs w:val="24"/>
        </w:rPr>
        <w:t xml:space="preserve"> </w:t>
      </w:r>
    </w:p>
    <w:p w14:paraId="11F2C084" w14:textId="77777777" w:rsidR="00E54D60" w:rsidRPr="004D7E4B" w:rsidRDefault="00E54D60" w:rsidP="004D7E4B">
      <w:pPr>
        <w:rPr>
          <w:szCs w:val="24"/>
        </w:rPr>
      </w:pPr>
      <w:r w:rsidRPr="004D7E4B">
        <w:rPr>
          <w:szCs w:val="24"/>
        </w:rPr>
        <w:t>The external and internal environment should be analyzed in order to realize how Human Resource Management (HRM) reacts to external and internal factors that influence the performance of the organization. The external environment will be considered in the PESTEL model (Political, Economic, Social, Technological, Legal, and Environmental) and the internal in the nature of the organizational culture and Google leaders in this report.</w:t>
      </w:r>
    </w:p>
    <w:p w14:paraId="28D04685" w14:textId="77777777" w:rsidR="00E54D60" w:rsidRPr="004D7E4B" w:rsidRDefault="00E54D60" w:rsidP="004D7E4B">
      <w:pPr>
        <w:rPr>
          <w:b/>
          <w:szCs w:val="24"/>
        </w:rPr>
      </w:pPr>
      <w:r w:rsidRPr="004D7E4B">
        <w:rPr>
          <w:b/>
          <w:szCs w:val="24"/>
        </w:rPr>
        <w:t>PESTLE Analysis: External Environment</w:t>
      </w:r>
    </w:p>
    <w:p w14:paraId="592E297E" w14:textId="77777777" w:rsidR="00E54D60" w:rsidRPr="004D7E4B" w:rsidRDefault="00E54D60" w:rsidP="004D7E4B">
      <w:pPr>
        <w:rPr>
          <w:b/>
          <w:szCs w:val="24"/>
        </w:rPr>
      </w:pPr>
      <w:r w:rsidRPr="004D7E4B">
        <w:rPr>
          <w:b/>
          <w:szCs w:val="24"/>
        </w:rPr>
        <w:t>Political Factors</w:t>
      </w:r>
    </w:p>
    <w:p w14:paraId="5AFAA40F" w14:textId="77777777" w:rsidR="00E54D60" w:rsidRPr="004D7E4B" w:rsidRDefault="00E54D60" w:rsidP="004D7E4B">
      <w:pPr>
        <w:rPr>
          <w:szCs w:val="24"/>
        </w:rPr>
      </w:pPr>
      <w:r w:rsidRPr="004D7E4B">
        <w:rPr>
          <w:szCs w:val="24"/>
        </w:rPr>
        <w:t>Google does business with over 50 countries and political environment, government regulation and trade policies play a significant role in its HR strategies</w:t>
      </w:r>
      <w:r w:rsidR="00527F0C" w:rsidRPr="004D7E4B">
        <w:rPr>
          <w:szCs w:val="24"/>
        </w:rPr>
        <w:t xml:space="preserve"> (Gupta, 2024)</w:t>
      </w:r>
      <w:r w:rsidRPr="004D7E4B">
        <w:rPr>
          <w:szCs w:val="24"/>
        </w:rPr>
        <w:t xml:space="preserve">. To illustrate, in the nations with rigid labor laws like that of France </w:t>
      </w:r>
      <w:r w:rsidR="00527F0C" w:rsidRPr="004D7E4B">
        <w:rPr>
          <w:szCs w:val="24"/>
        </w:rPr>
        <w:t>aligned with workplace protection laws</w:t>
      </w:r>
      <w:r w:rsidRPr="004D7E4B">
        <w:rPr>
          <w:szCs w:val="24"/>
        </w:rPr>
        <w:t xml:space="preserve"> and this can affect employment, termination and remuneration policies. </w:t>
      </w:r>
    </w:p>
    <w:p w14:paraId="5C74B2C2" w14:textId="77777777" w:rsidR="00E54D60" w:rsidRPr="004D7E4B" w:rsidRDefault="00E54D60" w:rsidP="004D7E4B">
      <w:pPr>
        <w:rPr>
          <w:b/>
          <w:szCs w:val="24"/>
        </w:rPr>
      </w:pPr>
      <w:r w:rsidRPr="004D7E4B">
        <w:rPr>
          <w:b/>
          <w:szCs w:val="24"/>
        </w:rPr>
        <w:t>Economic Factors</w:t>
      </w:r>
    </w:p>
    <w:p w14:paraId="03FA981E" w14:textId="77777777" w:rsidR="00E54D60" w:rsidRPr="004D7E4B" w:rsidRDefault="00E54D60" w:rsidP="004D7E4B">
      <w:pPr>
        <w:rPr>
          <w:szCs w:val="24"/>
        </w:rPr>
      </w:pPr>
      <w:r w:rsidRPr="004D7E4B">
        <w:rPr>
          <w:szCs w:val="24"/>
        </w:rPr>
        <w:t xml:space="preserve">The policies of Google have been shaped by economic conditions in the world regarding the recruitment and payment of employees. As an example, in 2020, when the </w:t>
      </w:r>
      <w:r w:rsidR="00527F0C" w:rsidRPr="004D7E4B">
        <w:rPr>
          <w:szCs w:val="24"/>
        </w:rPr>
        <w:t>COVID-19 pandemic was widespread</w:t>
      </w:r>
      <w:r w:rsidRPr="004D7E4B">
        <w:rPr>
          <w:szCs w:val="24"/>
        </w:rPr>
        <w:t xml:space="preserve">, the majority of </w:t>
      </w:r>
      <w:r w:rsidR="00527F0C" w:rsidRPr="004D7E4B">
        <w:rPr>
          <w:szCs w:val="24"/>
        </w:rPr>
        <w:t>technology-oriented</w:t>
      </w:r>
      <w:r w:rsidRPr="004D7E4B">
        <w:rPr>
          <w:szCs w:val="24"/>
        </w:rPr>
        <w:t xml:space="preserve"> and reduced hiring rates due to economic challenges, such as Google</w:t>
      </w:r>
      <w:r w:rsidR="000C4C31" w:rsidRPr="004D7E4B">
        <w:rPr>
          <w:szCs w:val="24"/>
        </w:rPr>
        <w:t xml:space="preserve"> (Osman and Ataei, 2026)</w:t>
      </w:r>
      <w:r w:rsidRPr="004D7E4B">
        <w:rPr>
          <w:szCs w:val="24"/>
        </w:rPr>
        <w:t xml:space="preserve">. </w:t>
      </w:r>
    </w:p>
    <w:p w14:paraId="3FAA6FFF" w14:textId="77777777" w:rsidR="00E54D60" w:rsidRPr="004D7E4B" w:rsidRDefault="00E54D60" w:rsidP="004D7E4B">
      <w:pPr>
        <w:rPr>
          <w:b/>
          <w:szCs w:val="24"/>
        </w:rPr>
      </w:pPr>
      <w:r w:rsidRPr="004D7E4B">
        <w:rPr>
          <w:b/>
          <w:szCs w:val="24"/>
        </w:rPr>
        <w:t>Social Factors</w:t>
      </w:r>
    </w:p>
    <w:p w14:paraId="08974CDA" w14:textId="77777777" w:rsidR="00E54D60" w:rsidRPr="004D7E4B" w:rsidRDefault="00E54D60" w:rsidP="004D7E4B">
      <w:pPr>
        <w:rPr>
          <w:szCs w:val="24"/>
        </w:rPr>
      </w:pPr>
      <w:r w:rsidRPr="004D7E4B">
        <w:rPr>
          <w:szCs w:val="24"/>
        </w:rPr>
        <w:t xml:space="preserve">The workplace diversity of Google is based on the culturally diverse conditions that workers work under, and that influence the HR-related employee relations and performance management practices. Having an example, the U.S. HR is likely to be more preoccupied with inclusivity and diversity, whereas the HR in Japan is likely to be more preoccupied with the value of collectivism and teamwork. </w:t>
      </w:r>
    </w:p>
    <w:p w14:paraId="2F6BF80D" w14:textId="77777777" w:rsidR="00E54D60" w:rsidRPr="004D7E4B" w:rsidRDefault="00E54D60" w:rsidP="004D7E4B">
      <w:pPr>
        <w:rPr>
          <w:b/>
          <w:szCs w:val="24"/>
        </w:rPr>
      </w:pPr>
      <w:r w:rsidRPr="004D7E4B">
        <w:rPr>
          <w:b/>
          <w:szCs w:val="24"/>
        </w:rPr>
        <w:t>Technological Factors</w:t>
      </w:r>
    </w:p>
    <w:p w14:paraId="5C17CEAE" w14:textId="77777777" w:rsidR="00E54D60" w:rsidRPr="004D7E4B" w:rsidRDefault="00E54D60" w:rsidP="004D7E4B">
      <w:pPr>
        <w:rPr>
          <w:szCs w:val="24"/>
        </w:rPr>
      </w:pPr>
      <w:r w:rsidRPr="004D7E4B">
        <w:rPr>
          <w:szCs w:val="24"/>
        </w:rPr>
        <w:t xml:space="preserve">Google is a frontrunner regarding the technological advances, and Artificial Intelligence (AI) and machine learning have already found their place in the HR practices. Google utilizes predictive analytics and databases recruitments within the performance management. Furthermore, technology enables Google to conduct training and development online, which gives the employees time to upgrade at the comfort of their homes. </w:t>
      </w:r>
    </w:p>
    <w:p w14:paraId="1860DFC0" w14:textId="77777777" w:rsidR="00E54D60" w:rsidRPr="004D7E4B" w:rsidRDefault="00E54D60" w:rsidP="004D7E4B">
      <w:pPr>
        <w:rPr>
          <w:b/>
          <w:szCs w:val="24"/>
        </w:rPr>
      </w:pPr>
      <w:r w:rsidRPr="004D7E4B">
        <w:rPr>
          <w:b/>
          <w:szCs w:val="24"/>
        </w:rPr>
        <w:t>Legal Factors</w:t>
      </w:r>
    </w:p>
    <w:p w14:paraId="577489DD" w14:textId="77777777" w:rsidR="00E54D60" w:rsidRPr="004D7E4B" w:rsidRDefault="00E54D60" w:rsidP="004D7E4B">
      <w:pPr>
        <w:rPr>
          <w:szCs w:val="24"/>
        </w:rPr>
      </w:pPr>
      <w:r w:rsidRPr="004D7E4B">
        <w:rPr>
          <w:szCs w:val="24"/>
        </w:rPr>
        <w:lastRenderedPageBreak/>
        <w:t xml:space="preserve">The legal laws that directly influence the Google HR practices refer to the labor laws, </w:t>
      </w:r>
      <w:r w:rsidR="000C6A26">
        <w:t>data privacy regulations</w:t>
      </w:r>
      <w:r w:rsidRPr="004D7E4B">
        <w:rPr>
          <w:szCs w:val="24"/>
        </w:rPr>
        <w:t xml:space="preserve"> in various countries</w:t>
      </w:r>
      <w:r w:rsidR="000C4C31" w:rsidRPr="004D7E4B">
        <w:rPr>
          <w:szCs w:val="24"/>
        </w:rPr>
        <w:t xml:space="preserve"> (Bag and Rahman, 2021)</w:t>
      </w:r>
      <w:r w:rsidRPr="004D7E4B">
        <w:rPr>
          <w:szCs w:val="24"/>
        </w:rPr>
        <w:t xml:space="preserve">. In the example of the General Data Protection Regulation (GDPR) in as much as Europe is concerned, there are several tough regulations on data protection that have affected the manner in which Google employee data is being processed and </w:t>
      </w:r>
      <w:r w:rsidR="000C6A26">
        <w:rPr>
          <w:szCs w:val="24"/>
        </w:rPr>
        <w:t>it has been specified that</w:t>
      </w:r>
      <w:r w:rsidR="000C6A26" w:rsidRPr="000C6A26">
        <w:t xml:space="preserve"> </w:t>
      </w:r>
      <w:r w:rsidR="000C6A26">
        <w:t>ensure compliance with data protection laws</w:t>
      </w:r>
      <w:r w:rsidRPr="004D7E4B">
        <w:rPr>
          <w:szCs w:val="24"/>
        </w:rPr>
        <w:t>.</w:t>
      </w:r>
    </w:p>
    <w:p w14:paraId="2CD9B735" w14:textId="77777777" w:rsidR="00E54D60" w:rsidRPr="004D7E4B" w:rsidRDefault="00E54D60" w:rsidP="004D7E4B">
      <w:pPr>
        <w:rPr>
          <w:b/>
          <w:szCs w:val="24"/>
        </w:rPr>
      </w:pPr>
      <w:r w:rsidRPr="004D7E4B">
        <w:rPr>
          <w:b/>
          <w:szCs w:val="24"/>
        </w:rPr>
        <w:t>Environmental Factors</w:t>
      </w:r>
    </w:p>
    <w:p w14:paraId="37563084" w14:textId="77777777" w:rsidR="00E54D60" w:rsidRPr="004D7E4B" w:rsidRDefault="000C4C31" w:rsidP="004D7E4B">
      <w:pPr>
        <w:rPr>
          <w:szCs w:val="24"/>
        </w:rPr>
      </w:pPr>
      <w:r w:rsidRPr="004D7E4B">
        <w:rPr>
          <w:szCs w:val="24"/>
        </w:rPr>
        <w:t>Green</w:t>
      </w:r>
      <w:r w:rsidR="00527F0C" w:rsidRPr="004D7E4B">
        <w:rPr>
          <w:szCs w:val="24"/>
        </w:rPr>
        <w:t xml:space="preserve"> sustainability</w:t>
      </w:r>
      <w:r w:rsidR="00E54D60" w:rsidRPr="004D7E4B">
        <w:rPr>
          <w:szCs w:val="24"/>
        </w:rPr>
        <w:t xml:space="preserve"> is emerging as a significant issue in HRM. Google is strongly committed to the principle of sustainability that translates to its HR practices by recruitment (attracting green conscious employees), employee benefits and corporate social responsibility activities. To illustrate this point, </w:t>
      </w:r>
      <w:r w:rsidR="000C6A26">
        <w:t>Google's Green Workforce program</w:t>
      </w:r>
      <w:r w:rsidR="00E54D60" w:rsidRPr="004D7E4B">
        <w:rPr>
          <w:szCs w:val="24"/>
        </w:rPr>
        <w:t xml:space="preserve"> promotes eco-friendly and green employee environmental practices in respect to its environmental goals</w:t>
      </w:r>
      <w:r w:rsidRPr="004D7E4B">
        <w:rPr>
          <w:szCs w:val="24"/>
        </w:rPr>
        <w:t xml:space="preserve"> (Usman et al., 2022)</w:t>
      </w:r>
      <w:r w:rsidR="00E54D60" w:rsidRPr="004D7E4B">
        <w:rPr>
          <w:szCs w:val="24"/>
        </w:rPr>
        <w:t>.</w:t>
      </w:r>
    </w:p>
    <w:p w14:paraId="008FFDA4" w14:textId="77777777" w:rsidR="00E54D60" w:rsidRPr="004D7E4B" w:rsidRDefault="00E54D60" w:rsidP="004D7E4B">
      <w:pPr>
        <w:rPr>
          <w:b/>
          <w:szCs w:val="24"/>
        </w:rPr>
      </w:pPr>
      <w:r w:rsidRPr="004D7E4B">
        <w:rPr>
          <w:b/>
          <w:szCs w:val="24"/>
        </w:rPr>
        <w:t>Link to HR Functions</w:t>
      </w:r>
    </w:p>
    <w:p w14:paraId="2F022D35" w14:textId="77777777" w:rsidR="00E54D60" w:rsidRDefault="00E54D60" w:rsidP="004D7E4B">
      <w:pPr>
        <w:rPr>
          <w:szCs w:val="24"/>
        </w:rPr>
      </w:pPr>
      <w:r w:rsidRPr="004D7E4B">
        <w:rPr>
          <w:szCs w:val="24"/>
        </w:rPr>
        <w:t xml:space="preserve">The HR practices of Google have been highly centralized by the organizational culture. Google has put a decent emphasis on staff autonomy, creativity, and collaboration and brags of an innovative, open, and inclusive work setting. These values will be facilitated by the HR practices instead of collaboration and culture of transparency and inclusivity. </w:t>
      </w:r>
    </w:p>
    <w:p w14:paraId="018D1FAD" w14:textId="77777777" w:rsidR="00DA3334" w:rsidRDefault="00000000" w:rsidP="00DA3334">
      <w:pPr>
        <w:keepNext/>
        <w:jc w:val="center"/>
      </w:pPr>
      <w:r>
        <w:rPr>
          <w:noProof/>
        </w:rPr>
        <w:fldChar w:fldCharType="begin"/>
      </w:r>
      <w:r>
        <w:rPr>
          <w:noProof/>
        </w:rPr>
        <w:instrText xml:space="preserve"> INCLUDEPICTURE  "https://consulterce.com/wp-content/uploads/2021/01/pestle-components.png" \* MERGEFORMATINET </w:instrText>
      </w:r>
      <w:r>
        <w:rPr>
          <w:noProof/>
        </w:rPr>
        <w:fldChar w:fldCharType="separate"/>
      </w:r>
      <w:r>
        <w:rPr>
          <w:noProof/>
        </w:rPr>
        <w:fldChar w:fldCharType="begin"/>
      </w:r>
      <w:r>
        <w:rPr>
          <w:noProof/>
        </w:rPr>
        <w:instrText xml:space="preserve"> INCLUDEPICTURE  "https://consulterce.com/wp-content/uploads/2021/01/pestle-components.png" \* MERGEFORMATINET </w:instrText>
      </w:r>
      <w:r>
        <w:rPr>
          <w:noProof/>
        </w:rPr>
        <w:fldChar w:fldCharType="separate"/>
      </w:r>
      <w:r w:rsidR="00013FD6">
        <w:rPr>
          <w:noProof/>
        </w:rPr>
        <w:pict w14:anchorId="7F5A6C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ESTLE Analysis: The Macro-Environmental Framework Explained" style="width:250.4pt;height:281.55pt;mso-width-percent:0;mso-height-percent:0;mso-width-percent:0;mso-height-percent:0">
            <v:imagedata r:id="rId11" r:href="rId12"/>
          </v:shape>
        </w:pict>
      </w:r>
      <w:r>
        <w:rPr>
          <w:noProof/>
        </w:rPr>
        <w:fldChar w:fldCharType="end"/>
      </w:r>
      <w:r>
        <w:rPr>
          <w:noProof/>
        </w:rPr>
        <w:fldChar w:fldCharType="end"/>
      </w:r>
    </w:p>
    <w:p w14:paraId="1E04F186" w14:textId="77777777" w:rsidR="00DA3334" w:rsidRDefault="00DA3334" w:rsidP="00DA3334">
      <w:pPr>
        <w:pStyle w:val="Caption"/>
        <w:jc w:val="center"/>
      </w:pPr>
      <w:bookmarkStart w:id="5" w:name="_Toc224208642"/>
      <w:r>
        <w:t xml:space="preserve">Figure </w:t>
      </w:r>
      <w:fldSimple w:instr=" SEQ Figure \* ARABIC ">
        <w:r>
          <w:rPr>
            <w:noProof/>
          </w:rPr>
          <w:t>2</w:t>
        </w:r>
      </w:fldSimple>
      <w:r>
        <w:t xml:space="preserve">: </w:t>
      </w:r>
      <w:r w:rsidRPr="00FF130B">
        <w:t>PESTLE Analysis</w:t>
      </w:r>
      <w:bookmarkEnd w:id="5"/>
    </w:p>
    <w:p w14:paraId="3EB27052" w14:textId="77777777" w:rsidR="00DA3334" w:rsidRPr="00DA3334" w:rsidRDefault="00DA3334" w:rsidP="00DA3334">
      <w:pPr>
        <w:suppressAutoHyphens w:val="0"/>
        <w:spacing w:line="240" w:lineRule="auto"/>
        <w:jc w:val="center"/>
        <w:rPr>
          <w:rFonts w:eastAsia="Times New Roman"/>
          <w:i/>
          <w:color w:val="auto"/>
          <w:szCs w:val="24"/>
          <w:lang w:val="en-IN" w:eastAsia="en-IN"/>
        </w:rPr>
      </w:pPr>
      <w:r w:rsidRPr="00DA3334">
        <w:rPr>
          <w:i/>
        </w:rPr>
        <w:lastRenderedPageBreak/>
        <w:t xml:space="preserve">Source: </w:t>
      </w:r>
      <w:r w:rsidRPr="00DA3334">
        <w:rPr>
          <w:rFonts w:eastAsia="Times New Roman"/>
          <w:i/>
          <w:color w:val="auto"/>
          <w:szCs w:val="24"/>
          <w:lang w:val="en-IN" w:eastAsia="en-IN"/>
        </w:rPr>
        <w:t>(Heubel, 2024)</w:t>
      </w:r>
    </w:p>
    <w:p w14:paraId="5E8BBDD3" w14:textId="77777777" w:rsidR="00E54D60" w:rsidRPr="004D7E4B" w:rsidRDefault="00E54D60" w:rsidP="004D7E4B">
      <w:pPr>
        <w:pStyle w:val="Heading2"/>
        <w:rPr>
          <w:rStyle w:val="Strong"/>
          <w:b w:val="0"/>
          <w:szCs w:val="24"/>
        </w:rPr>
      </w:pPr>
      <w:bookmarkStart w:id="6" w:name="_Toc224208462"/>
      <w:r w:rsidRPr="004D7E4B">
        <w:rPr>
          <w:rStyle w:val="Strong"/>
          <w:szCs w:val="24"/>
        </w:rPr>
        <w:t>Organization Application</w:t>
      </w:r>
      <w:bookmarkEnd w:id="6"/>
      <w:r w:rsidRPr="004D7E4B">
        <w:rPr>
          <w:rStyle w:val="Strong"/>
          <w:b w:val="0"/>
          <w:szCs w:val="24"/>
        </w:rPr>
        <w:t xml:space="preserve"> </w:t>
      </w:r>
    </w:p>
    <w:p w14:paraId="31FE1ECC" w14:textId="77777777" w:rsidR="00E54D60" w:rsidRPr="004D7E4B" w:rsidRDefault="00E54D60" w:rsidP="004D7E4B">
      <w:pPr>
        <w:rPr>
          <w:b/>
          <w:szCs w:val="24"/>
        </w:rPr>
      </w:pPr>
      <w:r w:rsidRPr="004D7E4B">
        <w:rPr>
          <w:b/>
          <w:szCs w:val="24"/>
        </w:rPr>
        <w:t>Google’s Global Presence</w:t>
      </w:r>
    </w:p>
    <w:p w14:paraId="7CF03519" w14:textId="77777777" w:rsidR="00E54D60" w:rsidRPr="004D7E4B" w:rsidRDefault="00E54D60" w:rsidP="004D7E4B">
      <w:pPr>
        <w:rPr>
          <w:szCs w:val="24"/>
        </w:rPr>
      </w:pPr>
      <w:r w:rsidRPr="004D7E4B">
        <w:rPr>
          <w:szCs w:val="24"/>
        </w:rPr>
        <w:t>Google being a subsidiary of Alphabet Inc. operates in over 50 countries and this is one of the most suitable organizations to analyse as a multinational organization</w:t>
      </w:r>
      <w:r w:rsidR="000C4C31" w:rsidRPr="004D7E4B">
        <w:rPr>
          <w:szCs w:val="24"/>
        </w:rPr>
        <w:t xml:space="preserve"> (Pashchenko et al., 2023)</w:t>
      </w:r>
      <w:r w:rsidRPr="004D7E4B">
        <w:rPr>
          <w:szCs w:val="24"/>
        </w:rPr>
        <w:t>. Google employs more than 150,000 people in various parts of the world and the HR functions have been formulated to adapt to the diverse cultural, economic and legal environments</w:t>
      </w:r>
      <w:r w:rsidR="000C4C31" w:rsidRPr="004D7E4B">
        <w:rPr>
          <w:szCs w:val="24"/>
        </w:rPr>
        <w:t xml:space="preserve"> (Rothschadl and Dissertation, 2023)</w:t>
      </w:r>
      <w:r w:rsidRPr="004D7E4B">
        <w:rPr>
          <w:szCs w:val="24"/>
        </w:rPr>
        <w:t>. Google is one of the most technologically advanced organizations whose human resource policies are under constant change to suit the global workforce as it grows.</w:t>
      </w:r>
    </w:p>
    <w:p w14:paraId="2631FABE" w14:textId="77777777" w:rsidR="00E54D60" w:rsidRPr="004D7E4B" w:rsidRDefault="00E54D60" w:rsidP="004D7E4B">
      <w:pPr>
        <w:rPr>
          <w:b/>
          <w:szCs w:val="24"/>
        </w:rPr>
      </w:pPr>
      <w:r w:rsidRPr="004D7E4B">
        <w:rPr>
          <w:b/>
          <w:szCs w:val="24"/>
        </w:rPr>
        <w:t>HR Practices at Google</w:t>
      </w:r>
    </w:p>
    <w:p w14:paraId="666D0BD6" w14:textId="77777777" w:rsidR="00E54D60" w:rsidRPr="004D7E4B" w:rsidRDefault="00E54D60" w:rsidP="004D7E4B">
      <w:pPr>
        <w:rPr>
          <w:b/>
          <w:szCs w:val="24"/>
        </w:rPr>
      </w:pPr>
      <w:r w:rsidRPr="004D7E4B">
        <w:rPr>
          <w:b/>
          <w:szCs w:val="24"/>
        </w:rPr>
        <w:t>Recruitment</w:t>
      </w:r>
    </w:p>
    <w:p w14:paraId="006BEF28" w14:textId="77777777" w:rsidR="00E54D60" w:rsidRPr="004D7E4B" w:rsidRDefault="00E54D60" w:rsidP="004D7E4B">
      <w:pPr>
        <w:rPr>
          <w:szCs w:val="24"/>
        </w:rPr>
      </w:pPr>
      <w:r w:rsidRPr="004D7E4B">
        <w:rPr>
          <w:szCs w:val="24"/>
        </w:rPr>
        <w:t>Google has also been reported to possess a hard-line recruitment process that can also be at times characterized as one of the most intense processes in the technology industry. The company uses data in their techniques such as structured interviews, predictive analysis among others to ensure that they are hiring the best talent. The localization of this process takes place and at this stage this should be streamlined to meet the international and country specific regulations.</w:t>
      </w:r>
    </w:p>
    <w:p w14:paraId="47C27FE9" w14:textId="77777777" w:rsidR="00E54D60" w:rsidRPr="004D7E4B" w:rsidRDefault="00E54D60" w:rsidP="004D7E4B">
      <w:pPr>
        <w:rPr>
          <w:b/>
          <w:szCs w:val="24"/>
        </w:rPr>
      </w:pPr>
      <w:r w:rsidRPr="004D7E4B">
        <w:rPr>
          <w:b/>
          <w:szCs w:val="24"/>
        </w:rPr>
        <w:t>Training and Development</w:t>
      </w:r>
    </w:p>
    <w:p w14:paraId="0BB1F832" w14:textId="77777777" w:rsidR="00E54D60" w:rsidRPr="004D7E4B" w:rsidRDefault="00E54D60" w:rsidP="004D7E4B">
      <w:pPr>
        <w:rPr>
          <w:szCs w:val="24"/>
        </w:rPr>
      </w:pPr>
      <w:r w:rsidRPr="004D7E4B">
        <w:rPr>
          <w:szCs w:val="24"/>
        </w:rPr>
        <w:t>Google gives lifetime learning to their staff that is being delivered by way of Google Career Certificates and internal mentorship programs. The programs allow employees to gain their competencies and enjoy the flexible work-life system.</w:t>
      </w:r>
    </w:p>
    <w:p w14:paraId="458B6058" w14:textId="77777777" w:rsidR="00E54D60" w:rsidRPr="004D7E4B" w:rsidRDefault="00E54D60" w:rsidP="004D7E4B">
      <w:pPr>
        <w:rPr>
          <w:b/>
          <w:szCs w:val="24"/>
        </w:rPr>
      </w:pPr>
      <w:r w:rsidRPr="004D7E4B">
        <w:rPr>
          <w:b/>
          <w:szCs w:val="24"/>
        </w:rPr>
        <w:t>Performance Management</w:t>
      </w:r>
    </w:p>
    <w:p w14:paraId="0EFBE311" w14:textId="77777777" w:rsidR="00E54D60" w:rsidRPr="004D7E4B" w:rsidRDefault="00E54D60" w:rsidP="004D7E4B">
      <w:pPr>
        <w:rPr>
          <w:szCs w:val="24"/>
        </w:rPr>
      </w:pPr>
      <w:r w:rsidRPr="004D7E4B">
        <w:rPr>
          <w:szCs w:val="24"/>
        </w:rPr>
        <w:t>Google performance management system is created on the foundation of the concept of OKRs (Objectives and Key Results) in such a way that goals of each employee must be aligned to the company goals. The system promotes the existence of a feedback loop and lays emphasis on individual growth.</w:t>
      </w:r>
    </w:p>
    <w:p w14:paraId="7042C782" w14:textId="77777777" w:rsidR="00E54D60" w:rsidRPr="004D7E4B" w:rsidRDefault="00E54D60" w:rsidP="004D7E4B">
      <w:pPr>
        <w:pStyle w:val="Heading2"/>
        <w:rPr>
          <w:rStyle w:val="Strong"/>
          <w:szCs w:val="24"/>
        </w:rPr>
      </w:pPr>
      <w:bookmarkStart w:id="7" w:name="_Toc224208463"/>
      <w:r w:rsidRPr="004D7E4B">
        <w:rPr>
          <w:rStyle w:val="Strong"/>
          <w:szCs w:val="24"/>
        </w:rPr>
        <w:t>Application of Model</w:t>
      </w:r>
      <w:bookmarkEnd w:id="7"/>
      <w:r w:rsidRPr="004D7E4B">
        <w:rPr>
          <w:rStyle w:val="Strong"/>
          <w:szCs w:val="24"/>
        </w:rPr>
        <w:t xml:space="preserve"> </w:t>
      </w:r>
    </w:p>
    <w:p w14:paraId="4CECB93E" w14:textId="77777777" w:rsidR="00E54D60" w:rsidRPr="004D7E4B" w:rsidRDefault="00E54D60" w:rsidP="004D7E4B">
      <w:pPr>
        <w:rPr>
          <w:color w:val="auto"/>
          <w:szCs w:val="24"/>
          <w:lang w:val="en-IN" w:eastAsia="en-IN"/>
        </w:rPr>
      </w:pPr>
      <w:r w:rsidRPr="004D7E4B">
        <w:rPr>
          <w:rStyle w:val="Strong"/>
          <w:bCs w:val="0"/>
          <w:szCs w:val="24"/>
        </w:rPr>
        <w:t>Impact of PESTLE on Google’s HR Practices</w:t>
      </w:r>
    </w:p>
    <w:p w14:paraId="308B5278" w14:textId="77777777" w:rsidR="00E54D60" w:rsidRPr="004D7E4B" w:rsidRDefault="00E54D60" w:rsidP="004D7E4B">
      <w:pPr>
        <w:rPr>
          <w:szCs w:val="24"/>
        </w:rPr>
      </w:pPr>
      <w:r w:rsidRPr="004D7E4B">
        <w:rPr>
          <w:szCs w:val="24"/>
        </w:rPr>
        <w:t>The PESTLE model will also offer a holistic view of the structure of the external environment factors that influence HR practices at Google. In this case, we will explore how each component of the PESTLE analysis impacts the HR practices at Google in respect to the method used in recruitment, employer-employee relationship, employee performance and organizational legality.</w:t>
      </w:r>
    </w:p>
    <w:p w14:paraId="6BE7A25A" w14:textId="77777777" w:rsidR="00E54D60" w:rsidRPr="004D7E4B" w:rsidRDefault="00E54D60" w:rsidP="004D7E4B">
      <w:pPr>
        <w:rPr>
          <w:b/>
          <w:szCs w:val="24"/>
        </w:rPr>
      </w:pPr>
      <w:r w:rsidRPr="004D7E4B">
        <w:rPr>
          <w:b/>
          <w:szCs w:val="24"/>
        </w:rPr>
        <w:lastRenderedPageBreak/>
        <w:t>Political Factors</w:t>
      </w:r>
    </w:p>
    <w:p w14:paraId="304C51F4" w14:textId="77777777" w:rsidR="00920253" w:rsidRPr="004D7E4B" w:rsidRDefault="00920253" w:rsidP="004D7E4B">
      <w:pPr>
        <w:rPr>
          <w:szCs w:val="24"/>
          <w:lang w:val="en-IN"/>
        </w:rPr>
      </w:pPr>
      <w:r w:rsidRPr="004D7E4B">
        <w:rPr>
          <w:szCs w:val="24"/>
        </w:rPr>
        <w:t>The HR practice in the multinational companies like Google is driven heavily by the political stability and the government policies</w:t>
      </w:r>
      <w:r w:rsidR="000C4C31" w:rsidRPr="004D7E4B">
        <w:rPr>
          <w:rFonts w:eastAsia="Times New Roman"/>
          <w:color w:val="auto"/>
          <w:szCs w:val="24"/>
          <w:lang w:val="en-IN" w:eastAsia="en-IN"/>
        </w:rPr>
        <w:t xml:space="preserve"> </w:t>
      </w:r>
      <w:r w:rsidR="000C4C31" w:rsidRPr="004D7E4B">
        <w:rPr>
          <w:szCs w:val="24"/>
          <w:lang w:val="en-IN"/>
        </w:rPr>
        <w:t>(Chen, Yang and Lin, 2024)</w:t>
      </w:r>
      <w:r w:rsidRPr="004D7E4B">
        <w:rPr>
          <w:szCs w:val="24"/>
        </w:rPr>
        <w:t xml:space="preserve">. Specifically, the employment legislation of the U.S. and the United Kingdom presents a course of action regarding the rights of workers, diversity, and inclusion. Staffing strategies of Google worldwide are also shaped by international relations and trade policies although India is the most appropriate example of how government policies shape HR since people are advised to prioritize inclusivity with affirmative action. </w:t>
      </w:r>
    </w:p>
    <w:p w14:paraId="7AF0CFD5" w14:textId="77777777" w:rsidR="00E54D60" w:rsidRPr="004D7E4B" w:rsidRDefault="00E54D60" w:rsidP="004D7E4B">
      <w:pPr>
        <w:rPr>
          <w:b/>
          <w:szCs w:val="24"/>
        </w:rPr>
      </w:pPr>
      <w:r w:rsidRPr="004D7E4B">
        <w:rPr>
          <w:b/>
          <w:szCs w:val="24"/>
        </w:rPr>
        <w:t>Economic Factors</w:t>
      </w:r>
    </w:p>
    <w:p w14:paraId="0362288D" w14:textId="77777777" w:rsidR="00920253" w:rsidRPr="004D7E4B" w:rsidRDefault="00920253" w:rsidP="004D7E4B">
      <w:pPr>
        <w:rPr>
          <w:szCs w:val="24"/>
        </w:rPr>
      </w:pPr>
      <w:r w:rsidRPr="004D7E4B">
        <w:rPr>
          <w:szCs w:val="24"/>
        </w:rPr>
        <w:t xml:space="preserve">The HR strategies of Google are largely influenced by economic environment. The competition on the best talent is intensified during periods of financial booms, including a new era of digital economy, so Google is diligently trying to enhance remuneration scales and benefits to get hold of some talented employees. Instead, during the period of recession in the economy, which was experienced during the 2008 financial crisis and the 2021 COVID-19 pandemic, then the company must implement freezes on recruitment and restrict remuneration. </w:t>
      </w:r>
    </w:p>
    <w:p w14:paraId="67BA5A99" w14:textId="77777777" w:rsidR="00E54D60" w:rsidRPr="004D7E4B" w:rsidRDefault="00E54D60" w:rsidP="004D7E4B">
      <w:pPr>
        <w:rPr>
          <w:b/>
          <w:szCs w:val="24"/>
        </w:rPr>
      </w:pPr>
      <w:r w:rsidRPr="004D7E4B">
        <w:rPr>
          <w:b/>
          <w:szCs w:val="24"/>
        </w:rPr>
        <w:t>Social Factors</w:t>
      </w:r>
    </w:p>
    <w:p w14:paraId="73329451" w14:textId="77777777" w:rsidR="00920253" w:rsidRPr="004D7E4B" w:rsidRDefault="00920253" w:rsidP="004D7E4B">
      <w:pPr>
        <w:rPr>
          <w:szCs w:val="24"/>
        </w:rPr>
      </w:pPr>
      <w:r w:rsidRPr="004D7E4B">
        <w:rPr>
          <w:szCs w:val="24"/>
        </w:rPr>
        <w:t>The HR practices of Google are rooted on its cultural and social characteristics such as employee relation and work culture. Google focuses on individual growth, invention and independence in the U.S whereby individualism is prioritized. On the other hand, the disposition of the practices in Japan which is more collectivist oriented is centered on teamwork, cooperation and career development of them. The recent COVID-19 situation also helped to create a concept of a hybrid type of work that makes the HR more responsive to changes to meet the new requirements and social predispositions of the workforce.</w:t>
      </w:r>
    </w:p>
    <w:p w14:paraId="7670E77A" w14:textId="77777777" w:rsidR="00E54D60" w:rsidRPr="004D7E4B" w:rsidRDefault="00E54D60" w:rsidP="004D7E4B">
      <w:pPr>
        <w:rPr>
          <w:b/>
          <w:szCs w:val="24"/>
        </w:rPr>
      </w:pPr>
      <w:r w:rsidRPr="004D7E4B">
        <w:rPr>
          <w:b/>
          <w:szCs w:val="24"/>
        </w:rPr>
        <w:t>Technological Factors</w:t>
      </w:r>
    </w:p>
    <w:p w14:paraId="646D1D7E" w14:textId="77777777" w:rsidR="00E54D60" w:rsidRPr="004D7E4B" w:rsidRDefault="00E54D60" w:rsidP="004D7E4B">
      <w:pPr>
        <w:rPr>
          <w:szCs w:val="24"/>
        </w:rPr>
      </w:pPr>
      <w:r w:rsidRPr="004D7E4B">
        <w:rPr>
          <w:szCs w:val="24"/>
        </w:rPr>
        <w:t>Google has relied on technological innovations as its HR practices. Google uses its Hire, which is an artificial intelligence recruitment system as an example, most of the hiring is done by bots, which will contribute to the quicker and more accurate selection of the candidates. Such tools as Google OKRs are also essential in performance management that follows the progress of the staff and the comparison of their goals with the company ones. Among the efficiency improvement and the possibility to use the data-driven method of decision-making, the introduction of technology in HR helps Google serve its div</w:t>
      </w:r>
      <w:r w:rsidR="00920253" w:rsidRPr="004D7E4B">
        <w:rPr>
          <w:szCs w:val="24"/>
        </w:rPr>
        <w:t>erse and vast global workforce</w:t>
      </w:r>
      <w:r w:rsidR="00BA17E9" w:rsidRPr="004D7E4B">
        <w:rPr>
          <w:szCs w:val="24"/>
        </w:rPr>
        <w:t xml:space="preserve"> (Tonova et al., 2025)</w:t>
      </w:r>
      <w:r w:rsidR="00920253" w:rsidRPr="004D7E4B">
        <w:rPr>
          <w:szCs w:val="24"/>
        </w:rPr>
        <w:t>.</w:t>
      </w:r>
    </w:p>
    <w:p w14:paraId="49115373" w14:textId="77777777" w:rsidR="00E54D60" w:rsidRPr="004D7E4B" w:rsidRDefault="00E54D60" w:rsidP="004D7E4B">
      <w:pPr>
        <w:rPr>
          <w:b/>
          <w:szCs w:val="24"/>
        </w:rPr>
      </w:pPr>
      <w:r w:rsidRPr="004D7E4B">
        <w:rPr>
          <w:b/>
          <w:szCs w:val="24"/>
        </w:rPr>
        <w:lastRenderedPageBreak/>
        <w:t>Legal Factors</w:t>
      </w:r>
    </w:p>
    <w:p w14:paraId="38BB331A" w14:textId="77777777" w:rsidR="00920253" w:rsidRPr="004D7E4B" w:rsidRDefault="00E54D60" w:rsidP="004D7E4B">
      <w:pPr>
        <w:rPr>
          <w:szCs w:val="24"/>
        </w:rPr>
      </w:pPr>
      <w:r w:rsidRPr="004D7E4B">
        <w:rPr>
          <w:szCs w:val="24"/>
        </w:rPr>
        <w:t xml:space="preserve">The legal issues that affect the practices of HR in Google are labor laws and regulations. Google is an excellent employer, due to its compliance with labor regulations in different territories. European Union is an example where Google is subject to strict labor laws which entail labor laws including the entitlements of paid leaves, working hours and rights of workers. In addition, information protection laws, such as the General Data Protection Regulation (GDPR) in Europe, require strong conditions to the treatment of the respective information of the employees by Google. </w:t>
      </w:r>
    </w:p>
    <w:p w14:paraId="00A43B80" w14:textId="77777777" w:rsidR="00E54D60" w:rsidRPr="004D7E4B" w:rsidRDefault="00E54D60" w:rsidP="004D7E4B">
      <w:pPr>
        <w:rPr>
          <w:b/>
          <w:szCs w:val="24"/>
        </w:rPr>
      </w:pPr>
      <w:r w:rsidRPr="004D7E4B">
        <w:rPr>
          <w:b/>
          <w:szCs w:val="24"/>
        </w:rPr>
        <w:t>Environmental Factors</w:t>
      </w:r>
    </w:p>
    <w:p w14:paraId="378B42D1" w14:textId="77777777" w:rsidR="00E54D60" w:rsidRPr="004D7E4B" w:rsidRDefault="00E54D60" w:rsidP="004D7E4B">
      <w:pPr>
        <w:rPr>
          <w:szCs w:val="24"/>
        </w:rPr>
      </w:pPr>
      <w:r w:rsidRPr="004D7E4B">
        <w:rPr>
          <w:szCs w:val="24"/>
        </w:rPr>
        <w:t xml:space="preserve">The ecological issues also acquired some ballast in the determination of HR practices with global sustainability campaigns contributing to the corporate policies. The HR practices of Google are aligned with its overall sustainability goals that include reducing its carbon footprint and ensuring green practices. Google has faith in its employees to participate in sustainability efforts such as the Green workforce program within the company that enhances sustainability practices at both the workplace and off the workplace. </w:t>
      </w:r>
    </w:p>
    <w:p w14:paraId="748F10EF" w14:textId="77777777" w:rsidR="00920253" w:rsidRPr="004D7E4B" w:rsidRDefault="00920253" w:rsidP="004D7E4B">
      <w:pPr>
        <w:rPr>
          <w:szCs w:val="24"/>
        </w:rPr>
      </w:pPr>
    </w:p>
    <w:p w14:paraId="2F89914B" w14:textId="77777777" w:rsidR="00E54D60" w:rsidRPr="004D7E4B" w:rsidRDefault="00E54D60" w:rsidP="004D7E4B">
      <w:pPr>
        <w:rPr>
          <w:b/>
          <w:szCs w:val="24"/>
        </w:rPr>
      </w:pPr>
      <w:r w:rsidRPr="004D7E4B">
        <w:rPr>
          <w:b/>
          <w:szCs w:val="24"/>
        </w:rPr>
        <w:t>Particulars in</w:t>
      </w:r>
      <w:r w:rsidR="00920253" w:rsidRPr="004D7E4B">
        <w:rPr>
          <w:b/>
          <w:szCs w:val="24"/>
        </w:rPr>
        <w:t xml:space="preserve"> HR practices within a country</w:t>
      </w:r>
    </w:p>
    <w:p w14:paraId="4B97B673" w14:textId="77777777" w:rsidR="004D7E4B" w:rsidRDefault="00E54D60" w:rsidP="004D7E4B">
      <w:pPr>
        <w:rPr>
          <w:szCs w:val="24"/>
        </w:rPr>
      </w:pPr>
      <w:r w:rsidRPr="004D7E4B">
        <w:rPr>
          <w:szCs w:val="24"/>
        </w:rPr>
        <w:t>The nature of the operations of Google is global; therefore, its HR practices must be country specific in their approach to the needs of different countries. The gap between the cultural, legal, and economic backgrounds of regions is extremely large which, in its turn, affects the execution of the HR functions. Indicatively, labor laws on right of the employees and the working conditions have been stricter in Europe and France as well as in Germany. Conversely, there is no such prominent regulation of labor laws within such a country as India or the U.S., where different labor regulations are not as rigid, which means that Google can be even more lenient when its HR practices are concerned, though, it is obligatory to remain reasonable and operate within the jurisdiction of the current law.</w:t>
      </w:r>
    </w:p>
    <w:p w14:paraId="163F2934" w14:textId="77777777" w:rsidR="00E54D60" w:rsidRPr="004D7E4B" w:rsidRDefault="00E54D60" w:rsidP="004D7E4B">
      <w:pPr>
        <w:rPr>
          <w:szCs w:val="24"/>
        </w:rPr>
      </w:pPr>
    </w:p>
    <w:p w14:paraId="101C780D" w14:textId="77777777" w:rsidR="008A185F" w:rsidRPr="004D7E4B" w:rsidRDefault="004D7E4B" w:rsidP="004D7E4B">
      <w:pPr>
        <w:pStyle w:val="Heading1"/>
        <w:rPr>
          <w:szCs w:val="24"/>
        </w:rPr>
      </w:pPr>
      <w:bookmarkStart w:id="8" w:name="_Toc224208464"/>
      <w:r>
        <w:rPr>
          <w:szCs w:val="24"/>
        </w:rPr>
        <w:br w:type="page"/>
      </w:r>
      <w:r w:rsidR="008A185F" w:rsidRPr="004D7E4B">
        <w:rPr>
          <w:szCs w:val="24"/>
        </w:rPr>
        <w:lastRenderedPageBreak/>
        <w:t>Conclusion</w:t>
      </w:r>
      <w:bookmarkEnd w:id="8"/>
    </w:p>
    <w:p w14:paraId="2F363B21" w14:textId="77777777" w:rsidR="00920253" w:rsidRPr="004D7E4B" w:rsidRDefault="00920253" w:rsidP="004D7E4B">
      <w:pPr>
        <w:rPr>
          <w:szCs w:val="24"/>
        </w:rPr>
      </w:pPr>
      <w:r w:rsidRPr="004D7E4B">
        <w:rPr>
          <w:szCs w:val="24"/>
        </w:rPr>
        <w:t>In a summative manner, one can suggest that the impacts of external and internal environmental influences related to the HR practices are significant to the success of Google as a global company. The analysis using the PESTLE model, has made us see how the environment in terms of politics, economics, social, technological, legal and environment influences the HR strategies used by the firm in its international operations. Whether it is the ability to easily adapt itself to different cultural, legal and economic environment, the quality of Google in maintaining its dominance in the technological sphere is also highly significant. The HR roles (s) of the company including the recruitment, training, performance management, and employee relations are influenced by external factors like economic trends, the legal provisions and social trends. Multinational Google workforce requires flexibility and ability of the HR to adapt to the demands of various regions. Technology and its subsets, such as AI and analytics, play a role in enhancing efficiency and helping HRs to make decisions; environmental factors, in turn, have forced Google to make sustainability part of its HR. The HR managers in Google must be sensitive to the ever-evolving business environment in the future. As the rate of digital transformation accelerates and as new challenges emerge as the result of world disturbances, the HR scientists will have to maintain a balance between the innovation and compliance to ensure that the global HR practices that Google pursues will be flexible and responsive to the trends and regulatory changes.</w:t>
      </w:r>
    </w:p>
    <w:p w14:paraId="4E872180" w14:textId="77777777" w:rsidR="008A185F" w:rsidRPr="004D7E4B" w:rsidRDefault="008A185F" w:rsidP="004D7E4B">
      <w:pPr>
        <w:pStyle w:val="Heading1"/>
        <w:pageBreakBefore/>
        <w:rPr>
          <w:color w:val="auto"/>
          <w:szCs w:val="24"/>
          <w:u w:val="single"/>
        </w:rPr>
      </w:pPr>
      <w:bookmarkStart w:id="9" w:name="_Toc224208465"/>
      <w:r w:rsidRPr="004D7E4B">
        <w:rPr>
          <w:szCs w:val="24"/>
        </w:rPr>
        <w:lastRenderedPageBreak/>
        <w:t>References</w:t>
      </w:r>
      <w:bookmarkEnd w:id="9"/>
      <w:r w:rsidRPr="004D7E4B">
        <w:rPr>
          <w:szCs w:val="24"/>
        </w:rPr>
        <w:t xml:space="preserve"> </w:t>
      </w:r>
    </w:p>
    <w:p w14:paraId="311D1467" w14:textId="77777777" w:rsidR="00BC0005" w:rsidRPr="00BC0005" w:rsidRDefault="00BC0005" w:rsidP="00BC0005">
      <w:pPr>
        <w:spacing w:line="240" w:lineRule="auto"/>
        <w:ind w:left="720" w:hanging="720"/>
        <w:rPr>
          <w:lang w:val="en-IN" w:eastAsia="en-IN"/>
        </w:rPr>
      </w:pPr>
      <w:r w:rsidRPr="00BC0005">
        <w:rPr>
          <w:lang w:val="en-IN" w:eastAsia="en-IN"/>
        </w:rPr>
        <w:t xml:space="preserve">Bag, S. and Rahman, M.S. (2021). The role of capabilities in shaping sustainable supply chain flexibility and enhancing circular economy-target performance: an empirical study. </w:t>
      </w:r>
      <w:r w:rsidRPr="00BC0005">
        <w:rPr>
          <w:i/>
          <w:iCs/>
          <w:lang w:val="en-IN" w:eastAsia="en-IN"/>
        </w:rPr>
        <w:t>Supply Chain Management: An International Journal</w:t>
      </w:r>
      <w:r w:rsidRPr="00BC0005">
        <w:rPr>
          <w:lang w:val="en-IN" w:eastAsia="en-IN"/>
        </w:rPr>
        <w:t>, ahead-of-print(ahead-of-print). doi:</w:t>
      </w:r>
      <w:r w:rsidR="00F34A13">
        <w:rPr>
          <w:lang w:val="en-IN" w:eastAsia="en-IN"/>
        </w:rPr>
        <w:t xml:space="preserve"> </w:t>
      </w:r>
      <w:hyperlink r:id="rId13" w:history="1">
        <w:r w:rsidR="00F34A13" w:rsidRPr="003958C9">
          <w:rPr>
            <w:rStyle w:val="Hyperlink"/>
            <w:lang w:val="en-IN" w:eastAsia="en-IN"/>
          </w:rPr>
          <w:t>https://doi.org/10.1108/scm-05-2021-0246</w:t>
        </w:r>
      </w:hyperlink>
      <w:r w:rsidRPr="00BC0005">
        <w:rPr>
          <w:lang w:val="en-IN" w:eastAsia="en-IN"/>
        </w:rPr>
        <w:t>.</w:t>
      </w:r>
      <w:r w:rsidR="00F34A13">
        <w:rPr>
          <w:lang w:val="en-IN" w:eastAsia="en-IN"/>
        </w:rPr>
        <w:t xml:space="preserve"> </w:t>
      </w:r>
    </w:p>
    <w:p w14:paraId="43A47248" w14:textId="77777777" w:rsidR="00BC0005" w:rsidRPr="00BC0005" w:rsidRDefault="00BC0005" w:rsidP="00BC0005">
      <w:pPr>
        <w:spacing w:line="240" w:lineRule="auto"/>
        <w:ind w:left="720" w:hanging="720"/>
        <w:rPr>
          <w:lang w:val="en-IN" w:eastAsia="en-IN"/>
        </w:rPr>
      </w:pPr>
      <w:r w:rsidRPr="00BC0005">
        <w:rPr>
          <w:lang w:val="en-IN" w:eastAsia="en-IN"/>
        </w:rPr>
        <w:t xml:space="preserve">Chen, J., Yang, Y. and Lin, C. (2024). Global Business Management for Multinational Enterprises: Navigating Political Risk, Ethics, and International Human Resource Management. </w:t>
      </w:r>
      <w:r w:rsidRPr="00BC0005">
        <w:rPr>
          <w:i/>
          <w:iCs/>
          <w:lang w:val="en-IN" w:eastAsia="en-IN"/>
        </w:rPr>
        <w:t>J. Int. Eco. Glo. Gov</w:t>
      </w:r>
      <w:r w:rsidRPr="00BC0005">
        <w:rPr>
          <w:lang w:val="en-IN" w:eastAsia="en-IN"/>
        </w:rPr>
        <w:t>, [online] 1(3), pp.15–27. doi:</w:t>
      </w:r>
      <w:r w:rsidR="00F34A13">
        <w:rPr>
          <w:lang w:val="en-IN" w:eastAsia="en-IN"/>
        </w:rPr>
        <w:t xml:space="preserve"> </w:t>
      </w:r>
      <w:hyperlink r:id="rId14" w:history="1">
        <w:r w:rsidR="00F34A13" w:rsidRPr="003958C9">
          <w:rPr>
            <w:rStyle w:val="Hyperlink"/>
            <w:lang w:val="en-IN" w:eastAsia="en-IN"/>
          </w:rPr>
          <w:t>https://doi.org/10.12414/jiegg.240249</w:t>
        </w:r>
      </w:hyperlink>
      <w:r w:rsidRPr="00BC0005">
        <w:rPr>
          <w:lang w:val="en-IN" w:eastAsia="en-IN"/>
        </w:rPr>
        <w:t>.</w:t>
      </w:r>
      <w:r w:rsidR="00F34A13">
        <w:rPr>
          <w:lang w:val="en-IN" w:eastAsia="en-IN"/>
        </w:rPr>
        <w:t xml:space="preserve"> </w:t>
      </w:r>
    </w:p>
    <w:p w14:paraId="16C11D35" w14:textId="77777777" w:rsidR="00BC0005" w:rsidRPr="00BC0005" w:rsidRDefault="00BC0005" w:rsidP="00BC0005">
      <w:pPr>
        <w:spacing w:line="240" w:lineRule="auto"/>
        <w:ind w:left="720" w:hanging="720"/>
        <w:rPr>
          <w:lang w:val="en-IN" w:eastAsia="en-IN"/>
        </w:rPr>
      </w:pPr>
      <w:r w:rsidRPr="00BC0005">
        <w:rPr>
          <w:lang w:val="en-IN" w:eastAsia="en-IN"/>
        </w:rPr>
        <w:t xml:space="preserve">Google (2025). </w:t>
      </w:r>
      <w:r w:rsidRPr="00BC0005">
        <w:rPr>
          <w:i/>
          <w:iCs/>
          <w:lang w:val="en-IN" w:eastAsia="en-IN"/>
        </w:rPr>
        <w:t>About Google</w:t>
      </w:r>
      <w:r w:rsidRPr="00BC0005">
        <w:rPr>
          <w:lang w:val="en-IN" w:eastAsia="en-IN"/>
        </w:rPr>
        <w:t>. [online] Google. Available at: https://about.google/.</w:t>
      </w:r>
    </w:p>
    <w:p w14:paraId="098A470F" w14:textId="77777777" w:rsidR="00BC0005" w:rsidRPr="00BC0005" w:rsidRDefault="00BC0005" w:rsidP="00BC0005">
      <w:pPr>
        <w:spacing w:line="240" w:lineRule="auto"/>
        <w:ind w:left="720" w:hanging="720"/>
        <w:rPr>
          <w:lang w:val="en-IN" w:eastAsia="en-IN"/>
        </w:rPr>
      </w:pPr>
      <w:r w:rsidRPr="00BC0005">
        <w:rPr>
          <w:lang w:val="en-IN" w:eastAsia="en-IN"/>
        </w:rPr>
        <w:t xml:space="preserve">Gupta, D. (2024). </w:t>
      </w:r>
      <w:r w:rsidRPr="00BC0005">
        <w:rPr>
          <w:i/>
          <w:iCs/>
          <w:lang w:val="en-IN" w:eastAsia="en-IN"/>
        </w:rPr>
        <w:t>Strategic human resource management : analyzing Google’s HR policies, performance management as a benchmark for industry impact and adaptations</w:t>
      </w:r>
      <w:r w:rsidRPr="00BC0005">
        <w:rPr>
          <w:lang w:val="en-IN" w:eastAsia="en-IN"/>
        </w:rPr>
        <w:t xml:space="preserve">. [online] www.theseus.fi. Available at: </w:t>
      </w:r>
      <w:hyperlink r:id="rId15" w:history="1">
        <w:r w:rsidR="00F34A13" w:rsidRPr="003958C9">
          <w:rPr>
            <w:rStyle w:val="Hyperlink"/>
            <w:lang w:val="en-IN" w:eastAsia="en-IN"/>
          </w:rPr>
          <w:t>https://www.theseus.fi/handle/10024/863015</w:t>
        </w:r>
      </w:hyperlink>
      <w:r w:rsidRPr="00BC0005">
        <w:rPr>
          <w:lang w:val="en-IN" w:eastAsia="en-IN"/>
        </w:rPr>
        <w:t>.</w:t>
      </w:r>
      <w:r w:rsidR="00F34A13">
        <w:rPr>
          <w:lang w:val="en-IN" w:eastAsia="en-IN"/>
        </w:rPr>
        <w:t xml:space="preserve"> </w:t>
      </w:r>
    </w:p>
    <w:p w14:paraId="18D4C4E5" w14:textId="77777777" w:rsidR="00BC0005" w:rsidRPr="00BC0005" w:rsidRDefault="00BC0005" w:rsidP="00BC0005">
      <w:pPr>
        <w:spacing w:line="240" w:lineRule="auto"/>
        <w:ind w:left="720" w:hanging="720"/>
        <w:rPr>
          <w:lang w:val="en-IN" w:eastAsia="en-IN"/>
        </w:rPr>
      </w:pPr>
      <w:r w:rsidRPr="00BC0005">
        <w:rPr>
          <w:lang w:val="en-IN" w:eastAsia="en-IN"/>
        </w:rPr>
        <w:t xml:space="preserve">Heubel, M. (2024). </w:t>
      </w:r>
      <w:r w:rsidRPr="00BC0005">
        <w:rPr>
          <w:i/>
          <w:iCs/>
          <w:lang w:val="en-IN" w:eastAsia="en-IN"/>
        </w:rPr>
        <w:t>PESTLE analysis: The macro-environmental framework explained</w:t>
      </w:r>
      <w:r w:rsidRPr="00BC0005">
        <w:rPr>
          <w:lang w:val="en-IN" w:eastAsia="en-IN"/>
        </w:rPr>
        <w:t xml:space="preserve">. [online] Consulterce. Available at: </w:t>
      </w:r>
      <w:hyperlink r:id="rId16" w:history="1">
        <w:r w:rsidR="00F34A13" w:rsidRPr="003958C9">
          <w:rPr>
            <w:rStyle w:val="Hyperlink"/>
            <w:lang w:val="en-IN" w:eastAsia="en-IN"/>
          </w:rPr>
          <w:t>https://consulterce.com/pestle-analysis/</w:t>
        </w:r>
      </w:hyperlink>
      <w:r w:rsidRPr="00BC0005">
        <w:rPr>
          <w:lang w:val="en-IN" w:eastAsia="en-IN"/>
        </w:rPr>
        <w:t>.</w:t>
      </w:r>
      <w:r w:rsidR="00F34A13">
        <w:rPr>
          <w:lang w:val="en-IN" w:eastAsia="en-IN"/>
        </w:rPr>
        <w:t xml:space="preserve"> </w:t>
      </w:r>
    </w:p>
    <w:p w14:paraId="359252BE" w14:textId="77777777" w:rsidR="00BC0005" w:rsidRPr="00BC0005" w:rsidRDefault="00BC0005" w:rsidP="00BC0005">
      <w:pPr>
        <w:spacing w:line="240" w:lineRule="auto"/>
        <w:ind w:left="720" w:hanging="720"/>
        <w:rPr>
          <w:lang w:val="en-IN" w:eastAsia="en-IN"/>
        </w:rPr>
      </w:pPr>
      <w:r w:rsidRPr="00BC0005">
        <w:rPr>
          <w:lang w:val="en-IN" w:eastAsia="en-IN"/>
        </w:rPr>
        <w:t xml:space="preserve">Osman, I. and Ataei, H. (2026). Addressing the Skilled Labor Shortage: Impacts and Solutions in the Postpandemic Construction Industry. </w:t>
      </w:r>
      <w:r w:rsidRPr="00BC0005">
        <w:rPr>
          <w:i/>
          <w:iCs/>
          <w:lang w:val="en-IN" w:eastAsia="en-IN"/>
        </w:rPr>
        <w:t>Journal of Legal Affairs and Dispute Resolution in Engineering and Construction</w:t>
      </w:r>
      <w:r w:rsidRPr="00BC0005">
        <w:rPr>
          <w:lang w:val="en-IN" w:eastAsia="en-IN"/>
        </w:rPr>
        <w:t>, 18(1). doi:</w:t>
      </w:r>
      <w:r w:rsidR="00F34A13">
        <w:rPr>
          <w:lang w:val="en-IN" w:eastAsia="en-IN"/>
        </w:rPr>
        <w:t xml:space="preserve"> </w:t>
      </w:r>
      <w:hyperlink r:id="rId17" w:history="1">
        <w:r w:rsidR="00F34A13" w:rsidRPr="003958C9">
          <w:rPr>
            <w:rStyle w:val="Hyperlink"/>
            <w:lang w:val="en-IN" w:eastAsia="en-IN"/>
          </w:rPr>
          <w:t>https://doi.org/10.1061/jladah.ladr-1299</w:t>
        </w:r>
      </w:hyperlink>
      <w:r w:rsidRPr="00BC0005">
        <w:rPr>
          <w:lang w:val="en-IN" w:eastAsia="en-IN"/>
        </w:rPr>
        <w:t>.</w:t>
      </w:r>
      <w:r w:rsidR="00F34A13">
        <w:rPr>
          <w:lang w:val="en-IN" w:eastAsia="en-IN"/>
        </w:rPr>
        <w:t xml:space="preserve"> </w:t>
      </w:r>
    </w:p>
    <w:p w14:paraId="497D1CCA" w14:textId="77777777" w:rsidR="00BC0005" w:rsidRPr="00BC0005" w:rsidRDefault="00BC0005" w:rsidP="00BC0005">
      <w:pPr>
        <w:spacing w:line="240" w:lineRule="auto"/>
        <w:ind w:left="720" w:hanging="720"/>
        <w:rPr>
          <w:lang w:val="en-IN" w:eastAsia="en-IN"/>
        </w:rPr>
      </w:pPr>
      <w:r w:rsidRPr="00BC0005">
        <w:rPr>
          <w:lang w:val="en-IN" w:eastAsia="en-IN"/>
        </w:rPr>
        <w:t xml:space="preserve">Pashchenko, O., Nataliia Shyshpanova, Yevhenii Kolomiiets, Kateryna Mykhaylyova and Sakun, L. (2023). Management in conditions of globalization: Development and implementation of new approaches in organizations. </w:t>
      </w:r>
      <w:r w:rsidRPr="00BC0005">
        <w:rPr>
          <w:i/>
          <w:iCs/>
          <w:lang w:val="en-IN" w:eastAsia="en-IN"/>
        </w:rPr>
        <w:t>Economic Affairs</w:t>
      </w:r>
      <w:r w:rsidRPr="00BC0005">
        <w:rPr>
          <w:lang w:val="en-IN" w:eastAsia="en-IN"/>
        </w:rPr>
        <w:t xml:space="preserve">, [online] 68(3), pp.1589–1601. Available at: </w:t>
      </w:r>
      <w:hyperlink r:id="rId18" w:history="1">
        <w:r w:rsidR="00F34A13" w:rsidRPr="003958C9">
          <w:rPr>
            <w:rStyle w:val="Hyperlink"/>
            <w:lang w:val="en-IN" w:eastAsia="en-IN"/>
          </w:rPr>
          <w:t>http://indianjournals.com/article/eaj-68-3-024</w:t>
        </w:r>
      </w:hyperlink>
      <w:r w:rsidR="00F34A13">
        <w:rPr>
          <w:lang w:val="en-IN" w:eastAsia="en-IN"/>
        </w:rPr>
        <w:t xml:space="preserve"> </w:t>
      </w:r>
      <w:r w:rsidRPr="00BC0005">
        <w:rPr>
          <w:lang w:val="en-IN" w:eastAsia="en-IN"/>
        </w:rPr>
        <w:t>[Accessed 12 Mar. 2026].</w:t>
      </w:r>
    </w:p>
    <w:p w14:paraId="5FC63C16" w14:textId="77777777" w:rsidR="00BC0005" w:rsidRPr="00BC0005" w:rsidRDefault="00BC0005" w:rsidP="00BC0005">
      <w:pPr>
        <w:spacing w:line="240" w:lineRule="auto"/>
        <w:ind w:left="720" w:hanging="720"/>
        <w:rPr>
          <w:lang w:val="en-IN" w:eastAsia="en-IN"/>
        </w:rPr>
      </w:pPr>
      <w:r w:rsidRPr="00BC0005">
        <w:rPr>
          <w:lang w:val="en-IN" w:eastAsia="en-IN"/>
        </w:rPr>
        <w:t xml:space="preserve">Reiche, B.S. (2022). International Human Resource Management. </w:t>
      </w:r>
      <w:r w:rsidRPr="00BC0005">
        <w:rPr>
          <w:i/>
          <w:iCs/>
          <w:lang w:val="en-IN" w:eastAsia="en-IN"/>
        </w:rPr>
        <w:t>International Human Resource Management</w:t>
      </w:r>
      <w:r w:rsidRPr="00BC0005">
        <w:rPr>
          <w:lang w:val="en-IN" w:eastAsia="en-IN"/>
        </w:rPr>
        <w:t>, [online] pp.1–100. Available at: https://www.torrossa.com/gs/resourceProxy?an=5409518&amp;publisher=FZ7200.</w:t>
      </w:r>
    </w:p>
    <w:p w14:paraId="52FBF580" w14:textId="77777777" w:rsidR="00BC0005" w:rsidRPr="00BC0005" w:rsidRDefault="00BC0005" w:rsidP="00BC0005">
      <w:pPr>
        <w:spacing w:line="240" w:lineRule="auto"/>
        <w:ind w:left="720" w:hanging="720"/>
        <w:rPr>
          <w:lang w:val="en-IN" w:eastAsia="en-IN"/>
        </w:rPr>
      </w:pPr>
      <w:r w:rsidRPr="00BC0005">
        <w:rPr>
          <w:lang w:val="en-IN" w:eastAsia="en-IN"/>
        </w:rPr>
        <w:t xml:space="preserve">Rothschadl, F. and Dissertation, A. (2023). </w:t>
      </w:r>
      <w:r w:rsidRPr="00BC0005">
        <w:rPr>
          <w:i/>
          <w:iCs/>
          <w:lang w:val="en-IN" w:eastAsia="en-IN"/>
        </w:rPr>
        <w:t>Culture and Psychology in Global Human Resource Management</w:t>
      </w:r>
      <w:r w:rsidRPr="00BC0005">
        <w:rPr>
          <w:lang w:val="en-IN" w:eastAsia="en-IN"/>
        </w:rPr>
        <w:t xml:space="preserve">. [online] Available at: </w:t>
      </w:r>
      <w:hyperlink r:id="rId19" w:history="1">
        <w:r w:rsidR="00F34A13" w:rsidRPr="003958C9">
          <w:rPr>
            <w:rStyle w:val="Hyperlink"/>
            <w:lang w:val="en-IN" w:eastAsia="en-IN"/>
          </w:rPr>
          <w:t>https://uniselinus.co.uk/sites/default/files/2024-03/FRANZ%20ROTHSCADL.pdf</w:t>
        </w:r>
      </w:hyperlink>
      <w:r w:rsidRPr="00BC0005">
        <w:rPr>
          <w:lang w:val="en-IN" w:eastAsia="en-IN"/>
        </w:rPr>
        <w:t>.</w:t>
      </w:r>
      <w:r w:rsidR="00F34A13">
        <w:rPr>
          <w:lang w:val="en-IN" w:eastAsia="en-IN"/>
        </w:rPr>
        <w:t xml:space="preserve"> </w:t>
      </w:r>
    </w:p>
    <w:p w14:paraId="270623B7" w14:textId="77777777" w:rsidR="00BC0005" w:rsidRPr="00BC0005" w:rsidRDefault="00BC0005" w:rsidP="00BC0005">
      <w:pPr>
        <w:spacing w:line="240" w:lineRule="auto"/>
        <w:ind w:left="720" w:hanging="720"/>
        <w:rPr>
          <w:lang w:val="en-IN" w:eastAsia="en-IN"/>
        </w:rPr>
      </w:pPr>
      <w:r w:rsidRPr="00BC0005">
        <w:rPr>
          <w:lang w:val="en-IN" w:eastAsia="en-IN"/>
        </w:rPr>
        <w:t xml:space="preserve">Tonova, E., Grishnova, O., Karyuk, V., Djakons, D., Niemi, O. and Celika, M. (2025). HR INNOVATIONS, HUMAN CAPITAL AND FINANCIAL STABILITY: INTERRELATIONSHIPS AND INTERACTION ON THE EXAMPLE OF INTERNATIONAL COMPANIES. </w:t>
      </w:r>
      <w:r w:rsidRPr="00BC0005">
        <w:rPr>
          <w:i/>
          <w:iCs/>
          <w:lang w:val="en-IN" w:eastAsia="en-IN"/>
        </w:rPr>
        <w:t>Financial and credit activity problems of theory and practice</w:t>
      </w:r>
      <w:r w:rsidRPr="00BC0005">
        <w:rPr>
          <w:lang w:val="en-IN" w:eastAsia="en-IN"/>
        </w:rPr>
        <w:t>, 5(64), pp.585–599. doi:</w:t>
      </w:r>
      <w:r w:rsidR="00F34A13">
        <w:rPr>
          <w:lang w:val="en-IN" w:eastAsia="en-IN"/>
        </w:rPr>
        <w:t xml:space="preserve"> </w:t>
      </w:r>
      <w:hyperlink r:id="rId20" w:history="1">
        <w:r w:rsidR="00F34A13" w:rsidRPr="003958C9">
          <w:rPr>
            <w:rStyle w:val="Hyperlink"/>
            <w:lang w:val="en-IN" w:eastAsia="en-IN"/>
          </w:rPr>
          <w:t>https://doi.org/10.55643/fcaptp.5.64.2025.4859</w:t>
        </w:r>
      </w:hyperlink>
      <w:r w:rsidRPr="00BC0005">
        <w:rPr>
          <w:lang w:val="en-IN" w:eastAsia="en-IN"/>
        </w:rPr>
        <w:t>.</w:t>
      </w:r>
      <w:r w:rsidR="00F34A13">
        <w:rPr>
          <w:lang w:val="en-IN" w:eastAsia="en-IN"/>
        </w:rPr>
        <w:t xml:space="preserve">   </w:t>
      </w:r>
    </w:p>
    <w:p w14:paraId="3194F2C1" w14:textId="77777777" w:rsidR="00BC0005" w:rsidRPr="00BC0005" w:rsidRDefault="00BC0005" w:rsidP="00BC0005">
      <w:pPr>
        <w:spacing w:line="240" w:lineRule="auto"/>
        <w:ind w:left="720" w:hanging="720"/>
        <w:rPr>
          <w:lang w:val="en-IN" w:eastAsia="en-IN"/>
        </w:rPr>
      </w:pPr>
      <w:r w:rsidRPr="00BC0005">
        <w:rPr>
          <w:lang w:val="en-IN" w:eastAsia="en-IN"/>
        </w:rPr>
        <w:t xml:space="preserve">Usman, M., Rofcanin, Y., Ali, M., Ogbonnaya, C. and Babalola, M.T. (2022). Toward a more sustainable environment: Understanding why and when green training promotes employees’ eco‐friendly behaviors outside of work. </w:t>
      </w:r>
      <w:r w:rsidRPr="00BC0005">
        <w:rPr>
          <w:i/>
          <w:iCs/>
          <w:lang w:val="en-IN" w:eastAsia="en-IN"/>
        </w:rPr>
        <w:t>Human Resource Management</w:t>
      </w:r>
      <w:r w:rsidRPr="00BC0005">
        <w:rPr>
          <w:lang w:val="en-IN" w:eastAsia="en-IN"/>
        </w:rPr>
        <w:t>, 62(3), pp.355–371. doi:</w:t>
      </w:r>
      <w:r w:rsidR="00F34A13">
        <w:rPr>
          <w:lang w:val="en-IN" w:eastAsia="en-IN"/>
        </w:rPr>
        <w:t xml:space="preserve"> </w:t>
      </w:r>
      <w:hyperlink r:id="rId21" w:history="1">
        <w:r w:rsidR="00F34A13" w:rsidRPr="003958C9">
          <w:rPr>
            <w:rStyle w:val="Hyperlink"/>
            <w:lang w:val="en-IN" w:eastAsia="en-IN"/>
          </w:rPr>
          <w:t>https://doi.org/10.1002/hrm.22148</w:t>
        </w:r>
      </w:hyperlink>
      <w:r w:rsidRPr="00BC0005">
        <w:rPr>
          <w:lang w:val="en-IN" w:eastAsia="en-IN"/>
        </w:rPr>
        <w:t>.</w:t>
      </w:r>
      <w:r w:rsidR="00F34A13">
        <w:rPr>
          <w:lang w:val="en-IN" w:eastAsia="en-IN"/>
        </w:rPr>
        <w:t xml:space="preserve"> </w:t>
      </w:r>
    </w:p>
    <w:p w14:paraId="3A31B6B2" w14:textId="77777777" w:rsidR="008A185F" w:rsidRPr="004D7E4B" w:rsidRDefault="00F34A13" w:rsidP="004D7E4B">
      <w:pPr>
        <w:ind w:left="720" w:hanging="720"/>
        <w:rPr>
          <w:color w:val="auto"/>
          <w:szCs w:val="24"/>
          <w:shd w:val="clear" w:color="auto" w:fill="FFFFFF"/>
        </w:rPr>
      </w:pPr>
      <w:r>
        <w:rPr>
          <w:color w:val="auto"/>
          <w:szCs w:val="24"/>
          <w:shd w:val="clear" w:color="auto" w:fill="FFFFFF"/>
        </w:rPr>
        <w:t xml:space="preserve"> </w:t>
      </w:r>
    </w:p>
    <w:p w14:paraId="203AA9AD" w14:textId="77777777" w:rsidR="008A185F" w:rsidRPr="004D7E4B" w:rsidRDefault="008A185F" w:rsidP="004D7E4B">
      <w:pPr>
        <w:rPr>
          <w:szCs w:val="24"/>
        </w:rPr>
      </w:pPr>
    </w:p>
    <w:p w14:paraId="058C119E" w14:textId="77777777" w:rsidR="008A185F" w:rsidRPr="004D7E4B" w:rsidRDefault="008A185F" w:rsidP="004D7E4B">
      <w:pPr>
        <w:ind w:left="720" w:hanging="720"/>
        <w:rPr>
          <w:color w:val="auto"/>
          <w:szCs w:val="24"/>
          <w:shd w:val="clear" w:color="auto" w:fill="FFFFFF"/>
        </w:rPr>
      </w:pPr>
      <w:r w:rsidRPr="004D7E4B">
        <w:rPr>
          <w:color w:val="auto"/>
          <w:szCs w:val="24"/>
          <w:shd w:val="clear" w:color="auto" w:fill="FFFFFF"/>
        </w:rPr>
        <w:tab/>
      </w:r>
    </w:p>
    <w:p w14:paraId="698C7D9D" w14:textId="77777777" w:rsidR="008A185F" w:rsidRPr="004D7E4B" w:rsidRDefault="008A185F" w:rsidP="004D7E4B">
      <w:pPr>
        <w:ind w:left="720" w:hanging="720"/>
        <w:rPr>
          <w:color w:val="auto"/>
          <w:szCs w:val="24"/>
          <w:shd w:val="clear" w:color="auto" w:fill="FFFFFF"/>
        </w:rPr>
      </w:pPr>
    </w:p>
    <w:p w14:paraId="4DBBD81C" w14:textId="77777777" w:rsidR="008A185F" w:rsidRPr="004D7E4B" w:rsidRDefault="008A185F" w:rsidP="004D7E4B">
      <w:pPr>
        <w:ind w:left="720" w:hanging="720"/>
        <w:rPr>
          <w:szCs w:val="24"/>
          <w:lang w:val="en-IN"/>
        </w:rPr>
      </w:pPr>
    </w:p>
    <w:p w14:paraId="3A5E8F7A" w14:textId="77777777" w:rsidR="008A185F" w:rsidRPr="004D7E4B" w:rsidRDefault="008A185F" w:rsidP="004D7E4B">
      <w:pPr>
        <w:ind w:left="720" w:hanging="720"/>
        <w:rPr>
          <w:szCs w:val="24"/>
        </w:rPr>
      </w:pPr>
    </w:p>
    <w:p w14:paraId="58B304F9" w14:textId="77777777" w:rsidR="008A185F" w:rsidRPr="004D7E4B" w:rsidRDefault="008A185F" w:rsidP="004D7E4B">
      <w:pPr>
        <w:rPr>
          <w:szCs w:val="24"/>
          <w:lang w:val="en-IN"/>
        </w:rPr>
      </w:pPr>
    </w:p>
    <w:p w14:paraId="66D2B380" w14:textId="77777777" w:rsidR="008A185F" w:rsidRPr="004D7E4B" w:rsidRDefault="008A185F" w:rsidP="004D7E4B">
      <w:pPr>
        <w:rPr>
          <w:szCs w:val="24"/>
        </w:rPr>
      </w:pPr>
    </w:p>
    <w:p w14:paraId="3C3D16AF" w14:textId="77777777" w:rsidR="008A185F" w:rsidRPr="004D7E4B" w:rsidRDefault="008A185F" w:rsidP="004D7E4B">
      <w:pPr>
        <w:rPr>
          <w:szCs w:val="24"/>
        </w:rPr>
      </w:pPr>
    </w:p>
    <w:p w14:paraId="0E9C019B" w14:textId="77777777" w:rsidR="008A185F" w:rsidRPr="004D7E4B" w:rsidRDefault="008A185F" w:rsidP="004D7E4B">
      <w:pPr>
        <w:rPr>
          <w:szCs w:val="24"/>
          <w:lang w:val="en-IN"/>
        </w:rPr>
      </w:pPr>
    </w:p>
    <w:p w14:paraId="11F65C78" w14:textId="77777777" w:rsidR="008A185F" w:rsidRPr="004D7E4B" w:rsidRDefault="008A185F" w:rsidP="004D7E4B">
      <w:pPr>
        <w:rPr>
          <w:szCs w:val="24"/>
        </w:rPr>
      </w:pPr>
    </w:p>
    <w:p w14:paraId="3346342C" w14:textId="77777777" w:rsidR="008A185F" w:rsidRPr="004D7E4B" w:rsidRDefault="008A185F" w:rsidP="004D7E4B">
      <w:pPr>
        <w:rPr>
          <w:b/>
          <w:bCs/>
          <w:szCs w:val="24"/>
        </w:rPr>
      </w:pPr>
    </w:p>
    <w:p w14:paraId="274C47E3" w14:textId="77777777" w:rsidR="008A185F" w:rsidRPr="004D7E4B" w:rsidRDefault="008A185F" w:rsidP="004D7E4B">
      <w:pPr>
        <w:ind w:left="720" w:hanging="720"/>
        <w:rPr>
          <w:color w:val="auto"/>
          <w:szCs w:val="24"/>
          <w:shd w:val="clear" w:color="auto" w:fill="FFFFFF"/>
        </w:rPr>
      </w:pPr>
    </w:p>
    <w:p w14:paraId="346EA961" w14:textId="77777777" w:rsidR="008A185F" w:rsidRPr="004D7E4B" w:rsidRDefault="008A185F" w:rsidP="004D7E4B">
      <w:pPr>
        <w:ind w:left="720" w:hanging="720"/>
        <w:rPr>
          <w:color w:val="auto"/>
          <w:szCs w:val="24"/>
          <w:shd w:val="clear" w:color="auto" w:fill="FFFFFF"/>
        </w:rPr>
      </w:pPr>
    </w:p>
    <w:p w14:paraId="1464C6E2" w14:textId="77777777" w:rsidR="008A185F" w:rsidRPr="004D7E4B" w:rsidRDefault="008A185F" w:rsidP="004D7E4B">
      <w:pPr>
        <w:rPr>
          <w:szCs w:val="24"/>
        </w:rPr>
      </w:pPr>
    </w:p>
    <w:p w14:paraId="792E7B01" w14:textId="77777777" w:rsidR="008A185F" w:rsidRPr="004D7E4B" w:rsidRDefault="008A185F" w:rsidP="004D7E4B">
      <w:pPr>
        <w:rPr>
          <w:szCs w:val="24"/>
        </w:rPr>
      </w:pPr>
    </w:p>
    <w:sectPr w:rsidR="008A185F" w:rsidRPr="004D7E4B">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F52F4" w14:textId="77777777" w:rsidR="00013FD6" w:rsidRDefault="00013FD6" w:rsidP="00437807">
      <w:pPr>
        <w:spacing w:line="240" w:lineRule="auto"/>
      </w:pPr>
      <w:r>
        <w:separator/>
      </w:r>
    </w:p>
  </w:endnote>
  <w:endnote w:type="continuationSeparator" w:id="0">
    <w:p w14:paraId="2B5D042C" w14:textId="77777777" w:rsidR="00013FD6" w:rsidRDefault="00013FD6"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jaVu Sans">
    <w:altName w:val="MS Gothic"/>
    <w:panose1 w:val="020B0604020202020204"/>
    <w:charset w:val="80"/>
    <w:family w:val="auto"/>
    <w:pitch w:val="variable"/>
  </w:font>
  <w:font w:name="Cambria">
    <w:panose1 w:val="02040503050406030204"/>
    <w:charset w:val="00"/>
    <w:family w:val="roman"/>
    <w:pitch w:val="variable"/>
    <w:sig w:usb0="E00002FF" w:usb1="400004FF" w:usb2="00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50240" w14:textId="77777777" w:rsidR="00AE2E33" w:rsidRDefault="00AE2E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1E94A" w14:textId="77777777" w:rsidR="00437807" w:rsidRDefault="00437807">
    <w:pPr>
      <w:pStyle w:val="Footer"/>
      <w:jc w:val="center"/>
    </w:pPr>
    <w:r>
      <w:fldChar w:fldCharType="begin"/>
    </w:r>
    <w:r>
      <w:instrText xml:space="preserve"> PAGE   \* MERGEFORMAT </w:instrText>
    </w:r>
    <w:r>
      <w:fldChar w:fldCharType="separate"/>
    </w:r>
    <w:r w:rsidR="00F34A13">
      <w:rPr>
        <w:noProof/>
      </w:rPr>
      <w:t>11</w:t>
    </w:r>
    <w:r>
      <w:rPr>
        <w:noProof/>
      </w:rPr>
      <w:fldChar w:fldCharType="end"/>
    </w:r>
  </w:p>
  <w:p w14:paraId="563FAD2C" w14:textId="77777777" w:rsidR="00437807" w:rsidRDefault="004378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C24C3B" w14:textId="77777777" w:rsidR="00AE2E33" w:rsidRDefault="00AE2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7FA9C" w14:textId="77777777" w:rsidR="00013FD6" w:rsidRDefault="00013FD6" w:rsidP="00437807">
      <w:pPr>
        <w:spacing w:line="240" w:lineRule="auto"/>
      </w:pPr>
      <w:r>
        <w:separator/>
      </w:r>
    </w:p>
  </w:footnote>
  <w:footnote w:type="continuationSeparator" w:id="0">
    <w:p w14:paraId="216338F7" w14:textId="77777777" w:rsidR="00013FD6" w:rsidRDefault="00013FD6"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DFA1E" w14:textId="77777777" w:rsidR="00AE2E33" w:rsidRDefault="00AE2E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60C36" w14:textId="77777777" w:rsidR="00AE2E33" w:rsidRDefault="00AE2E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927E8" w14:textId="77777777" w:rsidR="00AE2E33" w:rsidRDefault="00AE2E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3F26FD"/>
    <w:multiLevelType w:val="multilevel"/>
    <w:tmpl w:val="088E8C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8420251"/>
    <w:multiLevelType w:val="multilevel"/>
    <w:tmpl w:val="35A8E8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9F386B"/>
    <w:multiLevelType w:val="multilevel"/>
    <w:tmpl w:val="64406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6956F7"/>
    <w:multiLevelType w:val="multilevel"/>
    <w:tmpl w:val="1B76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6341AEC"/>
    <w:multiLevelType w:val="multilevel"/>
    <w:tmpl w:val="2012D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006DE6"/>
    <w:multiLevelType w:val="multilevel"/>
    <w:tmpl w:val="D632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69465DD"/>
    <w:multiLevelType w:val="multilevel"/>
    <w:tmpl w:val="4C7A4C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CEE2DD4"/>
    <w:multiLevelType w:val="multilevel"/>
    <w:tmpl w:val="B3287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916ADD"/>
    <w:multiLevelType w:val="multilevel"/>
    <w:tmpl w:val="DA2C6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2E0E80"/>
    <w:multiLevelType w:val="multilevel"/>
    <w:tmpl w:val="FAA4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30771263">
    <w:abstractNumId w:val="0"/>
  </w:num>
  <w:num w:numId="2" w16cid:durableId="629281665">
    <w:abstractNumId w:val="1"/>
  </w:num>
  <w:num w:numId="3" w16cid:durableId="1894661015">
    <w:abstractNumId w:val="31"/>
  </w:num>
  <w:num w:numId="4" w16cid:durableId="1174229242">
    <w:abstractNumId w:val="9"/>
  </w:num>
  <w:num w:numId="5" w16cid:durableId="1618560663">
    <w:abstractNumId w:val="29"/>
  </w:num>
  <w:num w:numId="6" w16cid:durableId="1147815837">
    <w:abstractNumId w:val="22"/>
  </w:num>
  <w:num w:numId="7" w16cid:durableId="658465563">
    <w:abstractNumId w:val="14"/>
  </w:num>
  <w:num w:numId="8" w16cid:durableId="1486432155">
    <w:abstractNumId w:val="20"/>
  </w:num>
  <w:num w:numId="9" w16cid:durableId="693194546">
    <w:abstractNumId w:val="10"/>
  </w:num>
  <w:num w:numId="10" w16cid:durableId="2137750142">
    <w:abstractNumId w:val="12"/>
  </w:num>
  <w:num w:numId="11" w16cid:durableId="105543923">
    <w:abstractNumId w:val="33"/>
  </w:num>
  <w:num w:numId="12" w16cid:durableId="1348018129">
    <w:abstractNumId w:val="24"/>
  </w:num>
  <w:num w:numId="13" w16cid:durableId="1058286462">
    <w:abstractNumId w:val="3"/>
  </w:num>
  <w:num w:numId="14" w16cid:durableId="1086151725">
    <w:abstractNumId w:val="21"/>
  </w:num>
  <w:num w:numId="15" w16cid:durableId="1641500224">
    <w:abstractNumId w:val="27"/>
  </w:num>
  <w:num w:numId="16" w16cid:durableId="1086658136">
    <w:abstractNumId w:val="23"/>
  </w:num>
  <w:num w:numId="17" w16cid:durableId="1599823508">
    <w:abstractNumId w:val="16"/>
  </w:num>
  <w:num w:numId="18" w16cid:durableId="465127187">
    <w:abstractNumId w:val="19"/>
  </w:num>
  <w:num w:numId="19" w16cid:durableId="1593009591">
    <w:abstractNumId w:val="6"/>
  </w:num>
  <w:num w:numId="20" w16cid:durableId="1581211776">
    <w:abstractNumId w:val="5"/>
  </w:num>
  <w:num w:numId="21" w16cid:durableId="1603293635">
    <w:abstractNumId w:val="30"/>
  </w:num>
  <w:num w:numId="22" w16cid:durableId="1724407647">
    <w:abstractNumId w:val="8"/>
  </w:num>
  <w:num w:numId="23" w16cid:durableId="375156812">
    <w:abstractNumId w:val="25"/>
  </w:num>
  <w:num w:numId="24" w16cid:durableId="1477528921">
    <w:abstractNumId w:val="17"/>
  </w:num>
  <w:num w:numId="25" w16cid:durableId="514078846">
    <w:abstractNumId w:val="13"/>
  </w:num>
  <w:num w:numId="26" w16cid:durableId="1911498375">
    <w:abstractNumId w:val="32"/>
  </w:num>
  <w:num w:numId="27" w16cid:durableId="809372086">
    <w:abstractNumId w:val="26"/>
  </w:num>
  <w:num w:numId="28" w16cid:durableId="1233469379">
    <w:abstractNumId w:val="28"/>
  </w:num>
  <w:num w:numId="29" w16cid:durableId="1810853128">
    <w:abstractNumId w:val="4"/>
  </w:num>
  <w:num w:numId="30" w16cid:durableId="728964666">
    <w:abstractNumId w:val="15"/>
  </w:num>
  <w:num w:numId="31" w16cid:durableId="1448157819">
    <w:abstractNumId w:val="18"/>
  </w:num>
  <w:num w:numId="32" w16cid:durableId="2127188984">
    <w:abstractNumId w:val="7"/>
  </w:num>
  <w:num w:numId="33" w16cid:durableId="275410020">
    <w:abstractNumId w:val="2"/>
  </w:num>
  <w:num w:numId="34" w16cid:durableId="2869324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13FD6"/>
    <w:rsid w:val="000A1285"/>
    <w:rsid w:val="000C4C31"/>
    <w:rsid w:val="000C6A26"/>
    <w:rsid w:val="0011261C"/>
    <w:rsid w:val="001913B4"/>
    <w:rsid w:val="002D4A20"/>
    <w:rsid w:val="003479A4"/>
    <w:rsid w:val="003C1C39"/>
    <w:rsid w:val="003D7246"/>
    <w:rsid w:val="004257CD"/>
    <w:rsid w:val="00437807"/>
    <w:rsid w:val="004D7E4B"/>
    <w:rsid w:val="00511199"/>
    <w:rsid w:val="00527F0C"/>
    <w:rsid w:val="00560F4D"/>
    <w:rsid w:val="006E4483"/>
    <w:rsid w:val="0082561F"/>
    <w:rsid w:val="00846C1C"/>
    <w:rsid w:val="008A185F"/>
    <w:rsid w:val="00920253"/>
    <w:rsid w:val="00923AED"/>
    <w:rsid w:val="00A57088"/>
    <w:rsid w:val="00A86FC2"/>
    <w:rsid w:val="00AA1824"/>
    <w:rsid w:val="00AA201D"/>
    <w:rsid w:val="00AE2E33"/>
    <w:rsid w:val="00BA17E9"/>
    <w:rsid w:val="00BC0005"/>
    <w:rsid w:val="00BE3D37"/>
    <w:rsid w:val="00C331BC"/>
    <w:rsid w:val="00D31FE1"/>
    <w:rsid w:val="00DA3334"/>
    <w:rsid w:val="00E54D60"/>
    <w:rsid w:val="00E71F32"/>
    <w:rsid w:val="00F34A13"/>
    <w:rsid w:val="00F87070"/>
    <w:rsid w:val="00FB3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D674052"/>
  <w15:chartTrackingRefBased/>
  <w15:docId w15:val="{B4272440-9037-5141-AF8F-F4CBF443F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80519">
      <w:bodyDiv w:val="1"/>
      <w:marLeft w:val="0"/>
      <w:marRight w:val="0"/>
      <w:marTop w:val="0"/>
      <w:marBottom w:val="0"/>
      <w:divBdr>
        <w:top w:val="none" w:sz="0" w:space="0" w:color="auto"/>
        <w:left w:val="none" w:sz="0" w:space="0" w:color="auto"/>
        <w:bottom w:val="none" w:sz="0" w:space="0" w:color="auto"/>
        <w:right w:val="none" w:sz="0" w:space="0" w:color="auto"/>
      </w:divBdr>
    </w:div>
    <w:div w:id="723795233">
      <w:bodyDiv w:val="1"/>
      <w:marLeft w:val="0"/>
      <w:marRight w:val="0"/>
      <w:marTop w:val="0"/>
      <w:marBottom w:val="0"/>
      <w:divBdr>
        <w:top w:val="none" w:sz="0" w:space="0" w:color="auto"/>
        <w:left w:val="none" w:sz="0" w:space="0" w:color="auto"/>
        <w:bottom w:val="none" w:sz="0" w:space="0" w:color="auto"/>
        <w:right w:val="none" w:sz="0" w:space="0" w:color="auto"/>
      </w:divBdr>
    </w:div>
    <w:div w:id="776171184">
      <w:bodyDiv w:val="1"/>
      <w:marLeft w:val="0"/>
      <w:marRight w:val="0"/>
      <w:marTop w:val="0"/>
      <w:marBottom w:val="0"/>
      <w:divBdr>
        <w:top w:val="none" w:sz="0" w:space="0" w:color="auto"/>
        <w:left w:val="none" w:sz="0" w:space="0" w:color="auto"/>
        <w:bottom w:val="none" w:sz="0" w:space="0" w:color="auto"/>
        <w:right w:val="none" w:sz="0" w:space="0" w:color="auto"/>
      </w:divBdr>
    </w:div>
    <w:div w:id="994258188">
      <w:bodyDiv w:val="1"/>
      <w:marLeft w:val="0"/>
      <w:marRight w:val="0"/>
      <w:marTop w:val="0"/>
      <w:marBottom w:val="0"/>
      <w:divBdr>
        <w:top w:val="none" w:sz="0" w:space="0" w:color="auto"/>
        <w:left w:val="none" w:sz="0" w:space="0" w:color="auto"/>
        <w:bottom w:val="none" w:sz="0" w:space="0" w:color="auto"/>
        <w:right w:val="none" w:sz="0" w:space="0" w:color="auto"/>
      </w:divBdr>
      <w:divsChild>
        <w:div w:id="175969540">
          <w:marLeft w:val="0"/>
          <w:marRight w:val="0"/>
          <w:marTop w:val="0"/>
          <w:marBottom w:val="0"/>
          <w:divBdr>
            <w:top w:val="none" w:sz="0" w:space="0" w:color="auto"/>
            <w:left w:val="none" w:sz="0" w:space="0" w:color="auto"/>
            <w:bottom w:val="none" w:sz="0" w:space="0" w:color="auto"/>
            <w:right w:val="none" w:sz="0" w:space="0" w:color="auto"/>
          </w:divBdr>
        </w:div>
      </w:divsChild>
    </w:div>
    <w:div w:id="1183934106">
      <w:bodyDiv w:val="1"/>
      <w:marLeft w:val="0"/>
      <w:marRight w:val="0"/>
      <w:marTop w:val="0"/>
      <w:marBottom w:val="0"/>
      <w:divBdr>
        <w:top w:val="none" w:sz="0" w:space="0" w:color="auto"/>
        <w:left w:val="none" w:sz="0" w:space="0" w:color="auto"/>
        <w:bottom w:val="none" w:sz="0" w:space="0" w:color="auto"/>
        <w:right w:val="none" w:sz="0" w:space="0" w:color="auto"/>
      </w:divBdr>
    </w:div>
    <w:div w:id="1406952122">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08/scm-05-2021-0246" TargetMode="External"/><Relationship Id="rId18" Type="http://schemas.openxmlformats.org/officeDocument/2006/relationships/hyperlink" Target="http://indianjournals.com/article/eaj-68-3-024"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doi.org/10.1002/hrm.22148" TargetMode="External"/><Relationship Id="rId7" Type="http://schemas.openxmlformats.org/officeDocument/2006/relationships/endnotes" Target="endnotes.xml"/><Relationship Id="rId12" Type="http://schemas.openxmlformats.org/officeDocument/2006/relationships/image" Target="https://consulterce.com/wp-content/uploads/2021/01/pestle-components.png" TargetMode="External"/><Relationship Id="rId17" Type="http://schemas.openxmlformats.org/officeDocument/2006/relationships/hyperlink" Target="https://doi.org/10.1061/jladah.ladr-1299"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consulterce.com/pestle-analysis/" TargetMode="External"/><Relationship Id="rId20" Type="http://schemas.openxmlformats.org/officeDocument/2006/relationships/hyperlink" Target="https://doi.org/10.55643/fcaptp.5.64.2025.485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seus.fi/handle/10024/863015"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uniselinus.co.uk/sites/default/files/2024-03/FRANZ%20ROTHSCADL.pdf" TargetMode="Externa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hyperlink" Target="https://doi.org/10.12414/jiegg.240249"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77549-6E13-42F4-AF90-EE1CEA8F1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2601</Words>
  <Characters>15427</Characters>
  <Application>Microsoft Office Word</Application>
  <DocSecurity>0</DocSecurity>
  <Lines>285</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17924</CharactersWithSpaces>
  <SharedDoc>false</SharedDoc>
  <HLinks>
    <vt:vector size="66" baseType="variant">
      <vt:variant>
        <vt:i4>4784222</vt:i4>
      </vt:variant>
      <vt:variant>
        <vt:i4>72</vt:i4>
      </vt:variant>
      <vt:variant>
        <vt:i4>0</vt:i4>
      </vt:variant>
      <vt:variant>
        <vt:i4>5</vt:i4>
      </vt:variant>
      <vt:variant>
        <vt:lpwstr>https://doi.org/10.1002/hrm.22148</vt:lpwstr>
      </vt:variant>
      <vt:variant>
        <vt:lpwstr/>
      </vt:variant>
      <vt:variant>
        <vt:i4>6619198</vt:i4>
      </vt:variant>
      <vt:variant>
        <vt:i4>69</vt:i4>
      </vt:variant>
      <vt:variant>
        <vt:i4>0</vt:i4>
      </vt:variant>
      <vt:variant>
        <vt:i4>5</vt:i4>
      </vt:variant>
      <vt:variant>
        <vt:lpwstr>https://doi.org/10.55643/fcaptp.5.64.2025.4859</vt:lpwstr>
      </vt:variant>
      <vt:variant>
        <vt:lpwstr/>
      </vt:variant>
      <vt:variant>
        <vt:i4>5767188</vt:i4>
      </vt:variant>
      <vt:variant>
        <vt:i4>66</vt:i4>
      </vt:variant>
      <vt:variant>
        <vt:i4>0</vt:i4>
      </vt:variant>
      <vt:variant>
        <vt:i4>5</vt:i4>
      </vt:variant>
      <vt:variant>
        <vt:lpwstr>https://uniselinus.co.uk/sites/default/files/2024-03/FRANZ ROTHSCADL.pdf</vt:lpwstr>
      </vt:variant>
      <vt:variant>
        <vt:lpwstr/>
      </vt:variant>
      <vt:variant>
        <vt:i4>3080313</vt:i4>
      </vt:variant>
      <vt:variant>
        <vt:i4>63</vt:i4>
      </vt:variant>
      <vt:variant>
        <vt:i4>0</vt:i4>
      </vt:variant>
      <vt:variant>
        <vt:i4>5</vt:i4>
      </vt:variant>
      <vt:variant>
        <vt:lpwstr>http://indianjournals.com/article/eaj-68-3-024</vt:lpwstr>
      </vt:variant>
      <vt:variant>
        <vt:lpwstr/>
      </vt:variant>
      <vt:variant>
        <vt:i4>5963780</vt:i4>
      </vt:variant>
      <vt:variant>
        <vt:i4>60</vt:i4>
      </vt:variant>
      <vt:variant>
        <vt:i4>0</vt:i4>
      </vt:variant>
      <vt:variant>
        <vt:i4>5</vt:i4>
      </vt:variant>
      <vt:variant>
        <vt:lpwstr>https://doi.org/10.1061/jladah.ladr-1299</vt:lpwstr>
      </vt:variant>
      <vt:variant>
        <vt:lpwstr/>
      </vt:variant>
      <vt:variant>
        <vt:i4>4325397</vt:i4>
      </vt:variant>
      <vt:variant>
        <vt:i4>57</vt:i4>
      </vt:variant>
      <vt:variant>
        <vt:i4>0</vt:i4>
      </vt:variant>
      <vt:variant>
        <vt:i4>5</vt:i4>
      </vt:variant>
      <vt:variant>
        <vt:lpwstr>https://consulterce.com/pestle-analysis/</vt:lpwstr>
      </vt:variant>
      <vt:variant>
        <vt:lpwstr/>
      </vt:variant>
      <vt:variant>
        <vt:i4>3801185</vt:i4>
      </vt:variant>
      <vt:variant>
        <vt:i4>54</vt:i4>
      </vt:variant>
      <vt:variant>
        <vt:i4>0</vt:i4>
      </vt:variant>
      <vt:variant>
        <vt:i4>5</vt:i4>
      </vt:variant>
      <vt:variant>
        <vt:lpwstr>https://www.theseus.fi/handle/10024/863015</vt:lpwstr>
      </vt:variant>
      <vt:variant>
        <vt:lpwstr/>
      </vt:variant>
      <vt:variant>
        <vt:i4>5374032</vt:i4>
      </vt:variant>
      <vt:variant>
        <vt:i4>51</vt:i4>
      </vt:variant>
      <vt:variant>
        <vt:i4>0</vt:i4>
      </vt:variant>
      <vt:variant>
        <vt:i4>5</vt:i4>
      </vt:variant>
      <vt:variant>
        <vt:lpwstr>https://doi.org/10.12414/jiegg.240249</vt:lpwstr>
      </vt:variant>
      <vt:variant>
        <vt:lpwstr/>
      </vt:variant>
      <vt:variant>
        <vt:i4>4259925</vt:i4>
      </vt:variant>
      <vt:variant>
        <vt:i4>48</vt:i4>
      </vt:variant>
      <vt:variant>
        <vt:i4>0</vt:i4>
      </vt:variant>
      <vt:variant>
        <vt:i4>5</vt:i4>
      </vt:variant>
      <vt:variant>
        <vt:lpwstr>https://doi.org/10.1108/scm-05-2021-0246</vt:lpwstr>
      </vt:variant>
      <vt:variant>
        <vt:lpwstr/>
      </vt:variant>
      <vt:variant>
        <vt:i4>1769520</vt:i4>
      </vt:variant>
      <vt:variant>
        <vt:i4>32</vt:i4>
      </vt:variant>
      <vt:variant>
        <vt:i4>0</vt:i4>
      </vt:variant>
      <vt:variant>
        <vt:i4>5</vt:i4>
      </vt:variant>
      <vt:variant>
        <vt:lpwstr/>
      </vt:variant>
      <vt:variant>
        <vt:lpwstr>_Toc224208642</vt:lpwstr>
      </vt:variant>
      <vt:variant>
        <vt:i4>1769520</vt:i4>
      </vt:variant>
      <vt:variant>
        <vt:i4>26</vt:i4>
      </vt:variant>
      <vt:variant>
        <vt:i4>0</vt:i4>
      </vt:variant>
      <vt:variant>
        <vt:i4>5</vt:i4>
      </vt:variant>
      <vt:variant>
        <vt:lpwstr/>
      </vt:variant>
      <vt:variant>
        <vt:lpwstr>_Toc224208641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Anamaria Fermesanu</cp:lastModifiedBy>
  <cp:revision>2</cp:revision>
  <cp:lastPrinted>1900-01-01T00:00:00Z</cp:lastPrinted>
  <dcterms:created xsi:type="dcterms:W3CDTF">2026-04-17T15:23:00Z</dcterms:created>
  <dcterms:modified xsi:type="dcterms:W3CDTF">2026-04-17T15:23:00Z</dcterms:modified>
</cp:coreProperties>
</file>