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C5423A8" w14:textId="7FFB24CF" w:rsidR="009726D6" w:rsidRDefault="00BA26DE" w:rsidP="0011022C">
      <w:pPr>
        <w:jc w:val="center"/>
        <w:rPr>
          <w:sz w:val="24"/>
          <w:u w:val="single"/>
        </w:rPr>
      </w:pPr>
      <w:r>
        <w:rPr>
          <w:sz w:val="24"/>
          <w:u w:val="single"/>
        </w:rPr>
        <w:t xml:space="preserve">CSCS6010: The </w:t>
      </w:r>
      <w:r w:rsidR="001912F6">
        <w:rPr>
          <w:sz w:val="24"/>
          <w:u w:val="single"/>
        </w:rPr>
        <w:t>Conference Portfolio</w:t>
      </w:r>
    </w:p>
    <w:p w14:paraId="72A47AD1" w14:textId="453886BE" w:rsidR="009726D6" w:rsidRDefault="002E2BD4" w:rsidP="001912F6">
      <w:r>
        <w:t>Throughout the development of the undergraduate conference</w:t>
      </w:r>
      <w:r w:rsidR="003C11A9">
        <w:t xml:space="preserve"> I felt that</w:t>
      </w:r>
      <w:r>
        <w:t xml:space="preserve"> all participants worked extremely effectively, both </w:t>
      </w:r>
      <w:r w:rsidR="003C11A9">
        <w:t xml:space="preserve">in </w:t>
      </w:r>
      <w:r>
        <w:t xml:space="preserve">their assigned roles and as a collective. The central theme to </w:t>
      </w:r>
      <w:r w:rsidR="003C11A9">
        <w:t xml:space="preserve">be consistent throughout all papers </w:t>
      </w:r>
      <w:r>
        <w:t xml:space="preserve">was developed organically as result of discussion surrounding </w:t>
      </w:r>
      <w:r w:rsidR="003C11A9">
        <w:t>individuals’</w:t>
      </w:r>
      <w:r>
        <w:t xml:space="preserve"> areas of specialty and interest. </w:t>
      </w:r>
      <w:r w:rsidR="003C11A9">
        <w:t xml:space="preserve">With the eventual decision to </w:t>
      </w:r>
      <w:r w:rsidR="00601938">
        <w:t>adopt</w:t>
      </w:r>
      <w:r w:rsidR="003C11A9">
        <w:t xml:space="preserve"> the slogan ‘War is Fun’, work could commence both on papers and the logistics behind organising an academic event.</w:t>
      </w:r>
      <w:r w:rsidR="00601938">
        <w:t xml:space="preserve"> The greatest strength of </w:t>
      </w:r>
      <w:r w:rsidR="007179CC">
        <w:t>this initial working title was the accessibility which it offered to a collective with a broad array of disciplines.</w:t>
      </w:r>
      <w:r w:rsidR="00B9529F">
        <w:t xml:space="preserve"> Participants from across the academic spectrum, from creative writing to modern history, could easily engage with </w:t>
      </w:r>
      <w:r w:rsidR="00C36A96">
        <w:t>the agreed upon theme</w:t>
      </w:r>
      <w:r w:rsidR="00B9529F">
        <w:t xml:space="preserve">. This array of skills would go on to </w:t>
      </w:r>
      <w:r w:rsidR="00C36A96">
        <w:t xml:space="preserve">greatly </w:t>
      </w:r>
      <w:r w:rsidR="00B9529F">
        <w:t xml:space="preserve">benefit the </w:t>
      </w:r>
      <w:r w:rsidR="00C36A96">
        <w:t>event, providing</w:t>
      </w:r>
      <w:r w:rsidR="00B9529F">
        <w:t xml:space="preserve"> variety to the audience in the form of short stories and academic papers.</w:t>
      </w:r>
      <w:r w:rsidR="006566A4">
        <w:t xml:space="preserve"> </w:t>
      </w:r>
      <w:r w:rsidR="00715726">
        <w:t>The effective spread of workload and variety of content contributed to a successful event.</w:t>
      </w:r>
    </w:p>
    <w:p w14:paraId="249602F6" w14:textId="2A2BEF1B" w:rsidR="004F3D88" w:rsidRPr="001912F6" w:rsidRDefault="008D6289" w:rsidP="001912F6">
      <w:r>
        <w:t>Having identified the themes and developed a working title, emphasis shifted onto individual’s specific roles. Personally, I took upon the ‘Point of Contact’</w:t>
      </w:r>
      <w:r w:rsidR="00080B73">
        <w:t xml:space="preserve"> position</w:t>
      </w:r>
      <w:r>
        <w:t xml:space="preserve">. </w:t>
      </w:r>
      <w:r w:rsidR="00B63421">
        <w:t xml:space="preserve">Primarily, my role encapsulated the management of emails and flow of information between participants. </w:t>
      </w:r>
      <w:r w:rsidR="002E4A70">
        <w:t xml:space="preserve">The first course of action which I perused was to ensure all students contributing to the conference had the ability to contact each other, as demonstrated in this forum post: </w:t>
      </w:r>
      <w:r>
        <w:t xml:space="preserve">  </w:t>
      </w:r>
    </w:p>
    <w:p w14:paraId="018B25FC" w14:textId="348DF1E9" w:rsidR="009726D6" w:rsidRDefault="002E4A70" w:rsidP="00927A7C">
      <w:pPr>
        <w:jc w:val="center"/>
        <w:rPr>
          <w:sz w:val="24"/>
          <w:u w:val="single"/>
        </w:rPr>
      </w:pPr>
      <w:r>
        <w:rPr>
          <w:noProof/>
        </w:rPr>
        <w:drawing>
          <wp:inline distT="0" distB="0" distL="0" distR="0" wp14:anchorId="44863802" wp14:editId="068496C9">
            <wp:extent cx="5643069" cy="2371725"/>
            <wp:effectExtent l="190500" t="190500" r="186690" b="18097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srcRect l="11634" t="28659" r="8099" b="11365"/>
                    <a:stretch/>
                  </pic:blipFill>
                  <pic:spPr bwMode="auto">
                    <a:xfrm>
                      <a:off x="0" y="0"/>
                      <a:ext cx="5661953" cy="2379662"/>
                    </a:xfrm>
                    <a:prstGeom prst="rect">
                      <a:avLst/>
                    </a:prstGeom>
                    <a:ln>
                      <a:noFill/>
                    </a:ln>
                    <a:effectLst>
                      <a:outerShdw blurRad="190500" algn="tl" rotWithShape="0">
                        <a:srgbClr val="000000">
                          <a:alpha val="70000"/>
                        </a:srgbClr>
                      </a:outerShdw>
                    </a:effectLst>
                    <a:extLst>
                      <a:ext uri="{53640926-AAD7-44D8-BBD7-CCE9431645EC}">
                        <a14:shadowObscured xmlns:a14="http://schemas.microsoft.com/office/drawing/2010/main"/>
                      </a:ext>
                    </a:extLst>
                  </pic:spPr>
                </pic:pic>
              </a:graphicData>
            </a:graphic>
          </wp:inline>
        </w:drawing>
      </w:r>
    </w:p>
    <w:p w14:paraId="1FB6B74C" w14:textId="77777777" w:rsidR="0086094E" w:rsidRDefault="00C77B17" w:rsidP="002E4A70">
      <w:r>
        <w:t xml:space="preserve">Additionally, </w:t>
      </w:r>
      <w:proofErr w:type="gramStart"/>
      <w:r>
        <w:t>due to the fact that</w:t>
      </w:r>
      <w:proofErr w:type="gramEnd"/>
      <w:r>
        <w:t xml:space="preserve"> my student email would be displayed upon all conference advertisements, there was a possibility that I would encounter queries of which I did not have the ability to answer myself. Having all </w:t>
      </w:r>
      <w:r w:rsidR="00E50C4C">
        <w:t>participants emails readily available would</w:t>
      </w:r>
      <w:r w:rsidR="00F34619">
        <w:t xml:space="preserve"> allow for clear communication s</w:t>
      </w:r>
      <w:r w:rsidR="00E50C4C">
        <w:t>hould queries arise specific to their individual papers.</w:t>
      </w:r>
      <w:r w:rsidR="006B6F4C">
        <w:t xml:space="preserve"> </w:t>
      </w:r>
    </w:p>
    <w:p w14:paraId="7167881A" w14:textId="62AA8F2B" w:rsidR="00E23C4D" w:rsidRDefault="0086094E" w:rsidP="00E23C4D">
      <w:r>
        <w:t>Following the completion of this task, I endeavoured to raise the profile of the undergraduate conference through publicity in the local area.</w:t>
      </w:r>
      <w:r w:rsidR="00D361F7">
        <w:t xml:space="preserve"> Gathering an audience for the event was crucial in achieving success.</w:t>
      </w:r>
      <w:r>
        <w:t xml:space="preserve"> This intention was pursued through contacting Lisa Corcoran, the Lampeter Campus Marketing Officer. </w:t>
      </w:r>
      <w:r w:rsidR="00E42215">
        <w:t>Through utilising the local knowledge of Ms Corcoran, it was my aim to target local schools and colleges with advertisement</w:t>
      </w:r>
      <w:r w:rsidR="00D361F7">
        <w:t xml:space="preserve">. It was my belief that those still in education were among </w:t>
      </w:r>
      <w:r w:rsidR="00B8091A">
        <w:t>the</w:t>
      </w:r>
      <w:r w:rsidR="00D361F7">
        <w:t xml:space="preserve"> most likely to genuinely have an interest in attendance of an academic conference.</w:t>
      </w:r>
      <w:r w:rsidR="00D24EC5">
        <w:t xml:space="preserve"> However, any</w:t>
      </w:r>
      <w:r w:rsidR="00DA456D">
        <w:t xml:space="preserve"> community</w:t>
      </w:r>
      <w:r w:rsidR="00D24EC5">
        <w:t xml:space="preserve"> groups or organisations which demonstrated</w:t>
      </w:r>
      <w:r w:rsidR="00CA3B22">
        <w:t xml:space="preserve"> an</w:t>
      </w:r>
      <w:r w:rsidR="00D24EC5">
        <w:t xml:space="preserve"> interest would</w:t>
      </w:r>
      <w:r w:rsidR="00901F32">
        <w:t xml:space="preserve"> also</w:t>
      </w:r>
      <w:r w:rsidR="00D24EC5">
        <w:t xml:space="preserve"> have been welcome.</w:t>
      </w:r>
      <w:r w:rsidR="00D361F7">
        <w:t xml:space="preserve"> Having provided all information relevant to the conference at that stage, I </w:t>
      </w:r>
      <w:r w:rsidR="00FF6697">
        <w:t>remained</w:t>
      </w:r>
      <w:r w:rsidR="00D361F7">
        <w:t xml:space="preserve"> </w:t>
      </w:r>
      <w:r w:rsidR="00D361F7">
        <w:lastRenderedPageBreak/>
        <w:t xml:space="preserve">optimistic that the task could yield an audience for the conference. The initial conversation between myself and Ms Corcoran can be viewed below:    </w:t>
      </w:r>
      <w:r w:rsidR="00E42215">
        <w:t xml:space="preserve"> </w:t>
      </w:r>
      <w:r w:rsidR="00E50C4C">
        <w:t xml:space="preserve"> </w:t>
      </w:r>
      <w:r w:rsidR="00C77B17">
        <w:t xml:space="preserve"> </w:t>
      </w:r>
    </w:p>
    <w:p w14:paraId="4648B359" w14:textId="7FA4D40A" w:rsidR="009726D6" w:rsidRPr="00E23C4D" w:rsidRDefault="00E23C4D" w:rsidP="00E23C4D">
      <w:pPr>
        <w:jc w:val="center"/>
      </w:pPr>
      <w:r>
        <w:rPr>
          <w:noProof/>
        </w:rPr>
        <w:drawing>
          <wp:inline distT="0" distB="0" distL="0" distR="0" wp14:anchorId="33864A1A" wp14:editId="5AF18C93">
            <wp:extent cx="4940165" cy="1962150"/>
            <wp:effectExtent l="190500" t="190500" r="184785" b="19050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39220" t="47863" r="1783" b="10479"/>
                    <a:stretch/>
                  </pic:blipFill>
                  <pic:spPr bwMode="auto">
                    <a:xfrm>
                      <a:off x="0" y="0"/>
                      <a:ext cx="4957960" cy="1969218"/>
                    </a:xfrm>
                    <a:prstGeom prst="rect">
                      <a:avLst/>
                    </a:prstGeom>
                    <a:ln>
                      <a:noFill/>
                    </a:ln>
                    <a:effectLst>
                      <a:outerShdw blurRad="190500" algn="tl" rotWithShape="0">
                        <a:srgbClr val="000000">
                          <a:alpha val="70000"/>
                        </a:srgbClr>
                      </a:outerShdw>
                    </a:effectLst>
                    <a:extLst>
                      <a:ext uri="{53640926-AAD7-44D8-BBD7-CCE9431645EC}">
                        <a14:shadowObscured xmlns:a14="http://schemas.microsoft.com/office/drawing/2010/main"/>
                      </a:ext>
                    </a:extLst>
                  </pic:spPr>
                </pic:pic>
              </a:graphicData>
            </a:graphic>
          </wp:inline>
        </w:drawing>
      </w:r>
    </w:p>
    <w:p w14:paraId="4062541A" w14:textId="129EBE2E" w:rsidR="009726D6" w:rsidRDefault="00E23C4D" w:rsidP="00E23C4D">
      <w:pPr>
        <w:jc w:val="center"/>
        <w:rPr>
          <w:sz w:val="24"/>
          <w:u w:val="single"/>
        </w:rPr>
      </w:pPr>
      <w:r>
        <w:rPr>
          <w:noProof/>
        </w:rPr>
        <w:drawing>
          <wp:inline distT="0" distB="0" distL="0" distR="0" wp14:anchorId="6EF2987D" wp14:editId="7488062F">
            <wp:extent cx="5000625" cy="2128838"/>
            <wp:effectExtent l="190500" t="190500" r="180975" b="19558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39717" t="28954" r="2117" b="27024"/>
                    <a:stretch/>
                  </pic:blipFill>
                  <pic:spPr bwMode="auto">
                    <a:xfrm>
                      <a:off x="0" y="0"/>
                      <a:ext cx="5050847" cy="2150218"/>
                    </a:xfrm>
                    <a:prstGeom prst="rect">
                      <a:avLst/>
                    </a:prstGeom>
                    <a:ln>
                      <a:noFill/>
                    </a:ln>
                    <a:effectLst>
                      <a:outerShdw blurRad="190500" algn="tl" rotWithShape="0">
                        <a:srgbClr val="000000">
                          <a:alpha val="70000"/>
                        </a:srgbClr>
                      </a:outerShdw>
                    </a:effectLst>
                    <a:extLst>
                      <a:ext uri="{53640926-AAD7-44D8-BBD7-CCE9431645EC}">
                        <a14:shadowObscured xmlns:a14="http://schemas.microsoft.com/office/drawing/2010/main"/>
                      </a:ext>
                    </a:extLst>
                  </pic:spPr>
                </pic:pic>
              </a:graphicData>
            </a:graphic>
          </wp:inline>
        </w:drawing>
      </w:r>
    </w:p>
    <w:p w14:paraId="3F238928" w14:textId="0D651866" w:rsidR="009726D6" w:rsidRPr="00B72333" w:rsidRDefault="0011022C" w:rsidP="00B72333">
      <w:r>
        <w:t xml:space="preserve">Upon receiving her </w:t>
      </w:r>
      <w:r w:rsidR="00EF1087">
        <w:t>response,</w:t>
      </w:r>
      <w:r>
        <w:t xml:space="preserve"> the following week, I decided to peruse the possibility of advertising the event on the ‘Discover Ceredigion’ website. As such, I contacted </w:t>
      </w:r>
      <w:proofErr w:type="spellStart"/>
      <w:r>
        <w:t>Gwenfair</w:t>
      </w:r>
      <w:proofErr w:type="spellEnd"/>
      <w:r>
        <w:t xml:space="preserve"> Owen of Ceredig</w:t>
      </w:r>
      <w:r w:rsidR="00B62BBE">
        <w:t>ion County C</w:t>
      </w:r>
      <w:r>
        <w:t xml:space="preserve">ouncil whilst also providing Ms Corcoran with the updated conference poster: </w:t>
      </w:r>
    </w:p>
    <w:p w14:paraId="285743FD" w14:textId="30E3BDC9" w:rsidR="009726D6" w:rsidRDefault="0011022C" w:rsidP="006A4818">
      <w:pPr>
        <w:jc w:val="center"/>
        <w:rPr>
          <w:sz w:val="24"/>
          <w:u w:val="single"/>
        </w:rPr>
      </w:pPr>
      <w:r>
        <w:rPr>
          <w:noProof/>
        </w:rPr>
        <w:drawing>
          <wp:inline distT="0" distB="0" distL="0" distR="0" wp14:anchorId="5C9702A0" wp14:editId="6948627B">
            <wp:extent cx="5133975" cy="2182950"/>
            <wp:effectExtent l="190500" t="190500" r="180975" b="19875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35065" t="23341" r="1617" b="28796"/>
                    <a:stretch/>
                  </pic:blipFill>
                  <pic:spPr bwMode="auto">
                    <a:xfrm>
                      <a:off x="0" y="0"/>
                      <a:ext cx="5147953" cy="2188893"/>
                    </a:xfrm>
                    <a:prstGeom prst="rect">
                      <a:avLst/>
                    </a:prstGeom>
                    <a:ln>
                      <a:noFill/>
                    </a:ln>
                    <a:effectLst>
                      <a:outerShdw blurRad="190500" algn="tl" rotWithShape="0">
                        <a:srgbClr val="000000">
                          <a:alpha val="70000"/>
                        </a:srgbClr>
                      </a:outerShdw>
                    </a:effectLst>
                    <a:extLst>
                      <a:ext uri="{53640926-AAD7-44D8-BBD7-CCE9431645EC}">
                        <a14:shadowObscured xmlns:a14="http://schemas.microsoft.com/office/drawing/2010/main"/>
                      </a:ext>
                    </a:extLst>
                  </pic:spPr>
                </pic:pic>
              </a:graphicData>
            </a:graphic>
          </wp:inline>
        </w:drawing>
      </w:r>
    </w:p>
    <w:p w14:paraId="172BBB9A" w14:textId="2B2C42CB" w:rsidR="009726D6" w:rsidRDefault="0011022C" w:rsidP="00927A7C">
      <w:pPr>
        <w:jc w:val="center"/>
        <w:rPr>
          <w:sz w:val="24"/>
          <w:u w:val="single"/>
        </w:rPr>
      </w:pPr>
      <w:r>
        <w:rPr>
          <w:noProof/>
        </w:rPr>
        <w:lastRenderedPageBreak/>
        <w:drawing>
          <wp:inline distT="0" distB="0" distL="0" distR="0" wp14:anchorId="5C0B3BFD" wp14:editId="78AAA32D">
            <wp:extent cx="5200598" cy="1981200"/>
            <wp:effectExtent l="190500" t="190500" r="191135" b="19050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35065" t="22160" r="2449" b="35520"/>
                    <a:stretch/>
                  </pic:blipFill>
                  <pic:spPr bwMode="auto">
                    <a:xfrm>
                      <a:off x="0" y="0"/>
                      <a:ext cx="5224982" cy="1990489"/>
                    </a:xfrm>
                    <a:prstGeom prst="rect">
                      <a:avLst/>
                    </a:prstGeom>
                    <a:ln>
                      <a:noFill/>
                    </a:ln>
                    <a:effectLst>
                      <a:outerShdw blurRad="190500" algn="tl" rotWithShape="0">
                        <a:srgbClr val="000000">
                          <a:alpha val="70000"/>
                        </a:srgbClr>
                      </a:outerShdw>
                    </a:effectLst>
                    <a:extLst>
                      <a:ext uri="{53640926-AAD7-44D8-BBD7-CCE9431645EC}">
                        <a14:shadowObscured xmlns:a14="http://schemas.microsoft.com/office/drawing/2010/main"/>
                      </a:ext>
                    </a:extLst>
                  </pic:spPr>
                </pic:pic>
              </a:graphicData>
            </a:graphic>
          </wp:inline>
        </w:drawing>
      </w:r>
    </w:p>
    <w:p w14:paraId="49E232AD" w14:textId="39B0BFF9" w:rsidR="009726D6" w:rsidRDefault="0011022C" w:rsidP="0011022C">
      <w:r>
        <w:t>With both courses of actions appearing promising in providing an audience for the conference I decided to relay this information to the conference’s participants. This was achieved in the following forum post:</w:t>
      </w:r>
    </w:p>
    <w:p w14:paraId="4CC187FA" w14:textId="7CB01D53" w:rsidR="0011022C" w:rsidRPr="0011022C" w:rsidRDefault="0011022C" w:rsidP="0011022C">
      <w:pPr>
        <w:jc w:val="center"/>
      </w:pPr>
      <w:r>
        <w:rPr>
          <w:noProof/>
        </w:rPr>
        <w:drawing>
          <wp:inline distT="0" distB="0" distL="0" distR="0" wp14:anchorId="0B61F3E3" wp14:editId="10AF4466">
            <wp:extent cx="5198646" cy="1743075"/>
            <wp:effectExtent l="190500" t="190500" r="193040" b="18097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7146" t="26296" r="8099" b="23182"/>
                    <a:stretch/>
                  </pic:blipFill>
                  <pic:spPr bwMode="auto">
                    <a:xfrm>
                      <a:off x="0" y="0"/>
                      <a:ext cx="5213428" cy="1748031"/>
                    </a:xfrm>
                    <a:prstGeom prst="rect">
                      <a:avLst/>
                    </a:prstGeom>
                    <a:ln>
                      <a:noFill/>
                    </a:ln>
                    <a:effectLst>
                      <a:outerShdw blurRad="190500" algn="tl" rotWithShape="0">
                        <a:srgbClr val="000000">
                          <a:alpha val="70000"/>
                        </a:srgbClr>
                      </a:outerShdw>
                    </a:effectLst>
                    <a:extLst>
                      <a:ext uri="{53640926-AAD7-44D8-BBD7-CCE9431645EC}">
                        <a14:shadowObscured xmlns:a14="http://schemas.microsoft.com/office/drawing/2010/main"/>
                      </a:ext>
                    </a:extLst>
                  </pic:spPr>
                </pic:pic>
              </a:graphicData>
            </a:graphic>
          </wp:inline>
        </w:drawing>
      </w:r>
    </w:p>
    <w:p w14:paraId="4CB46326" w14:textId="77777777" w:rsidR="00612448" w:rsidRDefault="00BD2C7B" w:rsidP="0011022C">
      <w:r>
        <w:t>Unfortunately</w:t>
      </w:r>
      <w:r w:rsidR="000A7CEF">
        <w:t>, from this point very little traction was achieved in the wider distribution of advertisement. Both Ms Corcoran and Ms Owen failed to respond to the above communications. When conducting a task such as this in the future, I will utilise a more direct approach. Speaking directly to individuals in person may well have stimulated activity. Subsequently, this may have led to a larger audience when delivering the conference.</w:t>
      </w:r>
    </w:p>
    <w:p w14:paraId="56C84856" w14:textId="02F91611" w:rsidR="006A4818" w:rsidRDefault="00612448" w:rsidP="0011022C">
      <w:r>
        <w:t xml:space="preserve">Following the research phase and subsequent creation of </w:t>
      </w:r>
      <w:r w:rsidR="008D2593">
        <w:t>my paper titled ‘How Effective was the 1914 publication ‘Lord Kitchener Wants You’ in stimulating military recruitment?’</w:t>
      </w:r>
      <w:r w:rsidR="004A67DA">
        <w:t>, the contribution was submitted in line with the group</w:t>
      </w:r>
      <w:r w:rsidR="00AA2282">
        <w:t>s</w:t>
      </w:r>
      <w:r w:rsidR="004A67DA">
        <w:t xml:space="preserve"> agreed deadline.</w:t>
      </w:r>
    </w:p>
    <w:p w14:paraId="63768C25" w14:textId="478BBC6C" w:rsidR="006A4818" w:rsidRDefault="004A67DA" w:rsidP="006A4818">
      <w:pPr>
        <w:jc w:val="center"/>
      </w:pPr>
      <w:r>
        <w:rPr>
          <w:noProof/>
        </w:rPr>
        <w:drawing>
          <wp:inline distT="0" distB="0" distL="0" distR="0" wp14:anchorId="31D9B618" wp14:editId="6BA25A37">
            <wp:extent cx="5338926" cy="1162001"/>
            <wp:effectExtent l="190500" t="190500" r="186055" b="19113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7313" t="40181" r="7933" b="27023"/>
                    <a:stretch/>
                  </pic:blipFill>
                  <pic:spPr bwMode="auto">
                    <a:xfrm>
                      <a:off x="0" y="0"/>
                      <a:ext cx="5439415" cy="1183872"/>
                    </a:xfrm>
                    <a:prstGeom prst="rect">
                      <a:avLst/>
                    </a:prstGeom>
                    <a:ln>
                      <a:noFill/>
                    </a:ln>
                    <a:effectLst>
                      <a:outerShdw blurRad="190500" algn="tl" rotWithShape="0">
                        <a:srgbClr val="000000">
                          <a:alpha val="70000"/>
                        </a:srgbClr>
                      </a:outerShdw>
                    </a:effectLst>
                    <a:extLst>
                      <a:ext uri="{53640926-AAD7-44D8-BBD7-CCE9431645EC}">
                        <a14:shadowObscured xmlns:a14="http://schemas.microsoft.com/office/drawing/2010/main"/>
                      </a:ext>
                    </a:extLst>
                  </pic:spPr>
                </pic:pic>
              </a:graphicData>
            </a:graphic>
          </wp:inline>
        </w:drawing>
      </w:r>
    </w:p>
    <w:p w14:paraId="0A94510F" w14:textId="2BF4A54F" w:rsidR="009726D6" w:rsidRDefault="00612448" w:rsidP="0011022C">
      <w:r>
        <w:lastRenderedPageBreak/>
        <w:t xml:space="preserve">Upon reflection of the event itself, I would absolutely categorise the conference as a success. All participants produced high quality content and delivered their works with confidence. Due to the nature of my personal contribution, I felt it necessary to include images of the ‘Lord Kitchener Wants You’ and ‘Uncle Sam’ posters. This was done through a supporting PowerPoint as seen below: </w:t>
      </w:r>
      <w:r w:rsidR="00BD2C7B">
        <w:t xml:space="preserve"> </w:t>
      </w:r>
    </w:p>
    <w:p w14:paraId="33D311E3" w14:textId="036381DF" w:rsidR="00612448" w:rsidRPr="0011022C" w:rsidRDefault="00612448" w:rsidP="00612448">
      <w:pPr>
        <w:jc w:val="center"/>
      </w:pPr>
      <w:r>
        <w:rPr>
          <w:noProof/>
        </w:rPr>
        <w:drawing>
          <wp:inline distT="0" distB="0" distL="0" distR="0" wp14:anchorId="1B79F665" wp14:editId="3ACF564F">
            <wp:extent cx="4819650" cy="2710986"/>
            <wp:effectExtent l="190500" t="190500" r="190500" b="18478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4820788" cy="2711626"/>
                    </a:xfrm>
                    <a:prstGeom prst="rect">
                      <a:avLst/>
                    </a:prstGeom>
                    <a:ln>
                      <a:noFill/>
                    </a:ln>
                    <a:effectLst>
                      <a:outerShdw blurRad="190500" algn="tl" rotWithShape="0">
                        <a:srgbClr val="000000">
                          <a:alpha val="70000"/>
                        </a:srgbClr>
                      </a:outerShdw>
                    </a:effectLst>
                  </pic:spPr>
                </pic:pic>
              </a:graphicData>
            </a:graphic>
          </wp:inline>
        </w:drawing>
      </w:r>
    </w:p>
    <w:p w14:paraId="662988FD" w14:textId="4A46CCFA" w:rsidR="009726D6" w:rsidRPr="004169A0" w:rsidRDefault="004169A0" w:rsidP="004169A0">
      <w:r>
        <w:t>The presentation itself progressed well, and with the aid of</w:t>
      </w:r>
      <w:r w:rsidR="00201283">
        <w:t xml:space="preserve"> the above</w:t>
      </w:r>
      <w:r>
        <w:t xml:space="preserve"> supporting images I was able to deviate from my paper providing additional information where appropriate.</w:t>
      </w:r>
      <w:r w:rsidR="00AA7D88">
        <w:t xml:space="preserve"> Although a small audience, I would not say</w:t>
      </w:r>
      <w:r w:rsidR="00E129D5">
        <w:t xml:space="preserve"> that</w:t>
      </w:r>
      <w:r w:rsidR="00AA7D88">
        <w:t xml:space="preserve"> a lack of guests detracted from the event. Those who did attend the</w:t>
      </w:r>
      <w:r w:rsidR="00604411">
        <w:t xml:space="preserve"> </w:t>
      </w:r>
      <w:proofErr w:type="gramStart"/>
      <w:r w:rsidR="00AA7D88">
        <w:t>conference maintained</w:t>
      </w:r>
      <w:proofErr w:type="gramEnd"/>
      <w:r w:rsidR="00AA7D88">
        <w:t xml:space="preserve"> engagement throughout the day, providing thoughtful question</w:t>
      </w:r>
      <w:r w:rsidR="00E5795A">
        <w:t>s</w:t>
      </w:r>
      <w:r w:rsidR="00AA7D88">
        <w:t xml:space="preserve"> and analysis appropriate to the </w:t>
      </w:r>
      <w:r w:rsidR="008633E0">
        <w:t>presented work.</w:t>
      </w:r>
      <w:r w:rsidR="00E1416E">
        <w:t xml:space="preserve"> A larger audience may well have been attracted had advertising been distributed earlier</w:t>
      </w:r>
      <w:r w:rsidR="00BA6096">
        <w:t>,</w:t>
      </w:r>
      <w:r w:rsidR="00E1416E">
        <w:t xml:space="preserve"> </w:t>
      </w:r>
      <w:r w:rsidR="00BA6096">
        <w:t xml:space="preserve">as such I would recommend this amendment to anyone planning future academic events. </w:t>
      </w:r>
      <w:r w:rsidR="00144DE2">
        <w:t xml:space="preserve">Overall, the module participants integrated well, ultimately delivering a successful undergraduate conference.  </w:t>
      </w:r>
      <w:r w:rsidR="00BA6096">
        <w:t xml:space="preserve"> </w:t>
      </w:r>
      <w:r w:rsidR="008633E0">
        <w:t xml:space="preserve"> </w:t>
      </w:r>
      <w:r w:rsidR="00AA7D88">
        <w:t xml:space="preserve">  </w:t>
      </w:r>
      <w:r>
        <w:t xml:space="preserve">  </w:t>
      </w:r>
      <w:r w:rsidR="008633E0">
        <w:t xml:space="preserve"> </w:t>
      </w:r>
      <w:bookmarkStart w:id="0" w:name="_GoBack"/>
      <w:bookmarkEnd w:id="0"/>
    </w:p>
    <w:p w14:paraId="62A37BF7" w14:textId="77777777" w:rsidR="009726D6" w:rsidRDefault="009726D6" w:rsidP="00927A7C">
      <w:pPr>
        <w:jc w:val="center"/>
        <w:rPr>
          <w:sz w:val="24"/>
          <w:u w:val="single"/>
        </w:rPr>
      </w:pPr>
    </w:p>
    <w:p w14:paraId="4EB6B200" w14:textId="77777777" w:rsidR="009726D6" w:rsidRDefault="009726D6" w:rsidP="00927A7C">
      <w:pPr>
        <w:jc w:val="center"/>
        <w:rPr>
          <w:sz w:val="24"/>
          <w:u w:val="single"/>
        </w:rPr>
      </w:pPr>
    </w:p>
    <w:p w14:paraId="54B89777" w14:textId="77777777" w:rsidR="009726D6" w:rsidRDefault="009726D6" w:rsidP="00927A7C">
      <w:pPr>
        <w:jc w:val="center"/>
        <w:rPr>
          <w:sz w:val="24"/>
          <w:u w:val="single"/>
        </w:rPr>
      </w:pPr>
    </w:p>
    <w:p w14:paraId="7A0E5565" w14:textId="77777777" w:rsidR="009726D6" w:rsidRDefault="009726D6" w:rsidP="00927A7C">
      <w:pPr>
        <w:jc w:val="center"/>
        <w:rPr>
          <w:sz w:val="24"/>
          <w:u w:val="single"/>
        </w:rPr>
      </w:pPr>
    </w:p>
    <w:p w14:paraId="7697B862" w14:textId="77777777" w:rsidR="009726D6" w:rsidRDefault="009726D6" w:rsidP="00927A7C">
      <w:pPr>
        <w:jc w:val="center"/>
        <w:rPr>
          <w:sz w:val="24"/>
          <w:u w:val="single"/>
        </w:rPr>
      </w:pPr>
    </w:p>
    <w:p w14:paraId="777C638B" w14:textId="77777777" w:rsidR="009726D6" w:rsidRDefault="009726D6" w:rsidP="00927A7C">
      <w:pPr>
        <w:jc w:val="center"/>
        <w:rPr>
          <w:sz w:val="24"/>
          <w:u w:val="single"/>
        </w:rPr>
      </w:pPr>
    </w:p>
    <w:p w14:paraId="7E1D8A2F" w14:textId="77777777" w:rsidR="009726D6" w:rsidRDefault="009726D6" w:rsidP="00927A7C">
      <w:pPr>
        <w:jc w:val="center"/>
        <w:rPr>
          <w:sz w:val="24"/>
          <w:u w:val="single"/>
        </w:rPr>
      </w:pPr>
    </w:p>
    <w:p w14:paraId="32E167E4" w14:textId="77777777" w:rsidR="009726D6" w:rsidRDefault="009726D6" w:rsidP="00927A7C">
      <w:pPr>
        <w:jc w:val="center"/>
        <w:rPr>
          <w:sz w:val="24"/>
          <w:u w:val="single"/>
        </w:rPr>
      </w:pPr>
    </w:p>
    <w:p w14:paraId="26629823" w14:textId="77777777" w:rsidR="009726D6" w:rsidRDefault="009726D6" w:rsidP="00927A7C">
      <w:pPr>
        <w:jc w:val="center"/>
        <w:rPr>
          <w:sz w:val="24"/>
          <w:u w:val="single"/>
        </w:rPr>
      </w:pPr>
    </w:p>
    <w:p w14:paraId="424CA032" w14:textId="77777777" w:rsidR="004A326E" w:rsidRDefault="004A326E" w:rsidP="004A326E">
      <w:pPr>
        <w:rPr>
          <w:sz w:val="24"/>
          <w:u w:val="single"/>
        </w:rPr>
      </w:pPr>
    </w:p>
    <w:p w14:paraId="7FE62C29" w14:textId="0A0A257B" w:rsidR="00927A7C" w:rsidRPr="00C82F11" w:rsidRDefault="00927A7C" w:rsidP="004A326E">
      <w:pPr>
        <w:jc w:val="center"/>
        <w:rPr>
          <w:sz w:val="24"/>
          <w:u w:val="single"/>
        </w:rPr>
      </w:pPr>
      <w:r w:rsidRPr="00C82F11">
        <w:rPr>
          <w:sz w:val="24"/>
          <w:u w:val="single"/>
        </w:rPr>
        <w:lastRenderedPageBreak/>
        <w:t>How effective was the 1914 publication ‘Lord Kitchener Wants You’ in stimulating military recruitment?’</w:t>
      </w:r>
    </w:p>
    <w:p w14:paraId="3C39188E" w14:textId="77777777" w:rsidR="00927A7C" w:rsidRDefault="00927A7C" w:rsidP="00927A7C">
      <w:r>
        <w:t>This paper will explore the development and subsequent impact of the famous 1914 publication titled ‘Lord Kitchener Wants You’</w:t>
      </w:r>
      <w:r>
        <w:rPr>
          <w:rStyle w:val="FootnoteReference"/>
        </w:rPr>
        <w:footnoteReference w:id="1"/>
      </w:r>
      <w:r>
        <w:t>. Featuring the British Secretary of State for War, Lord Kitchener, the publication was utilised by the British Military to stimulate military recruitment during the First World War</w:t>
      </w:r>
      <w:r>
        <w:rPr>
          <w:rStyle w:val="FootnoteReference"/>
        </w:rPr>
        <w:footnoteReference w:id="2"/>
      </w:r>
      <w:r>
        <w:t xml:space="preserve">. Through the implementation of both contemporary and modern scholarship a substantiated position will be reached on the posters effect. </w:t>
      </w:r>
      <w:proofErr w:type="gramStart"/>
      <w:r>
        <w:t>Particular emphasis</w:t>
      </w:r>
      <w:proofErr w:type="gramEnd"/>
      <w:r>
        <w:t xml:space="preserve"> will be placed on recruitment statistics following the implementation, further building on the assessments credibility. In addition to the assessment of the poster itself, analysis will draw on alternative means of recruitment </w:t>
      </w:r>
      <w:proofErr w:type="gramStart"/>
      <w:r>
        <w:t>in order to</w:t>
      </w:r>
      <w:proofErr w:type="gramEnd"/>
      <w:r>
        <w:t xml:space="preserve"> gauge the most effective method. This analysis will not be limited to British recruitment during the First World War and will extend to both other nations and time periods. Specifically, this will include US military recruitment during the Second World War as well as military recruitment utilised by the British Army today. By doing so, the publications effect will be brought into the scope of wider military recruitment.      </w:t>
      </w:r>
    </w:p>
    <w:p w14:paraId="756FDC92" w14:textId="2022A6FB" w:rsidR="00927A7C" w:rsidRDefault="00927A7C" w:rsidP="00927A7C">
      <w:r>
        <w:t xml:space="preserve">In line with the intention to address the statement ‘War Is Fun’, this paper will also seek to demonstrate a </w:t>
      </w:r>
      <w:r w:rsidRPr="00097639">
        <w:t>caveat</w:t>
      </w:r>
      <w:r>
        <w:t>,</w:t>
      </w:r>
      <w:r w:rsidRPr="00097639">
        <w:t xml:space="preserve"> </w:t>
      </w:r>
      <w:r>
        <w:t xml:space="preserve">evident in recruitment campaigns throughout history. Principally, the naivety of youth to interpret war as an adventure. Such an interpretation is evident throughout contemporary works produced during the First World War. A great example of </w:t>
      </w:r>
      <w:r w:rsidR="00AB4069">
        <w:t>this</w:t>
      </w:r>
      <w:r>
        <w:t xml:space="preserve"> is the poem ‘</w:t>
      </w:r>
      <w:proofErr w:type="spellStart"/>
      <w:r w:rsidRPr="00D60B5C">
        <w:t>Vitaï</w:t>
      </w:r>
      <w:proofErr w:type="spellEnd"/>
      <w:r w:rsidRPr="00D60B5C">
        <w:t xml:space="preserve"> </w:t>
      </w:r>
      <w:proofErr w:type="spellStart"/>
      <w:r w:rsidRPr="00D60B5C">
        <w:t>Lampada</w:t>
      </w:r>
      <w:proofErr w:type="spellEnd"/>
      <w:r>
        <w:t>’ with the infamous line ‘Play up! play up! and play the game!’</w:t>
      </w:r>
      <w:r>
        <w:rPr>
          <w:rStyle w:val="FootnoteReference"/>
        </w:rPr>
        <w:footnoteReference w:id="3"/>
      </w:r>
      <w:r>
        <w:t>. The poem drew parallels between public school boys playing cricket and their experiences of trench warfare. More specific to Kitchener’s recruitment campaign, Barnett depicts the atmosphere which had been created in Britain during the Autumn of 1914, ‘Moved by patriotism, by desire for a bit of adventure, by a desire to escape from poverty and unemployment, the crowds queued outside the recruiting offices’</w:t>
      </w:r>
      <w:r>
        <w:rPr>
          <w:rStyle w:val="FootnoteReference"/>
        </w:rPr>
        <w:footnoteReference w:id="4"/>
      </w:r>
      <w:r>
        <w:t xml:space="preserve">. The belief of youth in that ‘War is Fun’ is present throughout history and is a vital misconception which almost all recruitment campaigns draw upon.     </w:t>
      </w:r>
    </w:p>
    <w:p w14:paraId="5F6DB6D6" w14:textId="065864A2" w:rsidR="00927A7C" w:rsidRDefault="00927A7C" w:rsidP="00927A7C">
      <w:r>
        <w:t>‘Lord Kitchener Wants You’, created by the graphic artist Alfred Leete, is widely regarded as one of the most iconic images of the First World War</w:t>
      </w:r>
      <w:r>
        <w:rPr>
          <w:rStyle w:val="FootnoteReference"/>
        </w:rPr>
        <w:footnoteReference w:id="5"/>
      </w:r>
      <w:r>
        <w:t>. However, it is important to consider that the legacy of Leete’s work extends further than just the conflict of 1914-1918. His creation would go on to inspire publications throughout the twentieth century. An example of which would be Flagg’s poster titled ‘Uncle Sam’, which was incorporated into the US Army’s recruitment campaign during the Second World War</w:t>
      </w:r>
      <w:r>
        <w:rPr>
          <w:rStyle w:val="FootnoteReference"/>
        </w:rPr>
        <w:footnoteReference w:id="6"/>
      </w:r>
      <w:r>
        <w:t>. Additionally, parallels can be drawn between the approach utilised in the ‘Lord Kitchener Wa</w:t>
      </w:r>
      <w:r w:rsidR="00AB4069">
        <w:t>nts You’ publication and that</w:t>
      </w:r>
      <w:r>
        <w:t xml:space="preserve"> in modern day military recruitment campaigns</w:t>
      </w:r>
      <w:r>
        <w:rPr>
          <w:rStyle w:val="FootnoteReference"/>
        </w:rPr>
        <w:footnoteReference w:id="7"/>
      </w:r>
      <w:r>
        <w:t xml:space="preserve">. The differing success of the </w:t>
      </w:r>
      <w:proofErr w:type="gramStart"/>
      <w:r>
        <w:t>aforementioned will</w:t>
      </w:r>
      <w:proofErr w:type="gramEnd"/>
      <w:r>
        <w:t xml:space="preserve"> highlight the importance of the underlaying message which they convey. In support of this message, it is vital to effectively identify the target of such recruitment. The audience of military recruitment campaigns changes depending on the </w:t>
      </w:r>
      <w:r>
        <w:lastRenderedPageBreak/>
        <w:t xml:space="preserve">contemporary conflict. During a total </w:t>
      </w:r>
      <w:r w:rsidR="00671F17">
        <w:t>war,</w:t>
      </w:r>
      <w:r>
        <w:t xml:space="preserve"> it becomes vital that a campaign attracts the wider population, whilst in the event of a foreign or expeditionary conflict a more specific audience should be targeted. The question of audience will be evaluated more </w:t>
      </w:r>
      <w:r w:rsidRPr="00F70B2B">
        <w:t>intimate</w:t>
      </w:r>
      <w:r>
        <w:t xml:space="preserve">ly during later analysis of modern day recruitment. It is here </w:t>
      </w:r>
      <w:r w:rsidR="00671F17">
        <w:t>that</w:t>
      </w:r>
      <w:r>
        <w:t xml:space="preserve"> the theory of a developing audience in relation to a given conflict is best applied. </w:t>
      </w:r>
    </w:p>
    <w:p w14:paraId="0F0C1BDE" w14:textId="5A5ACD52" w:rsidR="00927A7C" w:rsidRDefault="00927A7C" w:rsidP="00927A7C">
      <w:r>
        <w:t>When evaluating the effectiveness of the ‘Lod Kitchener Wants You’ publication it is vital that the wider developing situation which the contemporary’s faced in 1914 is taken into consideration</w:t>
      </w:r>
      <w:r>
        <w:rPr>
          <w:rStyle w:val="FootnoteReference"/>
        </w:rPr>
        <w:footnoteReference w:id="8"/>
      </w:r>
      <w:r>
        <w:t>. Therefore, the Kitchener campaign, dubbed ‘Kitchener’s Army’, should be the focus of a holistic assessment. The scale of the recruitment drive in 1914 was unparalleled with no less than 54 million posters, 20,000 speeches and 8 million personal letters being sent</w:t>
      </w:r>
      <w:r>
        <w:rPr>
          <w:rStyle w:val="FootnoteReference"/>
        </w:rPr>
        <w:footnoteReference w:id="9"/>
      </w:r>
      <w:r>
        <w:t xml:space="preserve">. All of this was born out of a desire to field a military force fit for the task of repelling the central powers. Such a force required a staggering quantity of manpower to be sustained over four years of conflict. The first evolution of such manpower came in the form of volunteers. The quantity of these individuals </w:t>
      </w:r>
      <w:r w:rsidR="00671F17">
        <w:t>who</w:t>
      </w:r>
      <w:r>
        <w:t xml:space="preserve"> would put themselves forward for military service would be largely based upon the effectiveness of the military recruitment campaign which they were exposed to.        </w:t>
      </w:r>
    </w:p>
    <w:p w14:paraId="5E95CB3E" w14:textId="358265F0" w:rsidR="00927A7C" w:rsidRDefault="00927A7C" w:rsidP="00927A7C">
      <w:r>
        <w:t>When pure statistics are taken into consideration it becomes undeniable that Kitchener’s recruitment campaign was indeed effective, gaining traction across the demographic of the United Kingdom</w:t>
      </w:r>
      <w:r>
        <w:rPr>
          <w:rStyle w:val="FootnoteReference"/>
        </w:rPr>
        <w:footnoteReference w:id="10"/>
      </w:r>
      <w:r>
        <w:t>. During the period of August 1914 to December 1915 when recruitment was drawn purely from volunteers, staggeringly 2,473,719 individuals volunteered for service in the British Army</w:t>
      </w:r>
      <w:r>
        <w:rPr>
          <w:rStyle w:val="FootnoteReference"/>
        </w:rPr>
        <w:footnoteReference w:id="11"/>
      </w:r>
      <w:r>
        <w:t>. Statistics following December 1915 become more complex following the introduction of the Derby scheme followed by the eventual Military Service Act 1916</w:t>
      </w:r>
      <w:r>
        <w:rPr>
          <w:rStyle w:val="FootnoteReference"/>
        </w:rPr>
        <w:footnoteReference w:id="12"/>
      </w:r>
      <w:r>
        <w:t xml:space="preserve">. However, it is important to consider that the motivations for these individuals entering service were complex and often encapsulated a myriad of factors. Dewey astutely </w:t>
      </w:r>
      <w:r w:rsidR="00671F17">
        <w:t>indicates</w:t>
      </w:r>
      <w:r>
        <w:t xml:space="preserve"> in his article on military recruitment and the British labour force that ‘the most important factors effecting recruitment were not only generalised ones such as patriotism, but also more specific ones – economic, demographic, medical and institutional’</w:t>
      </w:r>
      <w:r>
        <w:rPr>
          <w:rStyle w:val="FootnoteReference"/>
        </w:rPr>
        <w:footnoteReference w:id="13"/>
      </w:r>
      <w:r>
        <w:t>. Kitchener’s campaign and publications such as ‘Lord Kitchener Wants You’ were not the only driving force behind recruitment, factors such as growing social pressure and economic disparity also played a role</w:t>
      </w:r>
      <w:r>
        <w:rPr>
          <w:rStyle w:val="FootnoteReference"/>
        </w:rPr>
        <w:footnoteReference w:id="14"/>
      </w:r>
      <w:r>
        <w:t>. Nonetheless, it would be remiss to discount the correlation between the spike in volunteers entering service and the first production of the publication of focus here. The greatest influx of volunteers comes in September 1914, with 462,901 recruits enlisting into the British Army</w:t>
      </w:r>
      <w:r>
        <w:rPr>
          <w:rStyle w:val="FootnoteReference"/>
        </w:rPr>
        <w:footnoteReference w:id="15"/>
      </w:r>
      <w:r>
        <w:t xml:space="preserve">. This is the exact period which Kitchener’s campaign was in full swing. Clearly, this must have had a profound influence. So much so to the degree that it controlled public opinion, placing pressure on individuals to enlist.           </w:t>
      </w:r>
    </w:p>
    <w:p w14:paraId="33A3012F" w14:textId="4D43FFA3" w:rsidR="00927A7C" w:rsidRDefault="00927A7C" w:rsidP="00927A7C">
      <w:r>
        <w:lastRenderedPageBreak/>
        <w:t>DeGroot provides interesting commentary regarding what he describes as the ‘rush to the colours’</w:t>
      </w:r>
      <w:r>
        <w:rPr>
          <w:rStyle w:val="FootnoteReference"/>
        </w:rPr>
        <w:footnoteReference w:id="16"/>
      </w:r>
      <w:r>
        <w:t xml:space="preserve">. He </w:t>
      </w:r>
      <w:r w:rsidR="00671F17">
        <w:t>reaches</w:t>
      </w:r>
      <w:r>
        <w:t xml:space="preserve"> the </w:t>
      </w:r>
      <w:r w:rsidR="00671F17">
        <w:t>conclusion</w:t>
      </w:r>
      <w:r>
        <w:t xml:space="preserve"> that not all men ‘shared a common will to serve’</w:t>
      </w:r>
      <w:r>
        <w:rPr>
          <w:rStyle w:val="FootnoteReference"/>
        </w:rPr>
        <w:footnoteReference w:id="17"/>
      </w:r>
      <w:r>
        <w:t>. Essentially, he differentiates the mass of volunteers into two distinct entities. Firstly, comes those who originate from a public-school background and therefore more likely to populate the officer class. Alternatively, the remained of society who fill the enlisted ranks. In his assessment, all of which had been ‘conditioned to believe in honour, glory and self-sacrifice’</w:t>
      </w:r>
      <w:r>
        <w:rPr>
          <w:rStyle w:val="FootnoteReference"/>
        </w:rPr>
        <w:footnoteReference w:id="18"/>
      </w:r>
      <w:r>
        <w:t>. Such a belief system appears to mirror the message communicated in Kitchener’s recruitment campaign. Crucially, the ‘Lord Kitchener Wants You’ publication appeals directly to these values</w:t>
      </w:r>
      <w:r>
        <w:rPr>
          <w:rStyle w:val="FootnoteReference"/>
        </w:rPr>
        <w:footnoteReference w:id="19"/>
      </w:r>
      <w:r>
        <w:t>. For the audience targeted by the campaign, ignoring such a call to arms on behalf of the nation would have been considered irreputable. Undoubtedly, the ability of Kitchener to tailor his recruitment campaign ensuring that it resonated with the ‘chivalrous values’ of the period was crucial in his subsequent success</w:t>
      </w:r>
      <w:r>
        <w:rPr>
          <w:rStyle w:val="FootnoteReference"/>
        </w:rPr>
        <w:footnoteReference w:id="20"/>
      </w:r>
      <w:r>
        <w:t xml:space="preserve">.  </w:t>
      </w:r>
    </w:p>
    <w:p w14:paraId="0F7144FD" w14:textId="77777777" w:rsidR="00927A7C" w:rsidRDefault="00927A7C" w:rsidP="00927A7C">
      <w:r>
        <w:t>An alternate aspect which contributed towards the success of the ‘Lord Kitchener Wants You’ publication, distinct from the underlying message, target audience, and exploitation of contemporary values, was the man himself</w:t>
      </w:r>
      <w:r>
        <w:rPr>
          <w:rStyle w:val="FootnoteReference"/>
        </w:rPr>
        <w:footnoteReference w:id="21"/>
      </w:r>
      <w:r>
        <w:t>. More importantly, the public image he displayed and popular admiration that he enjoyed. During exploration of Asquith’s choice to appoint Kitchener as the British Secretary of State for War, Simmonds outlines the experience and value which Kitchener had to offer. Simmonds’ depiction states ‘as the architect of famous British victories in Sudan and South Africa, the Field Marshal commanded huge public support’</w:t>
      </w:r>
      <w:r>
        <w:rPr>
          <w:rStyle w:val="FootnoteReference"/>
        </w:rPr>
        <w:footnoteReference w:id="22"/>
      </w:r>
      <w:r>
        <w:t>. Above all though, Kitchener was credited with being a ‘realist’, willing to talk truth to power and accept the grim realities of a conventional war in mainland Europe</w:t>
      </w:r>
      <w:r>
        <w:rPr>
          <w:rStyle w:val="FootnoteReference"/>
        </w:rPr>
        <w:footnoteReference w:id="23"/>
      </w:r>
      <w:r>
        <w:t xml:space="preserve">. Having an individual with a reputation such as this, at the forefront of a recruitment campaign would have gone a long way to suppressing prospective volunteer’s doubts. When this factor is considered in combination with </w:t>
      </w:r>
      <w:proofErr w:type="gramStart"/>
      <w:r>
        <w:t>the aforementioned, it</w:t>
      </w:r>
      <w:proofErr w:type="gramEnd"/>
      <w:r>
        <w:t xml:space="preserve"> becomes evident why the recruitment campaign yielded such fruition.      </w:t>
      </w:r>
    </w:p>
    <w:p w14:paraId="07705A62" w14:textId="77777777" w:rsidR="00927A7C" w:rsidRDefault="00927A7C" w:rsidP="00927A7C">
      <w:r>
        <w:t>Having now explored the complexities contributing to such success during the First World War, Flagg’s adaptation of Leete’s work will now be analysed. The poster titled ‘Uncle Sam’ was originally produced in 1917, towards the conclusion of the First World War</w:t>
      </w:r>
      <w:r>
        <w:rPr>
          <w:rStyle w:val="FootnoteReference"/>
        </w:rPr>
        <w:footnoteReference w:id="24"/>
      </w:r>
      <w:r>
        <w:t xml:space="preserve">. However, it would experience significant utilisation </w:t>
      </w:r>
      <w:proofErr w:type="gramStart"/>
      <w:r>
        <w:t>for the purpose of</w:t>
      </w:r>
      <w:proofErr w:type="gramEnd"/>
      <w:r>
        <w:t xml:space="preserve"> military recruitment from 1939 to 1945. Statistically, the US recruitment campaign during the Second World War was on an even greater scale than that of Lord Kitchener himself. Crucially, 38.8% of US military manpower during the conflict was drawn from volunteers – constituting a figure of 6,332,000 service personnel</w:t>
      </w:r>
      <w:r>
        <w:rPr>
          <w:rStyle w:val="FootnoteReference"/>
        </w:rPr>
        <w:footnoteReference w:id="25"/>
      </w:r>
      <w:r>
        <w:t xml:space="preserve">. One of the most evident parallels which can be drawn between the US recruitment campaign of World War 2, and the British of World War 1, is the importance of exploiting values held by the population. For the British, this </w:t>
      </w:r>
      <w:r>
        <w:lastRenderedPageBreak/>
        <w:t>encapsulated the values of chivalry outlined by DeGroot</w:t>
      </w:r>
      <w:r>
        <w:rPr>
          <w:rStyle w:val="FootnoteReference"/>
        </w:rPr>
        <w:footnoteReference w:id="26"/>
      </w:r>
      <w:r>
        <w:t>. For the US, the values of freedom and liberty were entrenched in the populations psyche. Just as Lord Kitchener called upon his people to serve, so does ‘Uncle Sam’</w:t>
      </w:r>
      <w:r>
        <w:rPr>
          <w:rStyle w:val="FootnoteReference"/>
        </w:rPr>
        <w:footnoteReference w:id="27"/>
      </w:r>
      <w:r>
        <w:t>. In this case, the characteristic red, white and blue being paramount</w:t>
      </w:r>
      <w:r>
        <w:rPr>
          <w:rStyle w:val="FootnoteReference"/>
        </w:rPr>
        <w:footnoteReference w:id="28"/>
      </w:r>
      <w:r>
        <w:t xml:space="preserve">. Clearly, the thematic individualisation, compelling the individual reading the poster to enlist, is once again extremely effective. </w:t>
      </w:r>
    </w:p>
    <w:p w14:paraId="7C48051D" w14:textId="77777777" w:rsidR="00927A7C" w:rsidRDefault="00927A7C" w:rsidP="00927A7C">
      <w:r>
        <w:t>Finally, the enduring influence of the ‘Lord Kitchener Wants You’ publication on modern British Army recruitment will be explored</w:t>
      </w:r>
      <w:r>
        <w:rPr>
          <w:rStyle w:val="FootnoteReference"/>
        </w:rPr>
        <w:footnoteReference w:id="29"/>
      </w:r>
      <w:r>
        <w:t>. Here, the necessity of target audience identification becomes paramount. Unlike a recruitment campaign tailored towards a conventional conflict in a total war setting, todays recruitment is offset by confrontations which are expeditionary in nature. Therefore, instead of targeting a wider demographic of prospective volunteers, a more niched audience of potential career soldiers becomes the focus. With emphasis on recruiting individuals in their late teenage years, into their twenties, the concept reflected in the statement ‘War Is Fun’ becomes paramount once again. Such a concept is highlighted in what are referred to as combat commercials, as found in the British Army recruitment campaign of 2014 ‘Be the Best’</w:t>
      </w:r>
      <w:r>
        <w:rPr>
          <w:rStyle w:val="FootnoteReference"/>
        </w:rPr>
        <w:footnoteReference w:id="30"/>
      </w:r>
      <w:r>
        <w:t xml:space="preserve">. Here soldiers are depicted in stressful situations, often combat orientated, </w:t>
      </w:r>
      <w:proofErr w:type="gramStart"/>
      <w:r>
        <w:t>in order to</w:t>
      </w:r>
      <w:proofErr w:type="gramEnd"/>
      <w:r>
        <w:t xml:space="preserve"> attract potential recruits to a fast paced and exciting lifestyle. Such a characterisation could be described as supporting the ‘War is Fun’ concept. An alternate style of military recruitment video comes from the British 2018 recruitment campaign, titled ‘This is Belonging’</w:t>
      </w:r>
      <w:r>
        <w:rPr>
          <w:rStyle w:val="FootnoteReference"/>
        </w:rPr>
        <w:footnoteReference w:id="31"/>
      </w:r>
      <w:r>
        <w:t>. In this instance focus is shifted from combat to outlining skills transferable into the civilian workplace, in addition to the inclusive environment which the Army offers. Interestingly this new campaign, which has taken a step away from the now traditional ‘War is Fun’ concept, has been met with criticism for depicting an Army which has become ‘too soft’</w:t>
      </w:r>
      <w:r>
        <w:rPr>
          <w:rStyle w:val="FootnoteReference"/>
        </w:rPr>
        <w:footnoteReference w:id="32"/>
      </w:r>
      <w:r>
        <w:t>. Potentially, the recruitment campaign of 2018 has strayed too far from the proven principles of the World War One ‘Lord Kitchener Wants You’ publication</w:t>
      </w:r>
      <w:r>
        <w:rPr>
          <w:rStyle w:val="FootnoteReference"/>
        </w:rPr>
        <w:footnoteReference w:id="33"/>
      </w:r>
      <w:r>
        <w:t>.</w:t>
      </w:r>
    </w:p>
    <w:p w14:paraId="36A2AB1C" w14:textId="77777777" w:rsidR="00CB692C" w:rsidRDefault="00CB692C" w:rsidP="00927A7C"/>
    <w:p w14:paraId="07718CA2" w14:textId="77777777" w:rsidR="00CB692C" w:rsidRDefault="00CB692C" w:rsidP="00927A7C"/>
    <w:p w14:paraId="14C56A96" w14:textId="77777777" w:rsidR="00CB692C" w:rsidRDefault="00CB692C" w:rsidP="00927A7C"/>
    <w:p w14:paraId="57986458" w14:textId="77777777" w:rsidR="00CB692C" w:rsidRDefault="00CB692C" w:rsidP="00927A7C"/>
    <w:p w14:paraId="39CCEDB1" w14:textId="77777777" w:rsidR="00CB692C" w:rsidRDefault="00CB692C" w:rsidP="00927A7C"/>
    <w:p w14:paraId="66A39DFA" w14:textId="0C4E7AE2" w:rsidR="00927A7C" w:rsidRDefault="00927A7C" w:rsidP="00927A7C">
      <w:r>
        <w:lastRenderedPageBreak/>
        <w:t xml:space="preserve">Having analysed in </w:t>
      </w:r>
      <w:proofErr w:type="gramStart"/>
      <w:r>
        <w:t>great detail</w:t>
      </w:r>
      <w:proofErr w:type="gramEnd"/>
      <w:r>
        <w:t xml:space="preserve"> the facets of Lord Kitchener’s World War One recruitment campaign, it becomes irreputable to deny its evident success. Through effectively conveying an underlying message, identifying a target audience, exploiting contemporary values and utilising the gravitas of Kitchener himself in the ‘Lord Kitchener Wants You Publication’, the British Military was able to sustain a huge manpower requirement throughout the years of 1914-1918</w:t>
      </w:r>
      <w:r>
        <w:rPr>
          <w:rStyle w:val="FootnoteReference"/>
        </w:rPr>
        <w:footnoteReference w:id="34"/>
      </w:r>
      <w:r>
        <w:t>. Kitchener’s success is further magnified through the legacy his campaign leaves on history, seen through adaptations such as ‘Uncle Sam’ in World War Two and modern British Army recruitment campaigns</w:t>
      </w:r>
      <w:r>
        <w:rPr>
          <w:rStyle w:val="FootnoteReference"/>
        </w:rPr>
        <w:footnoteReference w:id="35"/>
      </w:r>
      <w:r>
        <w:t xml:space="preserve">. The ‘Lord Kitchener Wants you’ publication truly deserves the enduring reputation bestowed upon it.              </w:t>
      </w:r>
    </w:p>
    <w:p w14:paraId="2DF06D5E" w14:textId="77777777" w:rsidR="00927A7C" w:rsidRDefault="00927A7C" w:rsidP="00927A7C"/>
    <w:p w14:paraId="7BA0780D" w14:textId="77777777" w:rsidR="00927A7C" w:rsidRDefault="00927A7C" w:rsidP="00927A7C"/>
    <w:p w14:paraId="562A80CF" w14:textId="77777777" w:rsidR="00927A7C" w:rsidRDefault="00927A7C" w:rsidP="00927A7C"/>
    <w:p w14:paraId="379C693B" w14:textId="77777777" w:rsidR="00927A7C" w:rsidRDefault="00927A7C" w:rsidP="00927A7C"/>
    <w:p w14:paraId="067DC2B8" w14:textId="77777777" w:rsidR="00927A7C" w:rsidRDefault="00927A7C" w:rsidP="00927A7C"/>
    <w:p w14:paraId="4CED560B" w14:textId="67A04FD6" w:rsidR="00927A7C" w:rsidRDefault="00927A7C" w:rsidP="00927A7C"/>
    <w:p w14:paraId="0C23B43D" w14:textId="50C6466D" w:rsidR="00927A7C" w:rsidRDefault="00927A7C" w:rsidP="00927A7C"/>
    <w:p w14:paraId="61889B43" w14:textId="77777777" w:rsidR="00927A7C" w:rsidRDefault="00927A7C" w:rsidP="00927A7C"/>
    <w:p w14:paraId="480AD48A" w14:textId="77777777" w:rsidR="00927A7C" w:rsidRDefault="00927A7C" w:rsidP="00927A7C"/>
    <w:p w14:paraId="6288853A" w14:textId="77777777" w:rsidR="00927A7C" w:rsidRDefault="00927A7C" w:rsidP="00927A7C"/>
    <w:p w14:paraId="2A6BECC5" w14:textId="77777777" w:rsidR="00927A7C" w:rsidRDefault="00927A7C" w:rsidP="00927A7C"/>
    <w:p w14:paraId="09670E39" w14:textId="77777777" w:rsidR="00927A7C" w:rsidRDefault="00927A7C" w:rsidP="00927A7C"/>
    <w:p w14:paraId="51994D37" w14:textId="77777777" w:rsidR="00927A7C" w:rsidRDefault="00927A7C" w:rsidP="00927A7C"/>
    <w:p w14:paraId="01340CC7" w14:textId="77777777" w:rsidR="00927A7C" w:rsidRDefault="00927A7C" w:rsidP="00927A7C"/>
    <w:p w14:paraId="44DAE0F2" w14:textId="77777777" w:rsidR="00927A7C" w:rsidRDefault="00927A7C" w:rsidP="00927A7C"/>
    <w:p w14:paraId="1BF475AA" w14:textId="77777777" w:rsidR="00927A7C" w:rsidRDefault="00927A7C" w:rsidP="00927A7C"/>
    <w:p w14:paraId="0C52C038" w14:textId="77777777" w:rsidR="00927A7C" w:rsidRDefault="00927A7C" w:rsidP="00927A7C"/>
    <w:p w14:paraId="5DA4E66E" w14:textId="77777777" w:rsidR="00927A7C" w:rsidRDefault="00927A7C" w:rsidP="00927A7C"/>
    <w:p w14:paraId="1A28EBBF" w14:textId="0A2C973A" w:rsidR="00927A7C" w:rsidRDefault="00927A7C" w:rsidP="00927A7C"/>
    <w:p w14:paraId="6BB25187" w14:textId="32EE907F" w:rsidR="00CB692C" w:rsidRDefault="00CB692C" w:rsidP="00927A7C"/>
    <w:p w14:paraId="052A13B5" w14:textId="77777777" w:rsidR="00CB692C" w:rsidRDefault="00CB692C" w:rsidP="00927A7C"/>
    <w:p w14:paraId="0F51037C" w14:textId="77777777" w:rsidR="003F50C5" w:rsidRDefault="003F50C5" w:rsidP="00927A7C"/>
    <w:p w14:paraId="4616F12D" w14:textId="247DF5F2" w:rsidR="00927A7C" w:rsidRPr="00983AF5" w:rsidRDefault="00927A7C" w:rsidP="00927A7C">
      <w:r>
        <w:rPr>
          <w:sz w:val="24"/>
          <w:u w:val="single"/>
        </w:rPr>
        <w:lastRenderedPageBreak/>
        <w:t>Bibliography</w:t>
      </w:r>
    </w:p>
    <w:p w14:paraId="792F19DF" w14:textId="77777777" w:rsidR="00927A7C" w:rsidRDefault="00927A7C" w:rsidP="00927A7C">
      <w:pPr>
        <w:rPr>
          <w:sz w:val="24"/>
          <w:u w:val="single"/>
        </w:rPr>
      </w:pPr>
      <w:r>
        <w:rPr>
          <w:sz w:val="24"/>
          <w:u w:val="single"/>
        </w:rPr>
        <w:t>Primary Material</w:t>
      </w:r>
    </w:p>
    <w:p w14:paraId="1F0067A4" w14:textId="530D4F2B" w:rsidR="00927A7C" w:rsidRDefault="00927A7C" w:rsidP="00927A7C">
      <w:pPr>
        <w:pStyle w:val="ListParagraph"/>
        <w:numPr>
          <w:ilvl w:val="0"/>
          <w:numId w:val="2"/>
        </w:numPr>
      </w:pPr>
      <w:r>
        <w:t xml:space="preserve">Marwick, Arthur, and Simpson, Wendy, (EDS) </w:t>
      </w:r>
      <w:r>
        <w:rPr>
          <w:i/>
        </w:rPr>
        <w:t xml:space="preserve">War, Peace and Social Change – Documents 1 1900-1929 </w:t>
      </w:r>
      <w:r w:rsidR="00D76354">
        <w:t xml:space="preserve">(Open University Press, 1990), </w:t>
      </w:r>
      <w:r>
        <w:t>p. 3-4.</w:t>
      </w:r>
    </w:p>
    <w:p w14:paraId="6D94BA25" w14:textId="77777777" w:rsidR="00927A7C" w:rsidRDefault="00927A7C" w:rsidP="00927A7C">
      <w:pPr>
        <w:pStyle w:val="ListParagraph"/>
        <w:numPr>
          <w:ilvl w:val="0"/>
          <w:numId w:val="2"/>
        </w:numPr>
      </w:pPr>
      <w:r>
        <w:t xml:space="preserve">H. Newbolt, </w:t>
      </w:r>
      <w:r>
        <w:rPr>
          <w:i/>
        </w:rPr>
        <w:t>Collected Poems 1897 – 1907</w:t>
      </w:r>
      <w:r>
        <w:t xml:space="preserve"> (London: Qontro Classic Books, 2010).</w:t>
      </w:r>
    </w:p>
    <w:p w14:paraId="7DB606CA" w14:textId="77777777" w:rsidR="00927A7C" w:rsidRDefault="00927A7C" w:rsidP="00927A7C">
      <w:pPr>
        <w:pStyle w:val="ListParagraph"/>
        <w:numPr>
          <w:ilvl w:val="0"/>
          <w:numId w:val="2"/>
        </w:numPr>
      </w:pPr>
      <w:r>
        <w:t xml:space="preserve">Parliamentary Papers, </w:t>
      </w:r>
      <w:r w:rsidRPr="00F70BC1">
        <w:rPr>
          <w:i/>
        </w:rPr>
        <w:t>General Annual Reports on the British Army (including the Territorial Force) for the Period from 1st Octo</w:t>
      </w:r>
      <w:r>
        <w:rPr>
          <w:i/>
        </w:rPr>
        <w:t xml:space="preserve">ber 1913, to 30th September 1919 </w:t>
      </w:r>
      <w:r>
        <w:t>(Cambridge: ProQuest, 1921).</w:t>
      </w:r>
    </w:p>
    <w:p w14:paraId="4B2F5C35" w14:textId="77777777" w:rsidR="00927A7C" w:rsidRDefault="00927A7C" w:rsidP="00927A7C">
      <w:pPr>
        <w:rPr>
          <w:sz w:val="24"/>
          <w:u w:val="single"/>
        </w:rPr>
      </w:pPr>
      <w:r>
        <w:rPr>
          <w:sz w:val="24"/>
          <w:u w:val="single"/>
        </w:rPr>
        <w:t>Books</w:t>
      </w:r>
    </w:p>
    <w:p w14:paraId="72F13B96" w14:textId="77777777" w:rsidR="00927A7C" w:rsidRDefault="00927A7C" w:rsidP="00927A7C">
      <w:pPr>
        <w:pStyle w:val="ListParagraph"/>
        <w:numPr>
          <w:ilvl w:val="0"/>
          <w:numId w:val="1"/>
        </w:numPr>
      </w:pPr>
      <w:r>
        <w:t xml:space="preserve">C. Barnett, </w:t>
      </w:r>
      <w:r>
        <w:rPr>
          <w:i/>
        </w:rPr>
        <w:t>Britain and Her Army, 1509-1970: A Military, Political and Social Survey</w:t>
      </w:r>
      <w:r>
        <w:t xml:space="preserve"> (London: Penguin Books, 1970).</w:t>
      </w:r>
    </w:p>
    <w:p w14:paraId="2B87DDA2" w14:textId="50B9471C" w:rsidR="00927A7C" w:rsidRDefault="00927A7C" w:rsidP="00927A7C">
      <w:pPr>
        <w:pStyle w:val="ListParagraph"/>
        <w:numPr>
          <w:ilvl w:val="0"/>
          <w:numId w:val="1"/>
        </w:numPr>
      </w:pPr>
      <w:r>
        <w:t xml:space="preserve">I. Beckett &amp; K. Simpson, </w:t>
      </w:r>
      <w:r>
        <w:rPr>
          <w:i/>
        </w:rPr>
        <w:t xml:space="preserve">A Nation in Arms: A Social Study of the British Army in the First World War </w:t>
      </w:r>
      <w:r>
        <w:t>(Manchester: Manchester University Press, 1985)</w:t>
      </w:r>
      <w:r>
        <w:t>.</w:t>
      </w:r>
    </w:p>
    <w:p w14:paraId="164E584F" w14:textId="77777777" w:rsidR="00927A7C" w:rsidRDefault="00927A7C" w:rsidP="00927A7C">
      <w:pPr>
        <w:pStyle w:val="ListParagraph"/>
        <w:numPr>
          <w:ilvl w:val="0"/>
          <w:numId w:val="1"/>
        </w:numPr>
      </w:pPr>
      <w:r>
        <w:t xml:space="preserve">K. Burk, </w:t>
      </w:r>
      <w:r>
        <w:rPr>
          <w:i/>
        </w:rPr>
        <w:t>War and the State: The Transformation of British Government, 1914-1919</w:t>
      </w:r>
      <w:r>
        <w:t xml:space="preserve"> (London: George Allen &amp; Unwin, 1982).</w:t>
      </w:r>
    </w:p>
    <w:p w14:paraId="569E9AFA" w14:textId="77777777" w:rsidR="00927A7C" w:rsidRDefault="00927A7C" w:rsidP="00927A7C">
      <w:pPr>
        <w:pStyle w:val="ListParagraph"/>
        <w:numPr>
          <w:ilvl w:val="0"/>
          <w:numId w:val="1"/>
        </w:numPr>
      </w:pPr>
      <w:r>
        <w:t xml:space="preserve">C. Cruttwell, </w:t>
      </w:r>
      <w:r>
        <w:rPr>
          <w:i/>
        </w:rPr>
        <w:t>A History of The Great War 1914-1918</w:t>
      </w:r>
      <w:r>
        <w:t xml:space="preserve"> (Oxford: Oxford University Press, 1936).</w:t>
      </w:r>
    </w:p>
    <w:p w14:paraId="1DAC3F37" w14:textId="77777777" w:rsidR="00927A7C" w:rsidRDefault="00927A7C" w:rsidP="00927A7C">
      <w:pPr>
        <w:pStyle w:val="ListParagraph"/>
        <w:numPr>
          <w:ilvl w:val="0"/>
          <w:numId w:val="1"/>
        </w:numPr>
      </w:pPr>
      <w:r>
        <w:t xml:space="preserve">G. J. DeGroot, </w:t>
      </w:r>
      <w:r>
        <w:rPr>
          <w:i/>
        </w:rPr>
        <w:t>Blighty: British Society in the Era of the Great War</w:t>
      </w:r>
      <w:r>
        <w:t xml:space="preserve"> (New York: Longman, 1996).</w:t>
      </w:r>
    </w:p>
    <w:p w14:paraId="7401E503" w14:textId="77777777" w:rsidR="00927A7C" w:rsidRDefault="00927A7C" w:rsidP="00927A7C">
      <w:pPr>
        <w:pStyle w:val="ListParagraph"/>
        <w:numPr>
          <w:ilvl w:val="0"/>
          <w:numId w:val="1"/>
        </w:numPr>
      </w:pPr>
      <w:r>
        <w:t xml:space="preserve">C. Falls, </w:t>
      </w:r>
      <w:r>
        <w:rPr>
          <w:i/>
        </w:rPr>
        <w:t>The First World War</w:t>
      </w:r>
      <w:r>
        <w:t xml:space="preserve"> (London: Longman, 1960).</w:t>
      </w:r>
    </w:p>
    <w:p w14:paraId="07BBA199" w14:textId="77777777" w:rsidR="00927A7C" w:rsidRDefault="00927A7C" w:rsidP="00927A7C">
      <w:pPr>
        <w:pStyle w:val="ListParagraph"/>
        <w:numPr>
          <w:ilvl w:val="0"/>
          <w:numId w:val="1"/>
        </w:numPr>
      </w:pPr>
      <w:r>
        <w:t xml:space="preserve">N. Ferguson, </w:t>
      </w:r>
      <w:r>
        <w:rPr>
          <w:i/>
        </w:rPr>
        <w:t xml:space="preserve">The Pity of War 1914-1918 </w:t>
      </w:r>
      <w:r>
        <w:t>(London: Penguin Books, 1999).</w:t>
      </w:r>
    </w:p>
    <w:p w14:paraId="443327A6" w14:textId="77777777" w:rsidR="00927A7C" w:rsidRDefault="00927A7C" w:rsidP="00927A7C">
      <w:pPr>
        <w:pStyle w:val="ListParagraph"/>
        <w:numPr>
          <w:ilvl w:val="0"/>
          <w:numId w:val="1"/>
        </w:numPr>
      </w:pPr>
      <w:r>
        <w:t xml:space="preserve">M. Ferro, </w:t>
      </w:r>
      <w:r>
        <w:rPr>
          <w:i/>
        </w:rPr>
        <w:t xml:space="preserve">The Great War 1914-1918 </w:t>
      </w:r>
      <w:r>
        <w:t>(London: Routledge &amp; Kegan Paul, 1973).</w:t>
      </w:r>
    </w:p>
    <w:p w14:paraId="7984E690" w14:textId="77777777" w:rsidR="00927A7C" w:rsidRDefault="00927A7C" w:rsidP="00927A7C">
      <w:pPr>
        <w:pStyle w:val="ListParagraph"/>
        <w:numPr>
          <w:ilvl w:val="0"/>
          <w:numId w:val="1"/>
        </w:numPr>
      </w:pPr>
      <w:r>
        <w:t xml:space="preserve">M. </w:t>
      </w:r>
      <w:proofErr w:type="spellStart"/>
      <w:r>
        <w:t>Janowitz</w:t>
      </w:r>
      <w:proofErr w:type="spellEnd"/>
      <w:r>
        <w:t xml:space="preserve">, </w:t>
      </w:r>
      <w:r>
        <w:rPr>
          <w:i/>
        </w:rPr>
        <w:t>The Professional Soldier</w:t>
      </w:r>
      <w:r>
        <w:t xml:space="preserve"> (New York: Free Press, 1964).</w:t>
      </w:r>
    </w:p>
    <w:p w14:paraId="7A8E2BA7" w14:textId="77777777" w:rsidR="00927A7C" w:rsidRDefault="00927A7C" w:rsidP="00927A7C">
      <w:pPr>
        <w:pStyle w:val="ListParagraph"/>
        <w:numPr>
          <w:ilvl w:val="0"/>
          <w:numId w:val="1"/>
        </w:numPr>
      </w:pPr>
      <w:r>
        <w:t xml:space="preserve">J. </w:t>
      </w:r>
      <w:proofErr w:type="spellStart"/>
      <w:r>
        <w:t>Joll</w:t>
      </w:r>
      <w:proofErr w:type="spellEnd"/>
      <w:r>
        <w:t xml:space="preserve">, </w:t>
      </w:r>
      <w:r>
        <w:rPr>
          <w:i/>
        </w:rPr>
        <w:t>The Origins of the First World War</w:t>
      </w:r>
      <w:r>
        <w:t xml:space="preserve"> (London: Longman, 1984).</w:t>
      </w:r>
    </w:p>
    <w:p w14:paraId="3B2DA3EC" w14:textId="77777777" w:rsidR="00927A7C" w:rsidRDefault="00927A7C" w:rsidP="00927A7C">
      <w:pPr>
        <w:pStyle w:val="ListParagraph"/>
        <w:numPr>
          <w:ilvl w:val="0"/>
          <w:numId w:val="1"/>
        </w:numPr>
      </w:pPr>
      <w:r>
        <w:t xml:space="preserve">A. Marwick, </w:t>
      </w:r>
      <w:r>
        <w:rPr>
          <w:i/>
        </w:rPr>
        <w:t>Total War and Social Change</w:t>
      </w:r>
      <w:r>
        <w:t xml:space="preserve"> (London: Macmillan Press, 1988).</w:t>
      </w:r>
    </w:p>
    <w:p w14:paraId="60F6711F" w14:textId="77777777" w:rsidR="00927A7C" w:rsidRDefault="00927A7C" w:rsidP="00927A7C">
      <w:pPr>
        <w:pStyle w:val="ListParagraph"/>
        <w:numPr>
          <w:ilvl w:val="0"/>
          <w:numId w:val="1"/>
        </w:numPr>
      </w:pPr>
      <w:r>
        <w:t xml:space="preserve">S. Sassoon, </w:t>
      </w:r>
      <w:r>
        <w:rPr>
          <w:i/>
        </w:rPr>
        <w:t>Memoirs of an Infantry Officer</w:t>
      </w:r>
      <w:r>
        <w:t xml:space="preserve"> (London: Faber &amp; Faber, 1965).</w:t>
      </w:r>
    </w:p>
    <w:p w14:paraId="695E8AAD" w14:textId="77777777" w:rsidR="00927A7C" w:rsidRDefault="00927A7C" w:rsidP="00927A7C">
      <w:pPr>
        <w:pStyle w:val="ListParagraph"/>
        <w:numPr>
          <w:ilvl w:val="0"/>
          <w:numId w:val="1"/>
        </w:numPr>
      </w:pPr>
      <w:r>
        <w:t xml:space="preserve">P. Simkins, </w:t>
      </w:r>
      <w:r>
        <w:rPr>
          <w:i/>
        </w:rPr>
        <w:t>Kitchener’s Army</w:t>
      </w:r>
      <w:r>
        <w:t xml:space="preserve"> (Manchester: Manchester University Press, 1988).</w:t>
      </w:r>
    </w:p>
    <w:p w14:paraId="6AFAF592" w14:textId="77777777" w:rsidR="00927A7C" w:rsidRDefault="00927A7C" w:rsidP="00927A7C">
      <w:pPr>
        <w:pStyle w:val="ListParagraph"/>
        <w:numPr>
          <w:ilvl w:val="0"/>
          <w:numId w:val="1"/>
        </w:numPr>
      </w:pPr>
      <w:r>
        <w:t xml:space="preserve">A. Simmonds, </w:t>
      </w:r>
      <w:r>
        <w:rPr>
          <w:i/>
        </w:rPr>
        <w:t>Britain and World War One</w:t>
      </w:r>
      <w:r>
        <w:t xml:space="preserve"> (London: Routledge, 2012).</w:t>
      </w:r>
    </w:p>
    <w:p w14:paraId="38ABE35E" w14:textId="77777777" w:rsidR="00927A7C" w:rsidRDefault="00927A7C" w:rsidP="00927A7C">
      <w:pPr>
        <w:pStyle w:val="ListParagraph"/>
        <w:numPr>
          <w:ilvl w:val="0"/>
          <w:numId w:val="1"/>
        </w:numPr>
      </w:pPr>
      <w:r>
        <w:t xml:space="preserve">D. Stevenson, </w:t>
      </w:r>
      <w:r>
        <w:rPr>
          <w:i/>
        </w:rPr>
        <w:t>1914-1918 The History of the First World War</w:t>
      </w:r>
      <w:r>
        <w:t>, (London: Penguin Books, 2004).</w:t>
      </w:r>
    </w:p>
    <w:p w14:paraId="353E5468" w14:textId="77777777" w:rsidR="00927A7C" w:rsidRDefault="00927A7C" w:rsidP="00927A7C">
      <w:pPr>
        <w:pStyle w:val="ListParagraph"/>
        <w:numPr>
          <w:ilvl w:val="0"/>
          <w:numId w:val="1"/>
        </w:numPr>
      </w:pPr>
      <w:r>
        <w:t xml:space="preserve">H. Strachan, </w:t>
      </w:r>
      <w:r>
        <w:rPr>
          <w:i/>
        </w:rPr>
        <w:t>The Oxford Illustrated History of the First World War</w:t>
      </w:r>
      <w:r>
        <w:t xml:space="preserve"> (Oxford: Oxford University Press, 1998).</w:t>
      </w:r>
    </w:p>
    <w:p w14:paraId="3338E9A8" w14:textId="77777777" w:rsidR="00927A7C" w:rsidRDefault="00927A7C" w:rsidP="00927A7C">
      <w:pPr>
        <w:pStyle w:val="ListParagraph"/>
        <w:numPr>
          <w:ilvl w:val="0"/>
          <w:numId w:val="1"/>
        </w:numPr>
      </w:pPr>
      <w:r>
        <w:t xml:space="preserve">J. Turner, </w:t>
      </w:r>
      <w:r>
        <w:rPr>
          <w:i/>
        </w:rPr>
        <w:t>Britain and the First World War</w:t>
      </w:r>
      <w:r>
        <w:t xml:space="preserve"> (London: Unwin Hyman, 1988).</w:t>
      </w:r>
    </w:p>
    <w:p w14:paraId="29689DA3" w14:textId="77777777" w:rsidR="00927A7C" w:rsidRPr="00665401" w:rsidRDefault="00927A7C" w:rsidP="00927A7C">
      <w:pPr>
        <w:pStyle w:val="ListParagraph"/>
        <w:numPr>
          <w:ilvl w:val="0"/>
          <w:numId w:val="1"/>
        </w:numPr>
      </w:pPr>
      <w:r>
        <w:t xml:space="preserve">L. Woodward, </w:t>
      </w:r>
      <w:r>
        <w:rPr>
          <w:i/>
        </w:rPr>
        <w:t>Great Britain and the War of 1914-1918</w:t>
      </w:r>
      <w:r>
        <w:t xml:space="preserve"> (London: Methuen &amp; Co, 1967).</w:t>
      </w:r>
    </w:p>
    <w:p w14:paraId="2D743442" w14:textId="77777777" w:rsidR="00927A7C" w:rsidRDefault="00927A7C" w:rsidP="00927A7C">
      <w:pPr>
        <w:rPr>
          <w:sz w:val="24"/>
          <w:u w:val="single"/>
        </w:rPr>
      </w:pPr>
      <w:r>
        <w:rPr>
          <w:sz w:val="24"/>
          <w:u w:val="single"/>
        </w:rPr>
        <w:t>Journal Articles</w:t>
      </w:r>
    </w:p>
    <w:p w14:paraId="5E058ABC" w14:textId="5DFC8182" w:rsidR="00927A7C" w:rsidRDefault="00927A7C" w:rsidP="00927A7C">
      <w:pPr>
        <w:pStyle w:val="ListParagraph"/>
        <w:numPr>
          <w:ilvl w:val="0"/>
          <w:numId w:val="1"/>
        </w:numPr>
      </w:pPr>
      <w:r>
        <w:t xml:space="preserve">P. E. Dewey, ‘Military Recruiting and the British Labour Force During the First World War’. </w:t>
      </w:r>
      <w:r>
        <w:rPr>
          <w:i/>
        </w:rPr>
        <w:t>The Historical Journal</w:t>
      </w:r>
      <w:r>
        <w:t xml:space="preserve">, 27, 1: (1984). </w:t>
      </w:r>
      <w:r>
        <w:t>p. 199-223</w:t>
      </w:r>
      <w:r>
        <w:t>.</w:t>
      </w:r>
    </w:p>
    <w:p w14:paraId="15A8486F" w14:textId="3A320D98" w:rsidR="00927A7C" w:rsidRDefault="00927A7C" w:rsidP="00927A7C">
      <w:pPr>
        <w:pStyle w:val="ListParagraph"/>
        <w:numPr>
          <w:ilvl w:val="0"/>
          <w:numId w:val="1"/>
        </w:numPr>
      </w:pPr>
      <w:r>
        <w:t xml:space="preserve">M. </w:t>
      </w:r>
      <w:proofErr w:type="spellStart"/>
      <w:r>
        <w:t>Petter</w:t>
      </w:r>
      <w:proofErr w:type="spellEnd"/>
      <w:r>
        <w:t xml:space="preserve">, ‘’Temporary Gentleman’ in the Aftermath of the Great War: Rank, Status and the Ex-Officer Problem’, </w:t>
      </w:r>
      <w:r>
        <w:rPr>
          <w:i/>
        </w:rPr>
        <w:t>The Historical Journal</w:t>
      </w:r>
      <w:r>
        <w:t xml:space="preserve">, 37, 1, (1994), </w:t>
      </w:r>
      <w:r>
        <w:t>p. 127-152.</w:t>
      </w:r>
    </w:p>
    <w:p w14:paraId="73EF80A5" w14:textId="19D71719" w:rsidR="00927A7C" w:rsidRDefault="00927A7C" w:rsidP="00927A7C">
      <w:pPr>
        <w:pStyle w:val="ListParagraph"/>
        <w:numPr>
          <w:ilvl w:val="0"/>
          <w:numId w:val="1"/>
        </w:numPr>
      </w:pPr>
      <w:r>
        <w:t xml:space="preserve">H. Weinroth, ‘Norman Angell and the Great Illusion: An Episode in Pre-War Pacifism’ </w:t>
      </w:r>
      <w:r>
        <w:rPr>
          <w:i/>
        </w:rPr>
        <w:t>The Historical Journal,</w:t>
      </w:r>
      <w:r>
        <w:t xml:space="preserve"> XVII, NO3 (1974), </w:t>
      </w:r>
      <w:r>
        <w:t xml:space="preserve">p. 551-74. </w:t>
      </w:r>
    </w:p>
    <w:p w14:paraId="46272E3B" w14:textId="77777777" w:rsidR="00927A7C" w:rsidRDefault="00927A7C" w:rsidP="00927A7C">
      <w:pPr>
        <w:rPr>
          <w:sz w:val="24"/>
          <w:u w:val="single"/>
        </w:rPr>
      </w:pPr>
      <w:r>
        <w:rPr>
          <w:sz w:val="24"/>
          <w:u w:val="single"/>
        </w:rPr>
        <w:t>Websites</w:t>
      </w:r>
    </w:p>
    <w:p w14:paraId="682563AD" w14:textId="0F801831" w:rsidR="00927A7C" w:rsidRDefault="00927A7C" w:rsidP="00927A7C">
      <w:pPr>
        <w:pStyle w:val="ListParagraph"/>
        <w:numPr>
          <w:ilvl w:val="0"/>
          <w:numId w:val="3"/>
        </w:numPr>
      </w:pPr>
      <w:r>
        <w:t>J. Flagg, ‘Uncle S</w:t>
      </w:r>
      <w:r w:rsidR="00A00143">
        <w:t xml:space="preserve">am’, Metropolitan Museum of Art (1917) </w:t>
      </w:r>
      <w:r>
        <w:t xml:space="preserve">[online]. Available at </w:t>
      </w:r>
      <w:hyperlink r:id="rId15" w:history="1">
        <w:r w:rsidRPr="009C5855">
          <w:rPr>
            <w:rStyle w:val="Hyperlink"/>
          </w:rPr>
          <w:t>https://www.metmuseum.org/art/collection/search/735268</w:t>
        </w:r>
      </w:hyperlink>
      <w:r>
        <w:t>. (Accessed 28/03/18).</w:t>
      </w:r>
    </w:p>
    <w:p w14:paraId="7D6DC04E" w14:textId="014021DD" w:rsidR="00927A7C" w:rsidRDefault="00927A7C" w:rsidP="00927A7C">
      <w:pPr>
        <w:pStyle w:val="ListParagraph"/>
        <w:numPr>
          <w:ilvl w:val="0"/>
          <w:numId w:val="3"/>
        </w:numPr>
      </w:pPr>
      <w:r>
        <w:lastRenderedPageBreak/>
        <w:t>A. Leete, ‘Lord Kitchener</w:t>
      </w:r>
      <w:r w:rsidR="00A00143">
        <w:t xml:space="preserve"> Want You’, Imperial War Museum</w:t>
      </w:r>
      <w:r>
        <w:t xml:space="preserve"> (1914) [online]. Available at </w:t>
      </w:r>
      <w:hyperlink r:id="rId16" w:history="1">
        <w:r w:rsidRPr="009C5855">
          <w:rPr>
            <w:rStyle w:val="Hyperlink"/>
          </w:rPr>
          <w:t>https://www.iwm.org.uk/collections/item/object/16577</w:t>
        </w:r>
      </w:hyperlink>
      <w:r>
        <w:t>. (Accessed 28/03/18).</w:t>
      </w:r>
    </w:p>
    <w:p w14:paraId="76777614" w14:textId="1564359C" w:rsidR="00927A7C" w:rsidRDefault="00927A7C" w:rsidP="00927A7C">
      <w:pPr>
        <w:pStyle w:val="ListParagraph"/>
        <w:numPr>
          <w:ilvl w:val="0"/>
          <w:numId w:val="3"/>
        </w:numPr>
      </w:pPr>
      <w:r>
        <w:t>Ministry of Defence, ‘New British Army Adverts Criticised for Being Too Poli</w:t>
      </w:r>
      <w:r w:rsidR="00A00143">
        <w:t>tically Correct’ Forces Network</w:t>
      </w:r>
      <w:r>
        <w:t xml:space="preserve"> (2018) [online]. Available at </w:t>
      </w:r>
      <w:hyperlink r:id="rId17" w:history="1">
        <w:r w:rsidRPr="0040796F">
          <w:rPr>
            <w:rStyle w:val="Hyperlink"/>
          </w:rPr>
          <w:t>https://www.forces.net/news/new-british-army-adverts-criticised-being-too-politically-correct</w:t>
        </w:r>
      </w:hyperlink>
      <w:r>
        <w:t>. (Accessed 29/03/18).</w:t>
      </w:r>
    </w:p>
    <w:p w14:paraId="5FF9E64F" w14:textId="24DD3A01" w:rsidR="00927A7C" w:rsidRDefault="00927A7C" w:rsidP="00927A7C">
      <w:pPr>
        <w:pStyle w:val="ListParagraph"/>
        <w:numPr>
          <w:ilvl w:val="0"/>
          <w:numId w:val="3"/>
        </w:numPr>
      </w:pPr>
      <w:r>
        <w:t xml:space="preserve">S. Watson, ‘US Military by the Numbers’, </w:t>
      </w:r>
      <w:r w:rsidR="00A00143">
        <w:t>The National WWII Museum (2004)</w:t>
      </w:r>
      <w:r>
        <w:t xml:space="preserve"> [online]. Available at </w:t>
      </w:r>
      <w:hyperlink r:id="rId18" w:history="1">
        <w:r w:rsidRPr="0040796F">
          <w:rPr>
            <w:rStyle w:val="Hyperlink"/>
          </w:rPr>
          <w:t>https://www.nationalww2museum.org/students-teachers/student-resources/research-starters/research-starters-us-military-numbers</w:t>
        </w:r>
      </w:hyperlink>
      <w:r>
        <w:t>. (Accessed 29/03/18).</w:t>
      </w:r>
    </w:p>
    <w:p w14:paraId="11054715" w14:textId="77777777" w:rsidR="00927A7C" w:rsidRDefault="00927A7C" w:rsidP="00927A7C">
      <w:r>
        <w:rPr>
          <w:sz w:val="24"/>
          <w:u w:val="single"/>
        </w:rPr>
        <w:t>Videos</w:t>
      </w:r>
    </w:p>
    <w:p w14:paraId="1284B711" w14:textId="77777777" w:rsidR="00927A7C" w:rsidRDefault="00927A7C" w:rsidP="00927A7C">
      <w:pPr>
        <w:pStyle w:val="ListParagraph"/>
        <w:numPr>
          <w:ilvl w:val="0"/>
          <w:numId w:val="4"/>
        </w:numPr>
      </w:pPr>
      <w:r>
        <w:t xml:space="preserve">British Army, (2014), </w:t>
      </w:r>
      <w:r>
        <w:rPr>
          <w:i/>
        </w:rPr>
        <w:t>British Army Recruitment TV Ad 2014 – Army Life</w:t>
      </w:r>
      <w:r>
        <w:t xml:space="preserve">. Available at </w:t>
      </w:r>
      <w:hyperlink r:id="rId19" w:history="1">
        <w:r w:rsidRPr="0040796F">
          <w:rPr>
            <w:rStyle w:val="Hyperlink"/>
          </w:rPr>
          <w:t>https://www.youtube.com/watch?v=sOhvjBwuix4</w:t>
        </w:r>
      </w:hyperlink>
      <w:r>
        <w:t>. (Accessed 29/03/18).</w:t>
      </w:r>
    </w:p>
    <w:p w14:paraId="086FB0C4" w14:textId="77777777" w:rsidR="00927A7C" w:rsidRDefault="00927A7C" w:rsidP="00927A7C">
      <w:pPr>
        <w:pStyle w:val="ListParagraph"/>
        <w:numPr>
          <w:ilvl w:val="0"/>
          <w:numId w:val="4"/>
        </w:numPr>
      </w:pPr>
      <w:r>
        <w:t xml:space="preserve">British Army, (2018), </w:t>
      </w:r>
      <w:r>
        <w:rPr>
          <w:i/>
        </w:rPr>
        <w:t>Keeping my Faith – This is Belonging</w:t>
      </w:r>
      <w:r>
        <w:t xml:space="preserve">. Available at </w:t>
      </w:r>
      <w:hyperlink r:id="rId20" w:history="1">
        <w:r w:rsidRPr="0040796F">
          <w:rPr>
            <w:rStyle w:val="Hyperlink"/>
          </w:rPr>
          <w:t>https://www.youtube.com/watch?v=OQ4OoPNY_YM</w:t>
        </w:r>
      </w:hyperlink>
      <w:r>
        <w:t xml:space="preserve">. (Accessed 29/03/18).  </w:t>
      </w:r>
    </w:p>
    <w:p w14:paraId="400D2A3B" w14:textId="77777777" w:rsidR="00277CBD" w:rsidRDefault="00277CBD"/>
    <w:sectPr w:rsidR="00277CBD">
      <w:head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B434EAC" w14:textId="77777777" w:rsidR="00AA44A6" w:rsidRDefault="00AA44A6" w:rsidP="00927A7C">
      <w:pPr>
        <w:spacing w:after="0" w:line="240" w:lineRule="auto"/>
      </w:pPr>
      <w:r>
        <w:separator/>
      </w:r>
    </w:p>
  </w:endnote>
  <w:endnote w:type="continuationSeparator" w:id="0">
    <w:p w14:paraId="60C243B4" w14:textId="77777777" w:rsidR="00AA44A6" w:rsidRDefault="00AA44A6" w:rsidP="00927A7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DF3E411" w14:textId="77777777" w:rsidR="00AA44A6" w:rsidRDefault="00AA44A6" w:rsidP="00927A7C">
      <w:pPr>
        <w:spacing w:after="0" w:line="240" w:lineRule="auto"/>
      </w:pPr>
      <w:r>
        <w:separator/>
      </w:r>
    </w:p>
  </w:footnote>
  <w:footnote w:type="continuationSeparator" w:id="0">
    <w:p w14:paraId="17C6C6B3" w14:textId="77777777" w:rsidR="00AA44A6" w:rsidRDefault="00AA44A6" w:rsidP="00927A7C">
      <w:pPr>
        <w:spacing w:after="0" w:line="240" w:lineRule="auto"/>
      </w:pPr>
      <w:r>
        <w:continuationSeparator/>
      </w:r>
    </w:p>
  </w:footnote>
  <w:footnote w:id="1">
    <w:p w14:paraId="5D15D554" w14:textId="1832D556" w:rsidR="00927A7C" w:rsidRDefault="00927A7C" w:rsidP="00927A7C">
      <w:pPr>
        <w:pStyle w:val="FootnoteText"/>
      </w:pPr>
      <w:r>
        <w:rPr>
          <w:rStyle w:val="FootnoteReference"/>
        </w:rPr>
        <w:footnoteRef/>
      </w:r>
      <w:r>
        <w:t xml:space="preserve"> A. Leete, ‘Lord Kitchener </w:t>
      </w:r>
      <w:r w:rsidR="002E2B6A">
        <w:t>Wants You’, Imperial War Museum (1914)</w:t>
      </w:r>
      <w:r>
        <w:t xml:space="preserve"> [online]. Available at </w:t>
      </w:r>
      <w:hyperlink r:id="rId1" w:history="1">
        <w:r w:rsidRPr="009C5855">
          <w:rPr>
            <w:rStyle w:val="Hyperlink"/>
          </w:rPr>
          <w:t>https://www.iwm.org.uk/collections/item/object/16577</w:t>
        </w:r>
      </w:hyperlink>
      <w:r>
        <w:t xml:space="preserve">.  </w:t>
      </w:r>
    </w:p>
  </w:footnote>
  <w:footnote w:id="2">
    <w:p w14:paraId="29A5E5F6" w14:textId="77777777" w:rsidR="00927A7C" w:rsidRDefault="00927A7C" w:rsidP="00927A7C">
      <w:pPr>
        <w:pStyle w:val="FootnoteText"/>
      </w:pPr>
      <w:r>
        <w:rPr>
          <w:rStyle w:val="FootnoteReference"/>
        </w:rPr>
        <w:footnoteRef/>
      </w:r>
      <w:r>
        <w:t xml:space="preserve"> G. J. DeGroot, </w:t>
      </w:r>
      <w:r>
        <w:rPr>
          <w:i/>
        </w:rPr>
        <w:t>Blighty: British Society in the Era of the Great War</w:t>
      </w:r>
      <w:r>
        <w:t xml:space="preserve"> (New York: Longman, 1996). p. 42. </w:t>
      </w:r>
    </w:p>
  </w:footnote>
  <w:footnote w:id="3">
    <w:p w14:paraId="5C73DE2A" w14:textId="77777777" w:rsidR="00927A7C" w:rsidRPr="00D60B5C" w:rsidRDefault="00927A7C" w:rsidP="00927A7C">
      <w:pPr>
        <w:pStyle w:val="FootnoteText"/>
      </w:pPr>
      <w:r>
        <w:rPr>
          <w:rStyle w:val="FootnoteReference"/>
        </w:rPr>
        <w:footnoteRef/>
      </w:r>
      <w:r>
        <w:t xml:space="preserve"> H. Newbolt, </w:t>
      </w:r>
      <w:r>
        <w:rPr>
          <w:i/>
        </w:rPr>
        <w:t xml:space="preserve">Collected Poems 1897 – 1907 </w:t>
      </w:r>
      <w:r>
        <w:t>(London: Qontro Classic Books, 2010).</w:t>
      </w:r>
    </w:p>
  </w:footnote>
  <w:footnote w:id="4">
    <w:p w14:paraId="641EDC41" w14:textId="77777777" w:rsidR="00927A7C" w:rsidRPr="00CA5B0F" w:rsidRDefault="00927A7C" w:rsidP="00927A7C">
      <w:pPr>
        <w:pStyle w:val="FootnoteText"/>
      </w:pPr>
      <w:r>
        <w:rPr>
          <w:rStyle w:val="FootnoteReference"/>
        </w:rPr>
        <w:footnoteRef/>
      </w:r>
      <w:r>
        <w:t xml:space="preserve"> C. Barnett, </w:t>
      </w:r>
      <w:r>
        <w:rPr>
          <w:i/>
        </w:rPr>
        <w:t>Britain and Her Army, 1509-1970: A Military, Political and Social Survey</w:t>
      </w:r>
      <w:r>
        <w:t xml:space="preserve"> (London: Penguin Books, 1970). p. 377.</w:t>
      </w:r>
    </w:p>
  </w:footnote>
  <w:footnote w:id="5">
    <w:p w14:paraId="0EF49224" w14:textId="1D447AA4" w:rsidR="00927A7C" w:rsidRDefault="00927A7C" w:rsidP="00927A7C">
      <w:pPr>
        <w:pStyle w:val="FootnoteText"/>
      </w:pPr>
      <w:r>
        <w:rPr>
          <w:rStyle w:val="FootnoteReference"/>
        </w:rPr>
        <w:footnoteRef/>
      </w:r>
      <w:r>
        <w:t xml:space="preserve"> A. Leete, ‘Lord Kitchener</w:t>
      </w:r>
      <w:r w:rsidR="002E2B6A">
        <w:t xml:space="preserve"> Wants You’, Imperial War Museum (1914)</w:t>
      </w:r>
      <w:r>
        <w:t xml:space="preserve"> [online]. Available at </w:t>
      </w:r>
      <w:hyperlink r:id="rId2" w:history="1">
        <w:r w:rsidRPr="009C5855">
          <w:rPr>
            <w:rStyle w:val="Hyperlink"/>
          </w:rPr>
          <w:t>https://www.iwm.org.uk/collections/item/object/16577</w:t>
        </w:r>
      </w:hyperlink>
      <w:r>
        <w:t xml:space="preserve">.  </w:t>
      </w:r>
    </w:p>
  </w:footnote>
  <w:footnote w:id="6">
    <w:p w14:paraId="57973177" w14:textId="193FA341" w:rsidR="00927A7C" w:rsidRDefault="00927A7C" w:rsidP="00927A7C">
      <w:pPr>
        <w:pStyle w:val="FootnoteText"/>
      </w:pPr>
      <w:r>
        <w:rPr>
          <w:rStyle w:val="FootnoteReference"/>
        </w:rPr>
        <w:footnoteRef/>
      </w:r>
      <w:r>
        <w:t xml:space="preserve"> J. Flagg, ‘Uncle S</w:t>
      </w:r>
      <w:r w:rsidR="002E2B6A">
        <w:t>am’, Metropolitan Museum of Art (1917)</w:t>
      </w:r>
      <w:r>
        <w:t xml:space="preserve"> [online]. Available at </w:t>
      </w:r>
      <w:hyperlink r:id="rId3" w:history="1">
        <w:r w:rsidRPr="009C5855">
          <w:rPr>
            <w:rStyle w:val="Hyperlink"/>
          </w:rPr>
          <w:t>https://metmuseum.org/art/collection/search/735268</w:t>
        </w:r>
      </w:hyperlink>
      <w:r>
        <w:t xml:space="preserve">. </w:t>
      </w:r>
    </w:p>
  </w:footnote>
  <w:footnote w:id="7">
    <w:p w14:paraId="5E517985" w14:textId="3AB93A7C" w:rsidR="00927A7C" w:rsidRDefault="00927A7C" w:rsidP="00927A7C">
      <w:pPr>
        <w:pStyle w:val="FootnoteText"/>
      </w:pPr>
      <w:r>
        <w:rPr>
          <w:rStyle w:val="FootnoteReference"/>
        </w:rPr>
        <w:footnoteRef/>
      </w:r>
      <w:r>
        <w:t xml:space="preserve"> A. Leete, ‘Lord Kitchener </w:t>
      </w:r>
      <w:r w:rsidR="002E2B6A">
        <w:t>Wants You’, Imperial War Museum (1914)</w:t>
      </w:r>
      <w:r>
        <w:t xml:space="preserve"> [online]. Available at </w:t>
      </w:r>
      <w:hyperlink r:id="rId4" w:history="1">
        <w:r w:rsidRPr="009C5855">
          <w:rPr>
            <w:rStyle w:val="Hyperlink"/>
          </w:rPr>
          <w:t>https://www.iwm.org.uk/collections/item/object/16577</w:t>
        </w:r>
      </w:hyperlink>
      <w:r>
        <w:t xml:space="preserve">.  </w:t>
      </w:r>
    </w:p>
  </w:footnote>
  <w:footnote w:id="8">
    <w:p w14:paraId="76AFD49B" w14:textId="1CC39F8E" w:rsidR="00927A7C" w:rsidRDefault="00927A7C" w:rsidP="00927A7C">
      <w:pPr>
        <w:pStyle w:val="FootnoteText"/>
      </w:pPr>
      <w:r>
        <w:rPr>
          <w:rStyle w:val="FootnoteReference"/>
        </w:rPr>
        <w:footnoteRef/>
      </w:r>
      <w:r>
        <w:t xml:space="preserve"> A. Leete, ‘Lord Kitchener Wants You’, Imperial War </w:t>
      </w:r>
      <w:r w:rsidR="002E2B6A">
        <w:t>Museum (1914)</w:t>
      </w:r>
      <w:r>
        <w:t xml:space="preserve"> [online]. Available at </w:t>
      </w:r>
      <w:hyperlink r:id="rId5" w:history="1">
        <w:r w:rsidRPr="009C5855">
          <w:rPr>
            <w:rStyle w:val="Hyperlink"/>
          </w:rPr>
          <w:t>https://www.iwm.org.uk/collections/item/object/16577</w:t>
        </w:r>
      </w:hyperlink>
      <w:r>
        <w:t xml:space="preserve">.  </w:t>
      </w:r>
    </w:p>
  </w:footnote>
  <w:footnote w:id="9">
    <w:p w14:paraId="527C30B9" w14:textId="77777777" w:rsidR="00927A7C" w:rsidRPr="00A47136" w:rsidRDefault="00927A7C" w:rsidP="00927A7C">
      <w:pPr>
        <w:pStyle w:val="FootnoteText"/>
      </w:pPr>
      <w:r>
        <w:rPr>
          <w:rStyle w:val="FootnoteReference"/>
        </w:rPr>
        <w:footnoteRef/>
      </w:r>
      <w:r>
        <w:t xml:space="preserve"> P. Simkins, </w:t>
      </w:r>
      <w:r>
        <w:rPr>
          <w:i/>
        </w:rPr>
        <w:t>Kitchener’s Army</w:t>
      </w:r>
      <w:r>
        <w:t xml:space="preserve"> (Manchester: Manchester University Press, 1988). p. 78.</w:t>
      </w:r>
    </w:p>
  </w:footnote>
  <w:footnote w:id="10">
    <w:p w14:paraId="01661123" w14:textId="77777777" w:rsidR="00927A7C" w:rsidRDefault="00927A7C" w:rsidP="00927A7C">
      <w:pPr>
        <w:pStyle w:val="FootnoteText"/>
      </w:pPr>
      <w:r>
        <w:rPr>
          <w:rStyle w:val="FootnoteReference"/>
        </w:rPr>
        <w:footnoteRef/>
      </w:r>
      <w:r>
        <w:t xml:space="preserve"> P. E. Dewey, ‘Military Recruiting and the British Labour Force During the First World War’. </w:t>
      </w:r>
      <w:r>
        <w:rPr>
          <w:i/>
        </w:rPr>
        <w:t>The Historical Journal</w:t>
      </w:r>
      <w:r>
        <w:t>, 27, 1: (1984). p. 204-205.</w:t>
      </w:r>
    </w:p>
  </w:footnote>
  <w:footnote w:id="11">
    <w:p w14:paraId="43AC1CB8" w14:textId="77777777" w:rsidR="00927A7C" w:rsidRPr="00261873" w:rsidRDefault="00927A7C" w:rsidP="00927A7C">
      <w:pPr>
        <w:pStyle w:val="FootnoteText"/>
      </w:pPr>
      <w:r>
        <w:rPr>
          <w:rStyle w:val="FootnoteReference"/>
        </w:rPr>
        <w:footnoteRef/>
      </w:r>
      <w:r>
        <w:t xml:space="preserve"> Parliamentary Papers, </w:t>
      </w:r>
      <w:r>
        <w:rPr>
          <w:i/>
        </w:rPr>
        <w:t>General Annual Reports on the British Army (including the Territorial Force) for the period from 1</w:t>
      </w:r>
      <w:r w:rsidRPr="00970E8F">
        <w:rPr>
          <w:i/>
          <w:vertAlign w:val="superscript"/>
        </w:rPr>
        <w:t>st</w:t>
      </w:r>
      <w:r>
        <w:rPr>
          <w:i/>
        </w:rPr>
        <w:t xml:space="preserve"> October 1913, to 30</w:t>
      </w:r>
      <w:r w:rsidRPr="00970E8F">
        <w:rPr>
          <w:i/>
          <w:vertAlign w:val="superscript"/>
        </w:rPr>
        <w:t>th</w:t>
      </w:r>
      <w:r>
        <w:rPr>
          <w:i/>
        </w:rPr>
        <w:t xml:space="preserve"> September 1919 </w:t>
      </w:r>
      <w:r>
        <w:t>(Cambridge: ProQuest, 1921). p. 108.</w:t>
      </w:r>
    </w:p>
  </w:footnote>
  <w:footnote w:id="12">
    <w:p w14:paraId="3CD690BE" w14:textId="77777777" w:rsidR="00927A7C" w:rsidRPr="00D45782" w:rsidRDefault="00927A7C" w:rsidP="00927A7C">
      <w:pPr>
        <w:pStyle w:val="FootnoteText"/>
      </w:pPr>
      <w:r>
        <w:rPr>
          <w:rStyle w:val="FootnoteReference"/>
        </w:rPr>
        <w:footnoteRef/>
      </w:r>
      <w:r>
        <w:t xml:space="preserve"> H. Strachan, </w:t>
      </w:r>
      <w:r>
        <w:rPr>
          <w:i/>
        </w:rPr>
        <w:t>The Oxford Illustrated History of the First World War</w:t>
      </w:r>
      <w:r>
        <w:t xml:space="preserve"> (Oxford: Oxford University Press, 1998). p. 216.</w:t>
      </w:r>
    </w:p>
  </w:footnote>
  <w:footnote w:id="13">
    <w:p w14:paraId="0E7B9C6C" w14:textId="77777777" w:rsidR="00927A7C" w:rsidRPr="00CE0C61" w:rsidRDefault="00927A7C" w:rsidP="00927A7C">
      <w:pPr>
        <w:pStyle w:val="FootnoteText"/>
      </w:pPr>
      <w:r>
        <w:rPr>
          <w:rStyle w:val="FootnoteReference"/>
        </w:rPr>
        <w:footnoteRef/>
      </w:r>
      <w:r>
        <w:t xml:space="preserve"> Dewey, ‘Military Recruiting’, p. 200.</w:t>
      </w:r>
    </w:p>
  </w:footnote>
  <w:footnote w:id="14">
    <w:p w14:paraId="372C9514" w14:textId="63564BA5" w:rsidR="00927A7C" w:rsidRDefault="00927A7C" w:rsidP="00927A7C">
      <w:pPr>
        <w:pStyle w:val="FootnoteText"/>
      </w:pPr>
      <w:r>
        <w:rPr>
          <w:rStyle w:val="FootnoteReference"/>
        </w:rPr>
        <w:footnoteRef/>
      </w:r>
      <w:r>
        <w:t xml:space="preserve"> A. Leete, ‘Lord Kitchener W</w:t>
      </w:r>
      <w:r w:rsidR="002E2B6A">
        <w:t>ants You’, Imperial War Museum (1914)</w:t>
      </w:r>
      <w:r>
        <w:t xml:space="preserve"> [online]. Available at </w:t>
      </w:r>
      <w:hyperlink r:id="rId6" w:history="1">
        <w:r w:rsidRPr="009C5855">
          <w:rPr>
            <w:rStyle w:val="Hyperlink"/>
          </w:rPr>
          <w:t>https://www.iwm.org.uk/collections/item/object/16577</w:t>
        </w:r>
      </w:hyperlink>
      <w:r>
        <w:t xml:space="preserve">.  </w:t>
      </w:r>
    </w:p>
  </w:footnote>
  <w:footnote w:id="15">
    <w:p w14:paraId="446002CC" w14:textId="77777777" w:rsidR="00927A7C" w:rsidRDefault="00927A7C" w:rsidP="00927A7C">
      <w:pPr>
        <w:pStyle w:val="FootnoteText"/>
      </w:pPr>
      <w:r>
        <w:rPr>
          <w:rStyle w:val="FootnoteReference"/>
        </w:rPr>
        <w:footnoteRef/>
      </w:r>
      <w:r>
        <w:t xml:space="preserve"> Parliamentary Papers, </w:t>
      </w:r>
      <w:r>
        <w:rPr>
          <w:i/>
        </w:rPr>
        <w:t>General Annual Reports on the British Army</w:t>
      </w:r>
      <w:r>
        <w:t>, p. 108.</w:t>
      </w:r>
    </w:p>
  </w:footnote>
  <w:footnote w:id="16">
    <w:p w14:paraId="3258207B" w14:textId="77777777" w:rsidR="00927A7C" w:rsidRPr="00626620" w:rsidRDefault="00927A7C" w:rsidP="00927A7C">
      <w:pPr>
        <w:pStyle w:val="FootnoteText"/>
      </w:pPr>
      <w:r>
        <w:rPr>
          <w:rStyle w:val="FootnoteReference"/>
        </w:rPr>
        <w:footnoteRef/>
      </w:r>
      <w:r>
        <w:t xml:space="preserve"> DeGroot, </w:t>
      </w:r>
      <w:r>
        <w:rPr>
          <w:i/>
        </w:rPr>
        <w:t>Blighty</w:t>
      </w:r>
      <w:r>
        <w:t xml:space="preserve">, p. 43. </w:t>
      </w:r>
    </w:p>
  </w:footnote>
  <w:footnote w:id="17">
    <w:p w14:paraId="79E2D663" w14:textId="77777777" w:rsidR="00927A7C" w:rsidRDefault="00927A7C" w:rsidP="00927A7C">
      <w:pPr>
        <w:pStyle w:val="FootnoteText"/>
      </w:pPr>
      <w:r>
        <w:rPr>
          <w:rStyle w:val="FootnoteReference"/>
        </w:rPr>
        <w:footnoteRef/>
      </w:r>
      <w:r>
        <w:t xml:space="preserve"> DeGroot, </w:t>
      </w:r>
      <w:r>
        <w:rPr>
          <w:i/>
        </w:rPr>
        <w:t>Blighty</w:t>
      </w:r>
      <w:r>
        <w:t>, p. 44.</w:t>
      </w:r>
    </w:p>
  </w:footnote>
  <w:footnote w:id="18">
    <w:p w14:paraId="0E478DA7" w14:textId="77777777" w:rsidR="00927A7C" w:rsidRDefault="00927A7C" w:rsidP="00927A7C">
      <w:pPr>
        <w:pStyle w:val="FootnoteText"/>
      </w:pPr>
      <w:r>
        <w:rPr>
          <w:rStyle w:val="FootnoteReference"/>
        </w:rPr>
        <w:footnoteRef/>
      </w:r>
      <w:r>
        <w:t xml:space="preserve"> DeGroot, </w:t>
      </w:r>
      <w:r>
        <w:rPr>
          <w:i/>
        </w:rPr>
        <w:t>Blighty</w:t>
      </w:r>
      <w:r>
        <w:t>, p. 44.</w:t>
      </w:r>
    </w:p>
  </w:footnote>
  <w:footnote w:id="19">
    <w:p w14:paraId="6A11F28B" w14:textId="4AEE8FF5" w:rsidR="00927A7C" w:rsidRDefault="00927A7C" w:rsidP="00927A7C">
      <w:pPr>
        <w:pStyle w:val="FootnoteText"/>
      </w:pPr>
      <w:r>
        <w:rPr>
          <w:rStyle w:val="FootnoteReference"/>
        </w:rPr>
        <w:footnoteRef/>
      </w:r>
      <w:r>
        <w:t xml:space="preserve"> A. Leete, ‘Lord Kitchener </w:t>
      </w:r>
      <w:r w:rsidR="002E2B6A">
        <w:t>Wants You’, Imperial War Museum (1914)</w:t>
      </w:r>
      <w:r>
        <w:t xml:space="preserve"> [online]. Available at </w:t>
      </w:r>
      <w:hyperlink r:id="rId7" w:history="1">
        <w:r w:rsidRPr="009C5855">
          <w:rPr>
            <w:rStyle w:val="Hyperlink"/>
          </w:rPr>
          <w:t>https://www.iwm.org.uk/collections/item/object/16577</w:t>
        </w:r>
      </w:hyperlink>
      <w:r>
        <w:t xml:space="preserve">.  </w:t>
      </w:r>
    </w:p>
  </w:footnote>
  <w:footnote w:id="20">
    <w:p w14:paraId="4D92A526" w14:textId="77777777" w:rsidR="00927A7C" w:rsidRDefault="00927A7C" w:rsidP="00927A7C">
      <w:pPr>
        <w:pStyle w:val="FootnoteText"/>
      </w:pPr>
      <w:r>
        <w:rPr>
          <w:rStyle w:val="FootnoteReference"/>
        </w:rPr>
        <w:footnoteRef/>
      </w:r>
      <w:r>
        <w:t xml:space="preserve"> DeGroot, </w:t>
      </w:r>
      <w:r>
        <w:rPr>
          <w:i/>
        </w:rPr>
        <w:t>Blighty</w:t>
      </w:r>
      <w:r>
        <w:t>, p. 45.</w:t>
      </w:r>
    </w:p>
  </w:footnote>
  <w:footnote w:id="21">
    <w:p w14:paraId="0DD676CD" w14:textId="3077F230" w:rsidR="00927A7C" w:rsidRDefault="00927A7C" w:rsidP="00927A7C">
      <w:pPr>
        <w:pStyle w:val="FootnoteText"/>
      </w:pPr>
      <w:r>
        <w:rPr>
          <w:rStyle w:val="FootnoteReference"/>
        </w:rPr>
        <w:footnoteRef/>
      </w:r>
      <w:r>
        <w:t xml:space="preserve"> A. Leete, ‘Lord Kitchener </w:t>
      </w:r>
      <w:r w:rsidR="002E2B6A">
        <w:t>Wants You’, Imperial War Museum</w:t>
      </w:r>
      <w:r>
        <w:t xml:space="preserve"> (1914) [online]. Available at </w:t>
      </w:r>
      <w:hyperlink r:id="rId8" w:history="1">
        <w:r w:rsidRPr="009C5855">
          <w:rPr>
            <w:rStyle w:val="Hyperlink"/>
          </w:rPr>
          <w:t>https://www.iwm.org.uk/collections/item/object/16577</w:t>
        </w:r>
      </w:hyperlink>
      <w:r>
        <w:t xml:space="preserve">.  </w:t>
      </w:r>
    </w:p>
  </w:footnote>
  <w:footnote w:id="22">
    <w:p w14:paraId="779861B3" w14:textId="77777777" w:rsidR="00927A7C" w:rsidRPr="003E4D55" w:rsidRDefault="00927A7C" w:rsidP="00927A7C">
      <w:pPr>
        <w:pStyle w:val="FootnoteText"/>
      </w:pPr>
      <w:r>
        <w:rPr>
          <w:rStyle w:val="FootnoteReference"/>
        </w:rPr>
        <w:footnoteRef/>
      </w:r>
      <w:r>
        <w:t xml:space="preserve"> A. Simmonds, </w:t>
      </w:r>
      <w:r>
        <w:rPr>
          <w:i/>
        </w:rPr>
        <w:t>Britain and World War One</w:t>
      </w:r>
      <w:r>
        <w:t xml:space="preserve"> (London: Routledge, 2012). p. 41.</w:t>
      </w:r>
    </w:p>
  </w:footnote>
  <w:footnote w:id="23">
    <w:p w14:paraId="2BE8F7F4" w14:textId="77777777" w:rsidR="00927A7C" w:rsidRPr="002C120F" w:rsidRDefault="00927A7C" w:rsidP="00927A7C">
      <w:pPr>
        <w:pStyle w:val="FootnoteText"/>
      </w:pPr>
      <w:r>
        <w:rPr>
          <w:rStyle w:val="FootnoteReference"/>
        </w:rPr>
        <w:footnoteRef/>
      </w:r>
      <w:r>
        <w:t xml:space="preserve"> Simmonds, </w:t>
      </w:r>
      <w:r>
        <w:rPr>
          <w:i/>
        </w:rPr>
        <w:t>Britain and World War One</w:t>
      </w:r>
      <w:r>
        <w:t>, p. 41-45.</w:t>
      </w:r>
    </w:p>
  </w:footnote>
  <w:footnote w:id="24">
    <w:p w14:paraId="237D2316" w14:textId="162BE50F" w:rsidR="00927A7C" w:rsidRDefault="00927A7C" w:rsidP="00927A7C">
      <w:pPr>
        <w:pStyle w:val="FootnoteText"/>
      </w:pPr>
      <w:r>
        <w:rPr>
          <w:rStyle w:val="FootnoteReference"/>
        </w:rPr>
        <w:footnoteRef/>
      </w:r>
      <w:r>
        <w:t xml:space="preserve"> J. Flagg, ‘Uncle S</w:t>
      </w:r>
      <w:r w:rsidR="002E2B6A">
        <w:t>am’, Metropolitan Museum of Art</w:t>
      </w:r>
      <w:r>
        <w:t xml:space="preserve"> (1917) [online]. Available at </w:t>
      </w:r>
      <w:hyperlink r:id="rId9" w:history="1">
        <w:r w:rsidRPr="009C5855">
          <w:rPr>
            <w:rStyle w:val="Hyperlink"/>
          </w:rPr>
          <w:t>https://metmuseum.org/art/collection/search/735268</w:t>
        </w:r>
      </w:hyperlink>
      <w:r>
        <w:t xml:space="preserve">.  </w:t>
      </w:r>
    </w:p>
  </w:footnote>
  <w:footnote w:id="25">
    <w:p w14:paraId="12B7B57F" w14:textId="1B06AB90" w:rsidR="00927A7C" w:rsidRDefault="00927A7C" w:rsidP="00927A7C">
      <w:pPr>
        <w:pStyle w:val="FootnoteText"/>
      </w:pPr>
      <w:r>
        <w:rPr>
          <w:rStyle w:val="FootnoteReference"/>
        </w:rPr>
        <w:footnoteRef/>
      </w:r>
      <w:r>
        <w:t xml:space="preserve"> S. Watson, ‘US Military by the Numbers’, The Natio</w:t>
      </w:r>
      <w:r w:rsidR="002E2B6A">
        <w:t>nal WWII Museum (2004)</w:t>
      </w:r>
      <w:r>
        <w:t xml:space="preserve"> [online]. Available at </w:t>
      </w:r>
      <w:hyperlink r:id="rId10" w:history="1">
        <w:r w:rsidRPr="0040796F">
          <w:rPr>
            <w:rStyle w:val="Hyperlink"/>
          </w:rPr>
          <w:t>https://www.nationalww2museum.org/students-teachers/student-resources/research-starters/research-starters-us-military-numbers</w:t>
        </w:r>
      </w:hyperlink>
      <w:r>
        <w:t xml:space="preserve">. </w:t>
      </w:r>
    </w:p>
  </w:footnote>
  <w:footnote w:id="26">
    <w:p w14:paraId="2CBA8CF3" w14:textId="77777777" w:rsidR="00927A7C" w:rsidRPr="006C6F13" w:rsidRDefault="00927A7C" w:rsidP="00927A7C">
      <w:pPr>
        <w:pStyle w:val="FootnoteText"/>
      </w:pPr>
      <w:r>
        <w:rPr>
          <w:rStyle w:val="FootnoteReference"/>
        </w:rPr>
        <w:footnoteRef/>
      </w:r>
      <w:r>
        <w:t xml:space="preserve"> DeGroot, </w:t>
      </w:r>
      <w:r>
        <w:rPr>
          <w:i/>
        </w:rPr>
        <w:t>Blighty</w:t>
      </w:r>
      <w:r>
        <w:t>, p.45.</w:t>
      </w:r>
    </w:p>
  </w:footnote>
  <w:footnote w:id="27">
    <w:p w14:paraId="0BBE0884" w14:textId="0216E5F0" w:rsidR="00927A7C" w:rsidRDefault="00927A7C" w:rsidP="00927A7C">
      <w:pPr>
        <w:pStyle w:val="FootnoteText"/>
      </w:pPr>
      <w:r>
        <w:rPr>
          <w:rStyle w:val="FootnoteReference"/>
        </w:rPr>
        <w:footnoteRef/>
      </w:r>
      <w:r>
        <w:t xml:space="preserve"> J. Flagg, ‘Uncle S</w:t>
      </w:r>
      <w:r w:rsidR="002E2B6A">
        <w:t>am’, Metropolitan Museum of Art (1917)</w:t>
      </w:r>
      <w:r>
        <w:t xml:space="preserve"> [online]. Available at </w:t>
      </w:r>
      <w:hyperlink r:id="rId11" w:history="1">
        <w:r w:rsidRPr="009C5855">
          <w:rPr>
            <w:rStyle w:val="Hyperlink"/>
          </w:rPr>
          <w:t>https://metmuseum.org/art/collection/search/735268</w:t>
        </w:r>
      </w:hyperlink>
      <w:r>
        <w:t xml:space="preserve">.  </w:t>
      </w:r>
    </w:p>
  </w:footnote>
  <w:footnote w:id="28">
    <w:p w14:paraId="14597950" w14:textId="5AB3401D" w:rsidR="00927A7C" w:rsidRDefault="00927A7C" w:rsidP="00927A7C">
      <w:pPr>
        <w:pStyle w:val="FootnoteText"/>
      </w:pPr>
      <w:r>
        <w:rPr>
          <w:rStyle w:val="FootnoteReference"/>
        </w:rPr>
        <w:footnoteRef/>
      </w:r>
      <w:r>
        <w:t xml:space="preserve"> J. Flagg, ‘Uncle Sam’, Metropolitan Museum of Art</w:t>
      </w:r>
      <w:r w:rsidR="002E2B6A">
        <w:t xml:space="preserve"> (1917)</w:t>
      </w:r>
      <w:r>
        <w:t xml:space="preserve"> [online]. Available at </w:t>
      </w:r>
      <w:hyperlink r:id="rId12" w:history="1">
        <w:r w:rsidRPr="009C5855">
          <w:rPr>
            <w:rStyle w:val="Hyperlink"/>
          </w:rPr>
          <w:t>https://metmuseum.org/art/collection/search/735268</w:t>
        </w:r>
      </w:hyperlink>
      <w:r>
        <w:t xml:space="preserve">.  </w:t>
      </w:r>
    </w:p>
  </w:footnote>
  <w:footnote w:id="29">
    <w:p w14:paraId="478F9EDF" w14:textId="17BEC948" w:rsidR="00927A7C" w:rsidRDefault="00927A7C" w:rsidP="00927A7C">
      <w:pPr>
        <w:pStyle w:val="FootnoteText"/>
      </w:pPr>
      <w:r>
        <w:rPr>
          <w:rStyle w:val="FootnoteReference"/>
        </w:rPr>
        <w:footnoteRef/>
      </w:r>
      <w:r>
        <w:t xml:space="preserve"> A. Leete, ‘Lord Kitchener </w:t>
      </w:r>
      <w:r w:rsidR="002E2B6A">
        <w:t>Wants You’, Imperial War Museum</w:t>
      </w:r>
      <w:r>
        <w:t xml:space="preserve"> (1914) [online]. Available at </w:t>
      </w:r>
      <w:hyperlink r:id="rId13" w:history="1">
        <w:r w:rsidRPr="009C5855">
          <w:rPr>
            <w:rStyle w:val="Hyperlink"/>
          </w:rPr>
          <w:t>https://www.iwm.org.uk/collections/item/object/16577</w:t>
        </w:r>
      </w:hyperlink>
      <w:r>
        <w:t xml:space="preserve">.  </w:t>
      </w:r>
    </w:p>
  </w:footnote>
  <w:footnote w:id="30">
    <w:p w14:paraId="6BCE9C50" w14:textId="77777777" w:rsidR="00927A7C" w:rsidRDefault="00927A7C" w:rsidP="00927A7C">
      <w:pPr>
        <w:pStyle w:val="FootnoteText"/>
      </w:pPr>
      <w:r>
        <w:rPr>
          <w:rStyle w:val="FootnoteReference"/>
        </w:rPr>
        <w:footnoteRef/>
      </w:r>
      <w:r>
        <w:t xml:space="preserve"> British Army, (2014), </w:t>
      </w:r>
      <w:r>
        <w:rPr>
          <w:i/>
        </w:rPr>
        <w:t>British Army Recruitment TV Ad 2014 – Army Life</w:t>
      </w:r>
      <w:r>
        <w:t xml:space="preserve">. Available at </w:t>
      </w:r>
      <w:hyperlink r:id="rId14" w:history="1">
        <w:r w:rsidRPr="0040796F">
          <w:rPr>
            <w:rStyle w:val="Hyperlink"/>
          </w:rPr>
          <w:t>https://www.youtube.com/watch?v=sOhvjBwuix4</w:t>
        </w:r>
      </w:hyperlink>
      <w:r>
        <w:t xml:space="preserve">. </w:t>
      </w:r>
    </w:p>
  </w:footnote>
  <w:footnote w:id="31">
    <w:p w14:paraId="704F97F4" w14:textId="77777777" w:rsidR="00927A7C" w:rsidRDefault="00927A7C" w:rsidP="00927A7C">
      <w:pPr>
        <w:pStyle w:val="FootnoteText"/>
      </w:pPr>
      <w:r>
        <w:rPr>
          <w:rStyle w:val="FootnoteReference"/>
        </w:rPr>
        <w:footnoteRef/>
      </w:r>
      <w:r>
        <w:t xml:space="preserve"> British Army, (2018), </w:t>
      </w:r>
      <w:r>
        <w:rPr>
          <w:i/>
        </w:rPr>
        <w:t>Keeping my Faith – This is Belonging</w:t>
      </w:r>
      <w:r>
        <w:t xml:space="preserve">. Available at </w:t>
      </w:r>
      <w:hyperlink r:id="rId15" w:history="1">
        <w:r w:rsidRPr="0040796F">
          <w:rPr>
            <w:rStyle w:val="Hyperlink"/>
          </w:rPr>
          <w:t>https://www.youtube.com/watch?v=OQ4OoPNY_YM</w:t>
        </w:r>
      </w:hyperlink>
      <w:r>
        <w:t>.</w:t>
      </w:r>
    </w:p>
  </w:footnote>
  <w:footnote w:id="32">
    <w:p w14:paraId="38856540" w14:textId="299E3053" w:rsidR="00927A7C" w:rsidRDefault="00927A7C" w:rsidP="00927A7C">
      <w:pPr>
        <w:pStyle w:val="FootnoteText"/>
      </w:pPr>
      <w:r>
        <w:rPr>
          <w:rStyle w:val="FootnoteReference"/>
        </w:rPr>
        <w:footnoteRef/>
      </w:r>
      <w:r>
        <w:t xml:space="preserve"> Ministry of Defence, ‘New British Army Adverts Criticised for Being Too Politically </w:t>
      </w:r>
      <w:r w:rsidR="002E2B6A">
        <w:t>Correct’ Forces Network (2018)</w:t>
      </w:r>
      <w:r>
        <w:t xml:space="preserve"> [online]. Available at </w:t>
      </w:r>
      <w:hyperlink r:id="rId16" w:history="1">
        <w:r w:rsidRPr="0040796F">
          <w:rPr>
            <w:rStyle w:val="Hyperlink"/>
          </w:rPr>
          <w:t>https://www.forces.net/news/new-british-army-adverts-criticised-being-too-politically-correct</w:t>
        </w:r>
      </w:hyperlink>
      <w:r>
        <w:t>.</w:t>
      </w:r>
    </w:p>
  </w:footnote>
  <w:footnote w:id="33">
    <w:p w14:paraId="708A1A98" w14:textId="35FDF7B3" w:rsidR="00927A7C" w:rsidRDefault="00927A7C" w:rsidP="00927A7C">
      <w:pPr>
        <w:pStyle w:val="FootnoteText"/>
      </w:pPr>
      <w:r>
        <w:rPr>
          <w:rStyle w:val="FootnoteReference"/>
        </w:rPr>
        <w:footnoteRef/>
      </w:r>
      <w:r>
        <w:t xml:space="preserve"> A. Leete, ‘Lord Kitchener </w:t>
      </w:r>
      <w:r w:rsidR="002E2B6A">
        <w:t>Wants You’, Imperial War Museum (1914)</w:t>
      </w:r>
      <w:r>
        <w:t xml:space="preserve"> [online]. Available at </w:t>
      </w:r>
      <w:hyperlink r:id="rId17" w:history="1">
        <w:r w:rsidRPr="009C5855">
          <w:rPr>
            <w:rStyle w:val="Hyperlink"/>
          </w:rPr>
          <w:t>https://www.iwm.org.uk/collections/item/object/16577</w:t>
        </w:r>
      </w:hyperlink>
      <w:r>
        <w:t xml:space="preserve">.  </w:t>
      </w:r>
    </w:p>
  </w:footnote>
  <w:footnote w:id="34">
    <w:p w14:paraId="7D2B2AF5" w14:textId="6B2EDAEF" w:rsidR="00927A7C" w:rsidRDefault="00927A7C" w:rsidP="00927A7C">
      <w:pPr>
        <w:pStyle w:val="FootnoteText"/>
      </w:pPr>
      <w:r>
        <w:rPr>
          <w:rStyle w:val="FootnoteReference"/>
        </w:rPr>
        <w:footnoteRef/>
      </w:r>
      <w:r>
        <w:t xml:space="preserve"> A. Leete, ‘Lord Kitchener </w:t>
      </w:r>
      <w:r w:rsidR="002E2B6A">
        <w:t>Wants You’, Imperial War Museum (1914)</w:t>
      </w:r>
      <w:r>
        <w:t xml:space="preserve"> [online]. Available at </w:t>
      </w:r>
      <w:hyperlink r:id="rId18" w:history="1">
        <w:r w:rsidRPr="009C5855">
          <w:rPr>
            <w:rStyle w:val="Hyperlink"/>
          </w:rPr>
          <w:t>https://www.iwm.org.uk/collections/item/object/16577</w:t>
        </w:r>
      </w:hyperlink>
      <w:r>
        <w:t xml:space="preserve">.  </w:t>
      </w:r>
    </w:p>
  </w:footnote>
  <w:footnote w:id="35">
    <w:p w14:paraId="7C1BEF03" w14:textId="06A32323" w:rsidR="00927A7C" w:rsidRDefault="00927A7C" w:rsidP="00927A7C">
      <w:pPr>
        <w:pStyle w:val="FootnoteText"/>
      </w:pPr>
      <w:r>
        <w:rPr>
          <w:rStyle w:val="FootnoteReference"/>
        </w:rPr>
        <w:footnoteRef/>
      </w:r>
      <w:r>
        <w:t xml:space="preserve"> J. Flagg, ‘Uncle Sam’, Met</w:t>
      </w:r>
      <w:r w:rsidR="002E2B6A">
        <w:t>ropolitan Museum of Art (1917)</w:t>
      </w:r>
      <w:r>
        <w:t xml:space="preserve"> [online]. Available at </w:t>
      </w:r>
      <w:hyperlink r:id="rId19" w:history="1">
        <w:r w:rsidRPr="009C5855">
          <w:rPr>
            <w:rStyle w:val="Hyperlink"/>
          </w:rPr>
          <w:t>https://metmuseum.org/art/collection/search/735268</w:t>
        </w:r>
      </w:hyperlink>
      <w:r>
        <w:t xml:space="preserve">.  </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00B1436" w14:textId="2ADB4A68" w:rsidR="00927A7C" w:rsidRDefault="00927A7C">
    <w:pPr>
      <w:pStyle w:val="Header"/>
    </w:pPr>
    <w:r>
      <w:t>Jordan Edwards 1502326</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AAE7195"/>
    <w:multiLevelType w:val="hybridMultilevel"/>
    <w:tmpl w:val="7216265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2728612B"/>
    <w:multiLevelType w:val="hybridMultilevel"/>
    <w:tmpl w:val="FC6A246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569F68EE"/>
    <w:multiLevelType w:val="hybridMultilevel"/>
    <w:tmpl w:val="4BDA5E7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68380792"/>
    <w:multiLevelType w:val="hybridMultilevel"/>
    <w:tmpl w:val="51104A9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2"/>
  </w:num>
  <w:num w:numId="2">
    <w:abstractNumId w:val="1"/>
  </w:num>
  <w:num w:numId="3">
    <w:abstractNumId w:val="0"/>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7FE9"/>
    <w:rsid w:val="00080B73"/>
    <w:rsid w:val="000A7CEF"/>
    <w:rsid w:val="0011022C"/>
    <w:rsid w:val="00144DE2"/>
    <w:rsid w:val="001912F6"/>
    <w:rsid w:val="00193B1E"/>
    <w:rsid w:val="00197FE9"/>
    <w:rsid w:val="00201283"/>
    <w:rsid w:val="00242E53"/>
    <w:rsid w:val="00277CBD"/>
    <w:rsid w:val="002E2B6A"/>
    <w:rsid w:val="002E2BD4"/>
    <w:rsid w:val="002E4A70"/>
    <w:rsid w:val="003C11A9"/>
    <w:rsid w:val="003F50C5"/>
    <w:rsid w:val="004169A0"/>
    <w:rsid w:val="004A326E"/>
    <w:rsid w:val="004A67DA"/>
    <w:rsid w:val="004F3D88"/>
    <w:rsid w:val="00601938"/>
    <w:rsid w:val="00604411"/>
    <w:rsid w:val="00612448"/>
    <w:rsid w:val="006566A4"/>
    <w:rsid w:val="00671F17"/>
    <w:rsid w:val="006A4818"/>
    <w:rsid w:val="006B6F4C"/>
    <w:rsid w:val="006F0FCA"/>
    <w:rsid w:val="00715726"/>
    <w:rsid w:val="007179CC"/>
    <w:rsid w:val="00743DF6"/>
    <w:rsid w:val="0086094E"/>
    <w:rsid w:val="008633E0"/>
    <w:rsid w:val="008D2593"/>
    <w:rsid w:val="008D6289"/>
    <w:rsid w:val="00901F32"/>
    <w:rsid w:val="00927A7C"/>
    <w:rsid w:val="00947A0D"/>
    <w:rsid w:val="009726D6"/>
    <w:rsid w:val="00A00143"/>
    <w:rsid w:val="00AA2282"/>
    <w:rsid w:val="00AA44A6"/>
    <w:rsid w:val="00AA7D88"/>
    <w:rsid w:val="00AB4069"/>
    <w:rsid w:val="00B62BBE"/>
    <w:rsid w:val="00B63421"/>
    <w:rsid w:val="00B72333"/>
    <w:rsid w:val="00B8091A"/>
    <w:rsid w:val="00B9529F"/>
    <w:rsid w:val="00BA26DE"/>
    <w:rsid w:val="00BA6096"/>
    <w:rsid w:val="00BD2C7B"/>
    <w:rsid w:val="00C36A96"/>
    <w:rsid w:val="00C77B17"/>
    <w:rsid w:val="00C82F11"/>
    <w:rsid w:val="00CA3B22"/>
    <w:rsid w:val="00CB0C88"/>
    <w:rsid w:val="00CB692C"/>
    <w:rsid w:val="00D24EC5"/>
    <w:rsid w:val="00D361F7"/>
    <w:rsid w:val="00D76354"/>
    <w:rsid w:val="00DA456D"/>
    <w:rsid w:val="00DC5EEE"/>
    <w:rsid w:val="00E129D5"/>
    <w:rsid w:val="00E1416E"/>
    <w:rsid w:val="00E23C4D"/>
    <w:rsid w:val="00E42215"/>
    <w:rsid w:val="00E50C4C"/>
    <w:rsid w:val="00E5795A"/>
    <w:rsid w:val="00EF1087"/>
    <w:rsid w:val="00F34619"/>
    <w:rsid w:val="00FA0D04"/>
    <w:rsid w:val="00FC34A1"/>
    <w:rsid w:val="00FF66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2A0D93"/>
  <w15:chartTrackingRefBased/>
  <w15:docId w15:val="{846E80A3-30C4-4742-9F4D-8D3DC7BD0F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927A7C"/>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27A7C"/>
    <w:pPr>
      <w:tabs>
        <w:tab w:val="center" w:pos="4513"/>
        <w:tab w:val="right" w:pos="9026"/>
      </w:tabs>
      <w:spacing w:after="0" w:line="240" w:lineRule="auto"/>
    </w:pPr>
  </w:style>
  <w:style w:type="character" w:customStyle="1" w:styleId="HeaderChar">
    <w:name w:val="Header Char"/>
    <w:basedOn w:val="DefaultParagraphFont"/>
    <w:link w:val="Header"/>
    <w:uiPriority w:val="99"/>
    <w:rsid w:val="00927A7C"/>
  </w:style>
  <w:style w:type="paragraph" w:styleId="Footer">
    <w:name w:val="footer"/>
    <w:basedOn w:val="Normal"/>
    <w:link w:val="FooterChar"/>
    <w:uiPriority w:val="99"/>
    <w:unhideWhenUsed/>
    <w:rsid w:val="00927A7C"/>
    <w:pPr>
      <w:tabs>
        <w:tab w:val="center" w:pos="4513"/>
        <w:tab w:val="right" w:pos="9026"/>
      </w:tabs>
      <w:spacing w:after="0" w:line="240" w:lineRule="auto"/>
    </w:pPr>
  </w:style>
  <w:style w:type="character" w:customStyle="1" w:styleId="FooterChar">
    <w:name w:val="Footer Char"/>
    <w:basedOn w:val="DefaultParagraphFont"/>
    <w:link w:val="Footer"/>
    <w:uiPriority w:val="99"/>
    <w:rsid w:val="00927A7C"/>
  </w:style>
  <w:style w:type="paragraph" w:styleId="ListParagraph">
    <w:name w:val="List Paragraph"/>
    <w:basedOn w:val="Normal"/>
    <w:uiPriority w:val="34"/>
    <w:qFormat/>
    <w:rsid w:val="00927A7C"/>
    <w:pPr>
      <w:ind w:left="720"/>
      <w:contextualSpacing/>
    </w:pPr>
  </w:style>
  <w:style w:type="character" w:styleId="Hyperlink">
    <w:name w:val="Hyperlink"/>
    <w:basedOn w:val="DefaultParagraphFont"/>
    <w:uiPriority w:val="99"/>
    <w:unhideWhenUsed/>
    <w:rsid w:val="00927A7C"/>
    <w:rPr>
      <w:color w:val="0563C1" w:themeColor="hyperlink"/>
      <w:u w:val="single"/>
    </w:rPr>
  </w:style>
  <w:style w:type="paragraph" w:styleId="FootnoteText">
    <w:name w:val="footnote text"/>
    <w:basedOn w:val="Normal"/>
    <w:link w:val="FootnoteTextChar"/>
    <w:uiPriority w:val="99"/>
    <w:semiHidden/>
    <w:unhideWhenUsed/>
    <w:rsid w:val="00927A7C"/>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927A7C"/>
    <w:rPr>
      <w:sz w:val="20"/>
      <w:szCs w:val="20"/>
    </w:rPr>
  </w:style>
  <w:style w:type="character" w:styleId="FootnoteReference">
    <w:name w:val="footnote reference"/>
    <w:basedOn w:val="DefaultParagraphFont"/>
    <w:uiPriority w:val="99"/>
    <w:semiHidden/>
    <w:unhideWhenUsed/>
    <w:rsid w:val="00927A7C"/>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hyperlink" Target="https://www.nationalww2museum.org/students-teachers/student-resources/research-starters/research-starters-us-military-numbers" TargetMode="External"/><Relationship Id="rId3" Type="http://schemas.openxmlformats.org/officeDocument/2006/relationships/settings" Target="settings.xml"/><Relationship Id="rId21" Type="http://schemas.openxmlformats.org/officeDocument/2006/relationships/header" Target="header1.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hyperlink" Target="https://www.forces.net/news/new-british-army-adverts-criticised-being-too-politically-correct" TargetMode="External"/><Relationship Id="rId2" Type="http://schemas.openxmlformats.org/officeDocument/2006/relationships/styles" Target="styles.xml"/><Relationship Id="rId16" Type="http://schemas.openxmlformats.org/officeDocument/2006/relationships/hyperlink" Target="https://www.iwm.org.uk/collections/item/object/16577" TargetMode="External"/><Relationship Id="rId20" Type="http://schemas.openxmlformats.org/officeDocument/2006/relationships/hyperlink" Target="https://www.youtube.com/watch?v=OQ4OoPNY_YM"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hyperlink" Target="https://www.metmuseum.org/art/collection/search/735268" TargetMode="External"/><Relationship Id="rId23" Type="http://schemas.openxmlformats.org/officeDocument/2006/relationships/theme" Target="theme/theme1.xml"/><Relationship Id="rId10" Type="http://schemas.openxmlformats.org/officeDocument/2006/relationships/image" Target="media/image4.png"/><Relationship Id="rId19" Type="http://schemas.openxmlformats.org/officeDocument/2006/relationships/hyperlink" Target="https://www.youtube.com/watch?v=sOhvjBwuix4"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fontTable" Target="fontTable.xml"/></Relationships>
</file>

<file path=word/_rels/footnotes.xml.rels><?xml version="1.0" encoding="UTF-8" standalone="yes"?>
<Relationships xmlns="http://schemas.openxmlformats.org/package/2006/relationships"><Relationship Id="rId8" Type="http://schemas.openxmlformats.org/officeDocument/2006/relationships/hyperlink" Target="https://www.iwm.org.uk/collections/item/object/16577" TargetMode="External"/><Relationship Id="rId13" Type="http://schemas.openxmlformats.org/officeDocument/2006/relationships/hyperlink" Target="https://www.iwm.org.uk/collections/item/object/16577" TargetMode="External"/><Relationship Id="rId18" Type="http://schemas.openxmlformats.org/officeDocument/2006/relationships/hyperlink" Target="https://www.iwm.org.uk/collections/item/object/16577" TargetMode="External"/><Relationship Id="rId3" Type="http://schemas.openxmlformats.org/officeDocument/2006/relationships/hyperlink" Target="https://metmuseum.org/art/collection/search/735268" TargetMode="External"/><Relationship Id="rId7" Type="http://schemas.openxmlformats.org/officeDocument/2006/relationships/hyperlink" Target="https://www.iwm.org.uk/collections/item/object/16577" TargetMode="External"/><Relationship Id="rId12" Type="http://schemas.openxmlformats.org/officeDocument/2006/relationships/hyperlink" Target="https://metmuseum.org/art/collection/search/735268" TargetMode="External"/><Relationship Id="rId17" Type="http://schemas.openxmlformats.org/officeDocument/2006/relationships/hyperlink" Target="https://www.iwm.org.uk/collections/item/object/16577" TargetMode="External"/><Relationship Id="rId2" Type="http://schemas.openxmlformats.org/officeDocument/2006/relationships/hyperlink" Target="https://www.iwm.org.uk/collections/item/object/16577" TargetMode="External"/><Relationship Id="rId16" Type="http://schemas.openxmlformats.org/officeDocument/2006/relationships/hyperlink" Target="https://www.forces.net/news/new-british-army-adverts-criticised-being-too-politically-correct" TargetMode="External"/><Relationship Id="rId1" Type="http://schemas.openxmlformats.org/officeDocument/2006/relationships/hyperlink" Target="https://www.iwm.org.uk/collections/item/object/16577" TargetMode="External"/><Relationship Id="rId6" Type="http://schemas.openxmlformats.org/officeDocument/2006/relationships/hyperlink" Target="https://www.iwm.org.uk/collections/item/object/16577" TargetMode="External"/><Relationship Id="rId11" Type="http://schemas.openxmlformats.org/officeDocument/2006/relationships/hyperlink" Target="https://metmuseum.org/art/collection/search/735268" TargetMode="External"/><Relationship Id="rId5" Type="http://schemas.openxmlformats.org/officeDocument/2006/relationships/hyperlink" Target="https://www.iwm.org.uk/collections/item/object/16577" TargetMode="External"/><Relationship Id="rId15" Type="http://schemas.openxmlformats.org/officeDocument/2006/relationships/hyperlink" Target="https://www.youtube.com/watch?v=OQ4OoPNY_YM" TargetMode="External"/><Relationship Id="rId10" Type="http://schemas.openxmlformats.org/officeDocument/2006/relationships/hyperlink" Target="https://www.nationalww2museum.org/students-teachers/student-resources/research-starters/research-starters-us-military-numbers" TargetMode="External"/><Relationship Id="rId19" Type="http://schemas.openxmlformats.org/officeDocument/2006/relationships/hyperlink" Target="https://metmuseum.org/art/collection/search/735268" TargetMode="External"/><Relationship Id="rId4" Type="http://schemas.openxmlformats.org/officeDocument/2006/relationships/hyperlink" Target="https://www.iwm.org.uk/collections/item/object/16577" TargetMode="External"/><Relationship Id="rId9" Type="http://schemas.openxmlformats.org/officeDocument/2006/relationships/hyperlink" Target="https://metmuseum.org/art/collection/search/735268" TargetMode="External"/><Relationship Id="rId14" Type="http://schemas.openxmlformats.org/officeDocument/2006/relationships/hyperlink" Target="https://www.youtube.com/watch?v=sOhvjBwuix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117</TotalTime>
  <Pages>11</Pages>
  <Words>3226</Words>
  <Characters>18292</Characters>
  <Application>Microsoft Office Word</Application>
  <DocSecurity>0</DocSecurity>
  <Lines>295</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21442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Jordan Edwards</dc:creator>
  <cp:keywords/>
  <dc:description/>
  <cp:lastModifiedBy>Jordan Edwards</cp:lastModifiedBy>
  <cp:revision>73</cp:revision>
  <dcterms:created xsi:type="dcterms:W3CDTF">2018-05-08T16:08:00Z</dcterms:created>
  <dcterms:modified xsi:type="dcterms:W3CDTF">2018-05-08T18:08:00Z</dcterms:modified>
</cp:coreProperties>
</file>