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023099" w14:textId="49CD1982" w:rsidR="007E6CD2" w:rsidRDefault="007E6CD2" w:rsidP="00A4238A">
      <w:pPr>
        <w:jc w:val="center"/>
      </w:pPr>
      <w:r w:rsidRPr="003B1922">
        <w:rPr>
          <w:rFonts w:ascii="Arial" w:hAnsi="Arial" w:cs="Arial"/>
          <w:noProof/>
          <w:sz w:val="28"/>
          <w:szCs w:val="28"/>
        </w:rPr>
        <w:drawing>
          <wp:inline distT="0" distB="0" distL="0" distR="0" wp14:anchorId="5C586678" wp14:editId="465FE60E">
            <wp:extent cx="3213100" cy="1428750"/>
            <wp:effectExtent l="0" t="0" r="6350" b="0"/>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 myday"/>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3213100" cy="1428750"/>
                    </a:xfrm>
                    <a:prstGeom prst="rect">
                      <a:avLst/>
                    </a:prstGeom>
                    <a:noFill/>
                    <a:ln>
                      <a:noFill/>
                    </a:ln>
                  </pic:spPr>
                </pic:pic>
              </a:graphicData>
            </a:graphic>
          </wp:inline>
        </w:drawing>
      </w:r>
    </w:p>
    <w:p w14:paraId="564F30F9" w14:textId="77777777" w:rsidR="007E6CD2" w:rsidRPr="003B1922" w:rsidRDefault="007E6CD2" w:rsidP="007E6CD2">
      <w:pPr>
        <w:pStyle w:val="NormalWeb"/>
        <w:spacing w:before="0" w:beforeAutospacing="0" w:after="0" w:afterAutospacing="0" w:line="360" w:lineRule="auto"/>
        <w:jc w:val="center"/>
        <w:rPr>
          <w:rFonts w:ascii="Arial" w:hAnsi="Arial" w:cs="Arial"/>
          <w:b/>
          <w:bCs/>
          <w:sz w:val="28"/>
          <w:szCs w:val="28"/>
        </w:rPr>
      </w:pPr>
      <w:r w:rsidRPr="003B1922">
        <w:rPr>
          <w:rFonts w:ascii="Arial" w:hAnsi="Arial" w:cs="Arial"/>
          <w:b/>
          <w:bCs/>
          <w:sz w:val="28"/>
          <w:szCs w:val="28"/>
        </w:rPr>
        <w:t>Programme: BSc (Hons) Health and Social Care</w:t>
      </w:r>
    </w:p>
    <w:p w14:paraId="3716B62C" w14:textId="77777777" w:rsidR="007E6CD2" w:rsidRPr="003B1922" w:rsidRDefault="007E6CD2" w:rsidP="007E6CD2">
      <w:pPr>
        <w:pStyle w:val="NormalWeb"/>
        <w:spacing w:before="0" w:beforeAutospacing="0" w:after="0" w:afterAutospacing="0" w:line="360" w:lineRule="auto"/>
        <w:jc w:val="center"/>
        <w:rPr>
          <w:rFonts w:ascii="Arial" w:hAnsi="Arial" w:cs="Arial"/>
          <w:b/>
          <w:bCs/>
          <w:sz w:val="28"/>
          <w:szCs w:val="28"/>
        </w:rPr>
      </w:pPr>
    </w:p>
    <w:p w14:paraId="0A392FC0" w14:textId="3E27D067" w:rsidR="007E6CD2" w:rsidRPr="003B1922" w:rsidRDefault="007E6CD2" w:rsidP="007E6CD2">
      <w:pPr>
        <w:pStyle w:val="NormalWeb"/>
        <w:spacing w:before="0" w:beforeAutospacing="0" w:after="0" w:afterAutospacing="0" w:line="360" w:lineRule="auto"/>
        <w:jc w:val="both"/>
        <w:rPr>
          <w:rFonts w:ascii="Arial" w:hAnsi="Arial" w:cs="Arial"/>
          <w:b/>
          <w:bCs/>
          <w:sz w:val="28"/>
          <w:szCs w:val="28"/>
        </w:rPr>
      </w:pPr>
      <w:r w:rsidRPr="003B1922">
        <w:rPr>
          <w:rFonts w:ascii="Arial" w:hAnsi="Arial" w:cs="Arial"/>
          <w:b/>
          <w:bCs/>
          <w:sz w:val="28"/>
          <w:szCs w:val="28"/>
        </w:rPr>
        <w:t xml:space="preserve">Module: </w:t>
      </w:r>
      <w:r>
        <w:rPr>
          <w:rFonts w:ascii="Arial" w:hAnsi="Arial" w:cs="Arial"/>
          <w:b/>
          <w:bCs/>
          <w:sz w:val="28"/>
          <w:szCs w:val="28"/>
        </w:rPr>
        <w:t>Health, Wellbeing and Sustainable Development</w:t>
      </w:r>
    </w:p>
    <w:p w14:paraId="1F83ADE0" w14:textId="7E249191" w:rsidR="007E6CD2" w:rsidRPr="003B1922" w:rsidRDefault="007E6CD2" w:rsidP="007E6CD2">
      <w:pPr>
        <w:pStyle w:val="NormalWeb"/>
        <w:spacing w:before="0" w:beforeAutospacing="0" w:after="0" w:afterAutospacing="0" w:line="360" w:lineRule="auto"/>
        <w:jc w:val="both"/>
        <w:rPr>
          <w:rFonts w:ascii="Arial" w:hAnsi="Arial" w:cs="Arial"/>
          <w:b/>
          <w:bCs/>
          <w:sz w:val="28"/>
          <w:szCs w:val="28"/>
        </w:rPr>
      </w:pPr>
      <w:r w:rsidRPr="003B1922">
        <w:rPr>
          <w:rFonts w:ascii="Arial" w:hAnsi="Arial" w:cs="Arial"/>
          <w:b/>
          <w:bCs/>
          <w:sz w:val="28"/>
          <w:szCs w:val="28"/>
        </w:rPr>
        <w:t>Module code: BMHP</w:t>
      </w:r>
      <w:r>
        <w:rPr>
          <w:rFonts w:ascii="Arial" w:hAnsi="Arial" w:cs="Arial"/>
          <w:b/>
          <w:bCs/>
          <w:sz w:val="28"/>
          <w:szCs w:val="28"/>
        </w:rPr>
        <w:t>6030</w:t>
      </w:r>
    </w:p>
    <w:p w14:paraId="19B22A97" w14:textId="77777777" w:rsidR="007E6CD2" w:rsidRPr="003B1922" w:rsidRDefault="007E6CD2" w:rsidP="007E6CD2">
      <w:pPr>
        <w:pStyle w:val="NormalWeb"/>
        <w:spacing w:before="0" w:beforeAutospacing="0" w:after="0" w:afterAutospacing="0" w:line="360" w:lineRule="auto"/>
        <w:jc w:val="both"/>
        <w:rPr>
          <w:rFonts w:ascii="Arial" w:hAnsi="Arial" w:cs="Arial"/>
          <w:b/>
          <w:bCs/>
          <w:sz w:val="28"/>
          <w:szCs w:val="28"/>
        </w:rPr>
      </w:pPr>
    </w:p>
    <w:p w14:paraId="6318AFE1" w14:textId="0341558D" w:rsidR="007E6CD2" w:rsidRPr="003B1922" w:rsidRDefault="007E6CD2" w:rsidP="007E6CD2">
      <w:pPr>
        <w:pStyle w:val="NormalWeb"/>
        <w:spacing w:before="0" w:beforeAutospacing="0" w:after="0" w:afterAutospacing="0" w:line="360" w:lineRule="auto"/>
        <w:jc w:val="both"/>
        <w:rPr>
          <w:rFonts w:ascii="Arial" w:hAnsi="Arial" w:cs="Arial"/>
          <w:b/>
          <w:bCs/>
          <w:sz w:val="28"/>
          <w:szCs w:val="28"/>
        </w:rPr>
      </w:pPr>
      <w:r w:rsidRPr="003B1922">
        <w:rPr>
          <w:rFonts w:ascii="Arial" w:hAnsi="Arial" w:cs="Arial"/>
          <w:b/>
          <w:bCs/>
          <w:sz w:val="28"/>
          <w:szCs w:val="28"/>
        </w:rPr>
        <w:t xml:space="preserve">Component 2: Written Assignment </w:t>
      </w:r>
    </w:p>
    <w:p w14:paraId="45204073" w14:textId="77777777" w:rsidR="007E6CD2" w:rsidRPr="003B1922" w:rsidRDefault="007E6CD2" w:rsidP="007E6CD2">
      <w:pPr>
        <w:pStyle w:val="NormalWeb"/>
        <w:spacing w:before="0" w:beforeAutospacing="0" w:after="0" w:afterAutospacing="0" w:line="360" w:lineRule="auto"/>
        <w:jc w:val="both"/>
        <w:rPr>
          <w:rFonts w:ascii="Arial" w:hAnsi="Arial" w:cs="Arial"/>
          <w:b/>
          <w:bCs/>
          <w:sz w:val="28"/>
          <w:szCs w:val="28"/>
        </w:rPr>
      </w:pPr>
    </w:p>
    <w:p w14:paraId="01556355" w14:textId="32EF0EE1" w:rsidR="007E6CD2" w:rsidRPr="007B3224" w:rsidRDefault="007E6CD2" w:rsidP="007E6CD2">
      <w:pPr>
        <w:pStyle w:val="NormalWeb"/>
        <w:spacing w:before="0" w:beforeAutospacing="0" w:after="0" w:afterAutospacing="0" w:line="360" w:lineRule="auto"/>
        <w:jc w:val="both"/>
        <w:rPr>
          <w:rFonts w:ascii="Arial" w:hAnsi="Arial" w:cs="Arial"/>
          <w:b/>
          <w:bCs/>
          <w:sz w:val="28"/>
          <w:szCs w:val="28"/>
        </w:rPr>
      </w:pPr>
      <w:r w:rsidRPr="007B3224">
        <w:rPr>
          <w:rFonts w:ascii="Arial" w:hAnsi="Arial" w:cs="Arial"/>
          <w:b/>
          <w:bCs/>
          <w:sz w:val="28"/>
          <w:szCs w:val="28"/>
        </w:rPr>
        <w:t>Student name:</w:t>
      </w:r>
      <w:r w:rsidR="003D7DCF" w:rsidRPr="007B3224">
        <w:rPr>
          <w:rFonts w:ascii="Arial" w:hAnsi="Arial" w:cs="Arial"/>
          <w:b/>
          <w:bCs/>
          <w:sz w:val="28"/>
          <w:szCs w:val="28"/>
        </w:rPr>
        <w:t xml:space="preserve"> </w:t>
      </w:r>
      <w:r w:rsidR="00EE557A" w:rsidRPr="007B3224">
        <w:rPr>
          <w:rFonts w:ascii="Arial" w:hAnsi="Arial" w:cs="Arial"/>
          <w:b/>
          <w:bCs/>
          <w:sz w:val="28"/>
          <w:szCs w:val="28"/>
        </w:rPr>
        <w:t>Sona Jandi Sila</w:t>
      </w:r>
    </w:p>
    <w:p w14:paraId="43D06867" w14:textId="1D472D2F" w:rsidR="007E6CD2" w:rsidRPr="007B3224" w:rsidRDefault="007E6CD2" w:rsidP="007E6CD2">
      <w:pPr>
        <w:pStyle w:val="NormalWeb"/>
        <w:spacing w:before="0" w:beforeAutospacing="0" w:after="0" w:afterAutospacing="0" w:line="360" w:lineRule="auto"/>
        <w:jc w:val="both"/>
        <w:rPr>
          <w:rFonts w:ascii="Arial" w:hAnsi="Arial" w:cs="Arial"/>
          <w:b/>
          <w:bCs/>
          <w:sz w:val="28"/>
          <w:szCs w:val="28"/>
        </w:rPr>
      </w:pPr>
      <w:r w:rsidRPr="007B3224">
        <w:rPr>
          <w:rFonts w:ascii="Arial" w:hAnsi="Arial" w:cs="Arial"/>
          <w:b/>
          <w:bCs/>
          <w:sz w:val="28"/>
          <w:szCs w:val="28"/>
        </w:rPr>
        <w:t>Student ID:</w:t>
      </w:r>
      <w:r w:rsidR="00974698" w:rsidRPr="007B3224">
        <w:rPr>
          <w:rFonts w:ascii="Arial" w:hAnsi="Arial" w:cs="Arial"/>
          <w:b/>
          <w:bCs/>
          <w:sz w:val="28"/>
          <w:szCs w:val="28"/>
        </w:rPr>
        <w:t xml:space="preserve"> 2216032</w:t>
      </w:r>
    </w:p>
    <w:p w14:paraId="178F72F4" w14:textId="77777777" w:rsidR="007E6CD2" w:rsidRPr="007B3224" w:rsidRDefault="007E6CD2" w:rsidP="007E6CD2">
      <w:pPr>
        <w:pStyle w:val="NormalWeb"/>
        <w:spacing w:before="0" w:beforeAutospacing="0" w:after="0" w:afterAutospacing="0" w:line="360" w:lineRule="auto"/>
        <w:jc w:val="both"/>
        <w:rPr>
          <w:rFonts w:ascii="Arial" w:hAnsi="Arial" w:cs="Arial"/>
          <w:b/>
          <w:bCs/>
          <w:sz w:val="28"/>
          <w:szCs w:val="28"/>
        </w:rPr>
      </w:pPr>
    </w:p>
    <w:p w14:paraId="44601DF6" w14:textId="04BD944B" w:rsidR="007E6CD2" w:rsidRDefault="007E6CD2" w:rsidP="007E6CD2">
      <w:pPr>
        <w:pStyle w:val="NormalWeb"/>
        <w:spacing w:before="0" w:beforeAutospacing="0" w:after="0" w:afterAutospacing="0" w:line="360" w:lineRule="auto"/>
        <w:jc w:val="both"/>
        <w:rPr>
          <w:rFonts w:ascii="Arial" w:eastAsia="Arial MT Pro" w:hAnsi="Arial" w:cs="Arial"/>
          <w:b/>
          <w:bCs/>
          <w:color w:val="000000"/>
          <w:kern w:val="24"/>
          <w:sz w:val="28"/>
          <w:szCs w:val="28"/>
        </w:rPr>
      </w:pPr>
      <w:r>
        <w:rPr>
          <w:rFonts w:ascii="Arial" w:hAnsi="Arial" w:cs="Arial"/>
          <w:b/>
          <w:bCs/>
          <w:sz w:val="28"/>
          <w:szCs w:val="28"/>
        </w:rPr>
        <w:t xml:space="preserve">Lecturer’s Name: </w:t>
      </w:r>
      <w:r w:rsidRPr="007E6CD2">
        <w:rPr>
          <w:rFonts w:ascii="Arial" w:eastAsia="Arial MT Pro" w:hAnsi="Arial" w:cs="Arial"/>
          <w:b/>
          <w:bCs/>
          <w:color w:val="000000"/>
          <w:kern w:val="24"/>
          <w:sz w:val="28"/>
          <w:szCs w:val="28"/>
        </w:rPr>
        <w:t>Shepherd Ziko</w:t>
      </w:r>
    </w:p>
    <w:p w14:paraId="30808B01" w14:textId="77777777" w:rsidR="007E6CD2" w:rsidRPr="003B1922" w:rsidRDefault="007E6CD2" w:rsidP="007E6CD2">
      <w:pPr>
        <w:pStyle w:val="NormalWeb"/>
        <w:spacing w:before="0" w:beforeAutospacing="0" w:after="0" w:afterAutospacing="0" w:line="360" w:lineRule="auto"/>
        <w:jc w:val="both"/>
        <w:rPr>
          <w:rFonts w:ascii="Arial" w:hAnsi="Arial" w:cs="Arial"/>
          <w:b/>
          <w:bCs/>
          <w:sz w:val="28"/>
          <w:szCs w:val="28"/>
        </w:rPr>
      </w:pPr>
    </w:p>
    <w:p w14:paraId="2D421DEC" w14:textId="790011DC" w:rsidR="007E6CD2" w:rsidRPr="003B1922" w:rsidRDefault="007E6CD2" w:rsidP="007E6CD2">
      <w:pPr>
        <w:pStyle w:val="NormalWeb"/>
        <w:spacing w:before="0" w:beforeAutospacing="0" w:after="0" w:afterAutospacing="0" w:line="360" w:lineRule="auto"/>
        <w:jc w:val="both"/>
        <w:rPr>
          <w:rFonts w:ascii="Arial" w:hAnsi="Arial" w:cs="Arial"/>
          <w:b/>
          <w:bCs/>
          <w:sz w:val="28"/>
          <w:szCs w:val="28"/>
        </w:rPr>
      </w:pPr>
      <w:r w:rsidRPr="003B1922">
        <w:rPr>
          <w:rFonts w:ascii="Arial" w:hAnsi="Arial" w:cs="Arial"/>
          <w:b/>
          <w:bCs/>
          <w:sz w:val="28"/>
          <w:szCs w:val="28"/>
        </w:rPr>
        <w:t xml:space="preserve">Word count (or equivalent): </w:t>
      </w:r>
      <w:r w:rsidR="0032398D">
        <w:rPr>
          <w:rFonts w:ascii="Arial" w:hAnsi="Arial" w:cs="Arial"/>
          <w:b/>
          <w:bCs/>
          <w:sz w:val="28"/>
          <w:szCs w:val="28"/>
        </w:rPr>
        <w:t>2000</w:t>
      </w:r>
    </w:p>
    <w:p w14:paraId="5C82B841" w14:textId="6016C426" w:rsidR="007E6CD2" w:rsidRPr="003B1922" w:rsidRDefault="007E6CD2" w:rsidP="007E6CD2">
      <w:pPr>
        <w:pStyle w:val="NormalWeb"/>
        <w:spacing w:before="0" w:beforeAutospacing="0" w:after="0" w:afterAutospacing="0" w:line="360" w:lineRule="auto"/>
        <w:jc w:val="both"/>
        <w:rPr>
          <w:rFonts w:ascii="Arial" w:hAnsi="Arial" w:cs="Arial"/>
          <w:b/>
          <w:bCs/>
          <w:sz w:val="28"/>
          <w:szCs w:val="28"/>
        </w:rPr>
      </w:pPr>
      <w:r w:rsidRPr="003B1922">
        <w:rPr>
          <w:rFonts w:ascii="Arial" w:hAnsi="Arial" w:cs="Arial"/>
          <w:b/>
          <w:bCs/>
          <w:sz w:val="28"/>
          <w:szCs w:val="28"/>
        </w:rPr>
        <w:t>Submission deadline:</w:t>
      </w:r>
      <w:r>
        <w:rPr>
          <w:rFonts w:ascii="Arial" w:hAnsi="Arial" w:cs="Arial"/>
          <w:b/>
          <w:bCs/>
          <w:sz w:val="28"/>
          <w:szCs w:val="28"/>
        </w:rPr>
        <w:t xml:space="preserve"> </w:t>
      </w:r>
      <w:r w:rsidR="007B3224">
        <w:rPr>
          <w:rFonts w:ascii="Arial" w:hAnsi="Arial" w:cs="Arial"/>
          <w:b/>
          <w:bCs/>
          <w:sz w:val="28"/>
          <w:szCs w:val="28"/>
        </w:rPr>
        <w:t>12</w:t>
      </w:r>
      <w:r w:rsidR="00D9476E">
        <w:rPr>
          <w:rFonts w:ascii="Arial" w:hAnsi="Arial" w:cs="Arial"/>
          <w:b/>
          <w:bCs/>
          <w:sz w:val="28"/>
          <w:szCs w:val="28"/>
        </w:rPr>
        <w:t xml:space="preserve"> Dec 2025</w:t>
      </w:r>
    </w:p>
    <w:p w14:paraId="72180A93" w14:textId="77777777" w:rsidR="007E6CD2" w:rsidRDefault="007E6CD2" w:rsidP="007E6CD2">
      <w:pPr>
        <w:jc w:val="both"/>
      </w:pPr>
    </w:p>
    <w:p w14:paraId="74EFC80E" w14:textId="77777777" w:rsidR="007E6CD2" w:rsidRDefault="007E6CD2" w:rsidP="00A4238A">
      <w:pPr>
        <w:jc w:val="center"/>
      </w:pPr>
    </w:p>
    <w:p w14:paraId="39C641C5" w14:textId="77777777" w:rsidR="007E6CD2" w:rsidRDefault="007E6CD2" w:rsidP="00A4238A">
      <w:pPr>
        <w:jc w:val="center"/>
      </w:pPr>
    </w:p>
    <w:p w14:paraId="7B4FA9D3" w14:textId="77777777" w:rsidR="007E6CD2" w:rsidRDefault="007E6CD2" w:rsidP="00A4238A">
      <w:pPr>
        <w:jc w:val="center"/>
      </w:pPr>
    </w:p>
    <w:p w14:paraId="4FB2368D" w14:textId="77777777" w:rsidR="007E6CD2" w:rsidRDefault="007E6CD2" w:rsidP="00A4238A">
      <w:pPr>
        <w:jc w:val="center"/>
      </w:pPr>
    </w:p>
    <w:p w14:paraId="7367CA78" w14:textId="77777777" w:rsidR="007E6CD2" w:rsidRDefault="007E6CD2" w:rsidP="00A4238A">
      <w:pPr>
        <w:jc w:val="center"/>
      </w:pPr>
    </w:p>
    <w:p w14:paraId="1E682AE0" w14:textId="77777777" w:rsidR="001D7B67" w:rsidRDefault="001D7B67" w:rsidP="00A4238A">
      <w:pPr>
        <w:jc w:val="both"/>
      </w:pPr>
    </w:p>
    <w:p w14:paraId="77C7D4E1" w14:textId="77777777" w:rsidR="001D7B67" w:rsidRDefault="001D7B67" w:rsidP="00A4238A">
      <w:pPr>
        <w:jc w:val="both"/>
      </w:pPr>
    </w:p>
    <w:p w14:paraId="282A7068" w14:textId="77777777" w:rsidR="001D7B67" w:rsidRDefault="001D7B67" w:rsidP="00A4238A">
      <w:pPr>
        <w:jc w:val="both"/>
      </w:pPr>
    </w:p>
    <w:p w14:paraId="0D15002D" w14:textId="483EB173" w:rsidR="007E6CD2" w:rsidRDefault="007E6CD2" w:rsidP="00A4238A">
      <w:pPr>
        <w:jc w:val="both"/>
      </w:pPr>
      <w:r w:rsidRPr="007E6CD2">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1668BCD0" w14:textId="77777777" w:rsidR="001D7B67" w:rsidRDefault="001D7B67" w:rsidP="00A4238A">
      <w:pPr>
        <w:jc w:val="both"/>
      </w:pPr>
    </w:p>
    <w:p w14:paraId="2EFA0F75" w14:textId="77777777" w:rsidR="001D7B67" w:rsidRDefault="001D7B67" w:rsidP="00A4238A">
      <w:pPr>
        <w:jc w:val="both"/>
      </w:pPr>
    </w:p>
    <w:p w14:paraId="2663764D" w14:textId="77777777" w:rsidR="001D7B67" w:rsidRDefault="001D7B67" w:rsidP="00A4238A">
      <w:pPr>
        <w:jc w:val="both"/>
      </w:pPr>
    </w:p>
    <w:p w14:paraId="2A018780" w14:textId="77777777" w:rsidR="001D7B67" w:rsidRDefault="001D7B67" w:rsidP="00A4238A">
      <w:pPr>
        <w:jc w:val="both"/>
      </w:pPr>
    </w:p>
    <w:p w14:paraId="09695DB3" w14:textId="77777777" w:rsidR="001D7B67" w:rsidRDefault="001D7B67" w:rsidP="00A4238A">
      <w:pPr>
        <w:jc w:val="both"/>
      </w:pPr>
    </w:p>
    <w:p w14:paraId="65642950" w14:textId="77777777" w:rsidR="001D7B67" w:rsidRDefault="001D7B67" w:rsidP="00A4238A">
      <w:pPr>
        <w:jc w:val="both"/>
      </w:pPr>
    </w:p>
    <w:p w14:paraId="486C5862" w14:textId="77777777" w:rsidR="001D7B67" w:rsidRDefault="001D7B67" w:rsidP="00A4238A">
      <w:pPr>
        <w:jc w:val="both"/>
      </w:pPr>
    </w:p>
    <w:p w14:paraId="0B8668D9" w14:textId="77777777" w:rsidR="001D7B67" w:rsidRDefault="001D7B67" w:rsidP="00A4238A">
      <w:pPr>
        <w:jc w:val="both"/>
      </w:pPr>
    </w:p>
    <w:p w14:paraId="1173195F" w14:textId="77777777" w:rsidR="001D7B67" w:rsidRDefault="001D7B67" w:rsidP="00A4238A">
      <w:pPr>
        <w:jc w:val="both"/>
      </w:pPr>
    </w:p>
    <w:p w14:paraId="4A514CAA" w14:textId="77777777" w:rsidR="001D7B67" w:rsidRDefault="001D7B67" w:rsidP="00A4238A">
      <w:pPr>
        <w:jc w:val="both"/>
      </w:pPr>
    </w:p>
    <w:p w14:paraId="3B3B934A" w14:textId="77777777" w:rsidR="001D7B67" w:rsidRDefault="001D7B67" w:rsidP="00A4238A">
      <w:pPr>
        <w:jc w:val="both"/>
      </w:pPr>
    </w:p>
    <w:p w14:paraId="29E7EFF8" w14:textId="77777777" w:rsidR="001D7B67" w:rsidRDefault="001D7B67" w:rsidP="00A4238A">
      <w:pPr>
        <w:jc w:val="both"/>
      </w:pPr>
    </w:p>
    <w:p w14:paraId="58B80A65" w14:textId="77777777" w:rsidR="001D7B67" w:rsidRDefault="001D7B67" w:rsidP="00A4238A">
      <w:pPr>
        <w:jc w:val="both"/>
      </w:pPr>
    </w:p>
    <w:p w14:paraId="1E24A493" w14:textId="77777777" w:rsidR="001D7B67" w:rsidRDefault="001D7B67" w:rsidP="00A4238A">
      <w:pPr>
        <w:jc w:val="both"/>
      </w:pPr>
    </w:p>
    <w:p w14:paraId="3468C695" w14:textId="77777777" w:rsidR="001D7B67" w:rsidRDefault="001D7B67" w:rsidP="00A4238A">
      <w:pPr>
        <w:jc w:val="both"/>
      </w:pPr>
    </w:p>
    <w:p w14:paraId="667574AA" w14:textId="77777777" w:rsidR="001D7B67" w:rsidRDefault="001D7B67" w:rsidP="00A4238A">
      <w:pPr>
        <w:jc w:val="both"/>
      </w:pPr>
    </w:p>
    <w:p w14:paraId="61CD05BF" w14:textId="77777777" w:rsidR="001D7B67" w:rsidRDefault="001D7B67" w:rsidP="00A4238A">
      <w:pPr>
        <w:jc w:val="both"/>
      </w:pPr>
    </w:p>
    <w:p w14:paraId="04EE4BEA" w14:textId="77777777" w:rsidR="001D7B67" w:rsidRDefault="001D7B67" w:rsidP="00A4238A">
      <w:pPr>
        <w:jc w:val="both"/>
      </w:pPr>
    </w:p>
    <w:p w14:paraId="562025AA" w14:textId="77777777" w:rsidR="001D7B67" w:rsidRDefault="001D7B67" w:rsidP="00A4238A">
      <w:pPr>
        <w:jc w:val="both"/>
      </w:pPr>
    </w:p>
    <w:p w14:paraId="1DFB72BD" w14:textId="77777777" w:rsidR="001D7B67" w:rsidRDefault="001D7B67" w:rsidP="00A4238A">
      <w:pPr>
        <w:jc w:val="both"/>
      </w:pPr>
    </w:p>
    <w:p w14:paraId="4EA9DB66" w14:textId="77777777" w:rsidR="001D7B67" w:rsidRDefault="001D7B67" w:rsidP="00A4238A">
      <w:pPr>
        <w:jc w:val="both"/>
      </w:pPr>
    </w:p>
    <w:p w14:paraId="32065E47" w14:textId="77777777" w:rsidR="001D7B67" w:rsidRDefault="001D7B67" w:rsidP="00A4238A">
      <w:pPr>
        <w:jc w:val="both"/>
      </w:pPr>
    </w:p>
    <w:p w14:paraId="080F38A7" w14:textId="77777777" w:rsidR="001D7B67" w:rsidRDefault="001D7B67" w:rsidP="00A4238A">
      <w:pPr>
        <w:jc w:val="both"/>
      </w:pPr>
    </w:p>
    <w:p w14:paraId="6A885D48" w14:textId="77777777" w:rsidR="001D7B67" w:rsidRDefault="001D7B67" w:rsidP="00A4238A">
      <w:pPr>
        <w:jc w:val="both"/>
      </w:pPr>
    </w:p>
    <w:sdt>
      <w:sdtPr>
        <w:rPr>
          <w:rFonts w:asciiTheme="minorHAnsi" w:eastAsiaTheme="minorEastAsia" w:hAnsiTheme="minorHAnsi" w:cstheme="minorBidi"/>
          <w:color w:val="auto"/>
          <w:kern w:val="2"/>
          <w:sz w:val="24"/>
          <w:szCs w:val="24"/>
          <w:lang w:eastAsia="zh-CN"/>
          <w14:ligatures w14:val="standardContextual"/>
        </w:rPr>
        <w:id w:val="544722736"/>
        <w:docPartObj>
          <w:docPartGallery w:val="Table of Contents"/>
          <w:docPartUnique/>
        </w:docPartObj>
      </w:sdtPr>
      <w:sdtEndPr>
        <w:rPr>
          <w:b/>
          <w:bCs/>
        </w:rPr>
      </w:sdtEndPr>
      <w:sdtContent>
        <w:p w14:paraId="5C746ECA" w14:textId="1EB558A2" w:rsidR="001D7B67" w:rsidRDefault="001D7B67" w:rsidP="001D7B67">
          <w:pPr>
            <w:pStyle w:val="TOCHeading"/>
            <w:ind w:left="1440" w:hanging="1440"/>
          </w:pPr>
          <w:r>
            <w:t>Table of Contents</w:t>
          </w:r>
        </w:p>
        <w:p w14:paraId="18ABABCE" w14:textId="069C308D" w:rsidR="001D7B67" w:rsidRDefault="001D7B67">
          <w:pPr>
            <w:pStyle w:val="TOC1"/>
            <w:tabs>
              <w:tab w:val="right" w:leader="dot" w:pos="9016"/>
            </w:tabs>
            <w:rPr>
              <w:noProof/>
            </w:rPr>
          </w:pPr>
          <w:r>
            <w:fldChar w:fldCharType="begin"/>
          </w:r>
          <w:r>
            <w:instrText xml:space="preserve"> TOC \o "1-3" \h \z \u </w:instrText>
          </w:r>
          <w:r>
            <w:fldChar w:fldCharType="separate"/>
          </w:r>
          <w:hyperlink w:anchor="_Toc216307789" w:history="1">
            <w:r w:rsidRPr="00B75F4B">
              <w:rPr>
                <w:rStyle w:val="Hyperlink"/>
                <w:noProof/>
              </w:rPr>
              <w:t>Introduction:</w:t>
            </w:r>
            <w:r>
              <w:rPr>
                <w:noProof/>
                <w:webHidden/>
              </w:rPr>
              <w:tab/>
            </w:r>
            <w:r>
              <w:rPr>
                <w:noProof/>
                <w:webHidden/>
              </w:rPr>
              <w:fldChar w:fldCharType="begin"/>
            </w:r>
            <w:r>
              <w:rPr>
                <w:noProof/>
                <w:webHidden/>
              </w:rPr>
              <w:instrText xml:space="preserve"> PAGEREF _Toc216307789 \h </w:instrText>
            </w:r>
            <w:r>
              <w:rPr>
                <w:noProof/>
                <w:webHidden/>
              </w:rPr>
            </w:r>
            <w:r>
              <w:rPr>
                <w:noProof/>
                <w:webHidden/>
              </w:rPr>
              <w:fldChar w:fldCharType="separate"/>
            </w:r>
            <w:r>
              <w:rPr>
                <w:noProof/>
                <w:webHidden/>
              </w:rPr>
              <w:t>3</w:t>
            </w:r>
            <w:r>
              <w:rPr>
                <w:noProof/>
                <w:webHidden/>
              </w:rPr>
              <w:fldChar w:fldCharType="end"/>
            </w:r>
          </w:hyperlink>
        </w:p>
        <w:p w14:paraId="0CEAB104" w14:textId="49E790A0" w:rsidR="001D7B67" w:rsidRDefault="001D7B67">
          <w:pPr>
            <w:pStyle w:val="TOC1"/>
            <w:tabs>
              <w:tab w:val="right" w:leader="dot" w:pos="9016"/>
            </w:tabs>
            <w:rPr>
              <w:noProof/>
            </w:rPr>
          </w:pPr>
          <w:hyperlink w:anchor="_Toc216307790" w:history="1">
            <w:r w:rsidRPr="00B75F4B">
              <w:rPr>
                <w:rStyle w:val="Hyperlink"/>
                <w:noProof/>
              </w:rPr>
              <w:t>Sustainable Development Goal 3:</w:t>
            </w:r>
            <w:r>
              <w:rPr>
                <w:noProof/>
                <w:webHidden/>
              </w:rPr>
              <w:tab/>
            </w:r>
            <w:r>
              <w:rPr>
                <w:noProof/>
                <w:webHidden/>
              </w:rPr>
              <w:fldChar w:fldCharType="begin"/>
            </w:r>
            <w:r>
              <w:rPr>
                <w:noProof/>
                <w:webHidden/>
              </w:rPr>
              <w:instrText xml:space="preserve"> PAGEREF _Toc216307790 \h </w:instrText>
            </w:r>
            <w:r>
              <w:rPr>
                <w:noProof/>
                <w:webHidden/>
              </w:rPr>
            </w:r>
            <w:r>
              <w:rPr>
                <w:noProof/>
                <w:webHidden/>
              </w:rPr>
              <w:fldChar w:fldCharType="separate"/>
            </w:r>
            <w:r>
              <w:rPr>
                <w:noProof/>
                <w:webHidden/>
              </w:rPr>
              <w:t>3</w:t>
            </w:r>
            <w:r>
              <w:rPr>
                <w:noProof/>
                <w:webHidden/>
              </w:rPr>
              <w:fldChar w:fldCharType="end"/>
            </w:r>
          </w:hyperlink>
        </w:p>
        <w:p w14:paraId="22959C41" w14:textId="5A387595" w:rsidR="001D7B67" w:rsidRDefault="001D7B67">
          <w:pPr>
            <w:pStyle w:val="TOC1"/>
            <w:tabs>
              <w:tab w:val="right" w:leader="dot" w:pos="9016"/>
            </w:tabs>
            <w:rPr>
              <w:noProof/>
            </w:rPr>
          </w:pPr>
          <w:hyperlink w:anchor="_Toc216307791" w:history="1">
            <w:r w:rsidRPr="00B75F4B">
              <w:rPr>
                <w:rStyle w:val="Hyperlink"/>
                <w:noProof/>
              </w:rPr>
              <w:t>Any other ONE Sustainable Development Goal of your choice:</w:t>
            </w:r>
            <w:r>
              <w:rPr>
                <w:noProof/>
                <w:webHidden/>
              </w:rPr>
              <w:tab/>
            </w:r>
            <w:r>
              <w:rPr>
                <w:noProof/>
                <w:webHidden/>
              </w:rPr>
              <w:fldChar w:fldCharType="begin"/>
            </w:r>
            <w:r>
              <w:rPr>
                <w:noProof/>
                <w:webHidden/>
              </w:rPr>
              <w:instrText xml:space="preserve"> PAGEREF _Toc216307791 \h </w:instrText>
            </w:r>
            <w:r>
              <w:rPr>
                <w:noProof/>
                <w:webHidden/>
              </w:rPr>
            </w:r>
            <w:r>
              <w:rPr>
                <w:noProof/>
                <w:webHidden/>
              </w:rPr>
              <w:fldChar w:fldCharType="separate"/>
            </w:r>
            <w:r>
              <w:rPr>
                <w:noProof/>
                <w:webHidden/>
              </w:rPr>
              <w:t>4</w:t>
            </w:r>
            <w:r>
              <w:rPr>
                <w:noProof/>
                <w:webHidden/>
              </w:rPr>
              <w:fldChar w:fldCharType="end"/>
            </w:r>
          </w:hyperlink>
        </w:p>
        <w:p w14:paraId="60982D1F" w14:textId="02E5A908" w:rsidR="001D7B67" w:rsidRDefault="001D7B67">
          <w:pPr>
            <w:pStyle w:val="TOC1"/>
            <w:tabs>
              <w:tab w:val="right" w:leader="dot" w:pos="9016"/>
            </w:tabs>
            <w:rPr>
              <w:noProof/>
            </w:rPr>
          </w:pPr>
          <w:hyperlink w:anchor="_Toc216307792" w:history="1">
            <w:r w:rsidRPr="00B75F4B">
              <w:rPr>
                <w:rStyle w:val="Hyperlink"/>
                <w:noProof/>
              </w:rPr>
              <w:t>National wellbeing initiatives:</w:t>
            </w:r>
            <w:r>
              <w:rPr>
                <w:noProof/>
                <w:webHidden/>
              </w:rPr>
              <w:tab/>
            </w:r>
            <w:r>
              <w:rPr>
                <w:noProof/>
                <w:webHidden/>
              </w:rPr>
              <w:fldChar w:fldCharType="begin"/>
            </w:r>
            <w:r>
              <w:rPr>
                <w:noProof/>
                <w:webHidden/>
              </w:rPr>
              <w:instrText xml:space="preserve"> PAGEREF _Toc216307792 \h </w:instrText>
            </w:r>
            <w:r>
              <w:rPr>
                <w:noProof/>
                <w:webHidden/>
              </w:rPr>
            </w:r>
            <w:r>
              <w:rPr>
                <w:noProof/>
                <w:webHidden/>
              </w:rPr>
              <w:fldChar w:fldCharType="separate"/>
            </w:r>
            <w:r>
              <w:rPr>
                <w:noProof/>
                <w:webHidden/>
              </w:rPr>
              <w:t>5</w:t>
            </w:r>
            <w:r>
              <w:rPr>
                <w:noProof/>
                <w:webHidden/>
              </w:rPr>
              <w:fldChar w:fldCharType="end"/>
            </w:r>
          </w:hyperlink>
        </w:p>
        <w:p w14:paraId="4907F15A" w14:textId="6B401651" w:rsidR="001D7B67" w:rsidRDefault="001D7B67">
          <w:pPr>
            <w:pStyle w:val="TOC1"/>
            <w:tabs>
              <w:tab w:val="right" w:leader="dot" w:pos="9016"/>
            </w:tabs>
            <w:rPr>
              <w:noProof/>
            </w:rPr>
          </w:pPr>
          <w:hyperlink w:anchor="_Toc216307793" w:history="1">
            <w:r w:rsidRPr="00B75F4B">
              <w:rPr>
                <w:rStyle w:val="Hyperlink"/>
                <w:noProof/>
              </w:rPr>
              <w:t>Local wellbeing initiatives:</w:t>
            </w:r>
            <w:r>
              <w:rPr>
                <w:noProof/>
                <w:webHidden/>
              </w:rPr>
              <w:tab/>
            </w:r>
            <w:r>
              <w:rPr>
                <w:noProof/>
                <w:webHidden/>
              </w:rPr>
              <w:fldChar w:fldCharType="begin"/>
            </w:r>
            <w:r>
              <w:rPr>
                <w:noProof/>
                <w:webHidden/>
              </w:rPr>
              <w:instrText xml:space="preserve"> PAGEREF _Toc216307793 \h </w:instrText>
            </w:r>
            <w:r>
              <w:rPr>
                <w:noProof/>
                <w:webHidden/>
              </w:rPr>
            </w:r>
            <w:r>
              <w:rPr>
                <w:noProof/>
                <w:webHidden/>
              </w:rPr>
              <w:fldChar w:fldCharType="separate"/>
            </w:r>
            <w:r>
              <w:rPr>
                <w:noProof/>
                <w:webHidden/>
              </w:rPr>
              <w:t>8</w:t>
            </w:r>
            <w:r>
              <w:rPr>
                <w:noProof/>
                <w:webHidden/>
              </w:rPr>
              <w:fldChar w:fldCharType="end"/>
            </w:r>
          </w:hyperlink>
        </w:p>
        <w:p w14:paraId="50C2E389" w14:textId="1A19DC80" w:rsidR="001D7B67" w:rsidRDefault="001D7B67">
          <w:pPr>
            <w:pStyle w:val="TOC1"/>
            <w:tabs>
              <w:tab w:val="right" w:leader="dot" w:pos="9016"/>
            </w:tabs>
            <w:rPr>
              <w:noProof/>
            </w:rPr>
          </w:pPr>
          <w:hyperlink w:anchor="_Toc216307794" w:history="1">
            <w:r w:rsidRPr="00B75F4B">
              <w:rPr>
                <w:rStyle w:val="Hyperlink"/>
                <w:noProof/>
              </w:rPr>
              <w:t>Conclusion:</w:t>
            </w:r>
            <w:r>
              <w:rPr>
                <w:noProof/>
                <w:webHidden/>
              </w:rPr>
              <w:tab/>
            </w:r>
            <w:r>
              <w:rPr>
                <w:noProof/>
                <w:webHidden/>
              </w:rPr>
              <w:fldChar w:fldCharType="begin"/>
            </w:r>
            <w:r>
              <w:rPr>
                <w:noProof/>
                <w:webHidden/>
              </w:rPr>
              <w:instrText xml:space="preserve"> PAGEREF _Toc216307794 \h </w:instrText>
            </w:r>
            <w:r>
              <w:rPr>
                <w:noProof/>
                <w:webHidden/>
              </w:rPr>
            </w:r>
            <w:r>
              <w:rPr>
                <w:noProof/>
                <w:webHidden/>
              </w:rPr>
              <w:fldChar w:fldCharType="separate"/>
            </w:r>
            <w:r>
              <w:rPr>
                <w:noProof/>
                <w:webHidden/>
              </w:rPr>
              <w:t>9</w:t>
            </w:r>
            <w:r>
              <w:rPr>
                <w:noProof/>
                <w:webHidden/>
              </w:rPr>
              <w:fldChar w:fldCharType="end"/>
            </w:r>
          </w:hyperlink>
        </w:p>
        <w:p w14:paraId="5F9FD071" w14:textId="6F506EAA" w:rsidR="001D7B67" w:rsidRDefault="001D7B67">
          <w:pPr>
            <w:pStyle w:val="TOC1"/>
            <w:tabs>
              <w:tab w:val="right" w:leader="dot" w:pos="9016"/>
            </w:tabs>
            <w:rPr>
              <w:noProof/>
            </w:rPr>
          </w:pPr>
          <w:hyperlink w:anchor="_Toc216307795" w:history="1">
            <w:r w:rsidRPr="00B75F4B">
              <w:rPr>
                <w:rStyle w:val="Hyperlink"/>
                <w:b/>
                <w:bCs/>
                <w:noProof/>
              </w:rPr>
              <w:t>References:</w:t>
            </w:r>
            <w:r>
              <w:rPr>
                <w:noProof/>
                <w:webHidden/>
              </w:rPr>
              <w:tab/>
            </w:r>
            <w:r>
              <w:rPr>
                <w:noProof/>
                <w:webHidden/>
              </w:rPr>
              <w:fldChar w:fldCharType="begin"/>
            </w:r>
            <w:r>
              <w:rPr>
                <w:noProof/>
                <w:webHidden/>
              </w:rPr>
              <w:instrText xml:space="preserve"> PAGEREF _Toc216307795 \h </w:instrText>
            </w:r>
            <w:r>
              <w:rPr>
                <w:noProof/>
                <w:webHidden/>
              </w:rPr>
            </w:r>
            <w:r>
              <w:rPr>
                <w:noProof/>
                <w:webHidden/>
              </w:rPr>
              <w:fldChar w:fldCharType="separate"/>
            </w:r>
            <w:r>
              <w:rPr>
                <w:noProof/>
                <w:webHidden/>
              </w:rPr>
              <w:t>10</w:t>
            </w:r>
            <w:r>
              <w:rPr>
                <w:noProof/>
                <w:webHidden/>
              </w:rPr>
              <w:fldChar w:fldCharType="end"/>
            </w:r>
          </w:hyperlink>
        </w:p>
        <w:p w14:paraId="79CB203C" w14:textId="7BB26744" w:rsidR="001D7B67" w:rsidRDefault="001D7B67">
          <w:r>
            <w:rPr>
              <w:b/>
              <w:bCs/>
            </w:rPr>
            <w:fldChar w:fldCharType="end"/>
          </w:r>
        </w:p>
      </w:sdtContent>
    </w:sdt>
    <w:p w14:paraId="1B42F488" w14:textId="77777777" w:rsidR="007E6CD2" w:rsidRDefault="007E6CD2" w:rsidP="00A4238A">
      <w:pPr>
        <w:jc w:val="both"/>
      </w:pPr>
    </w:p>
    <w:p w14:paraId="44D45A40" w14:textId="77777777" w:rsidR="007E6CD2" w:rsidRDefault="007E6CD2" w:rsidP="00A4238A">
      <w:pPr>
        <w:jc w:val="both"/>
      </w:pPr>
    </w:p>
    <w:p w14:paraId="3F326F21" w14:textId="77777777" w:rsidR="007E6CD2" w:rsidRDefault="007E6CD2" w:rsidP="00A4238A">
      <w:pPr>
        <w:jc w:val="both"/>
      </w:pPr>
    </w:p>
    <w:p w14:paraId="40ECB5B4" w14:textId="77777777" w:rsidR="007E6CD2" w:rsidRDefault="007E6CD2" w:rsidP="00A4238A">
      <w:pPr>
        <w:jc w:val="both"/>
      </w:pPr>
    </w:p>
    <w:p w14:paraId="296E60B1" w14:textId="77777777" w:rsidR="007E6CD2" w:rsidRDefault="007E6CD2" w:rsidP="00A4238A">
      <w:pPr>
        <w:jc w:val="both"/>
      </w:pPr>
    </w:p>
    <w:p w14:paraId="734C4C37" w14:textId="77777777" w:rsidR="007E6CD2" w:rsidRDefault="007E6CD2" w:rsidP="00A4238A">
      <w:pPr>
        <w:jc w:val="both"/>
      </w:pPr>
    </w:p>
    <w:p w14:paraId="26FA9AB9" w14:textId="77777777" w:rsidR="007E6CD2" w:rsidRDefault="007E6CD2" w:rsidP="00A4238A">
      <w:pPr>
        <w:jc w:val="both"/>
      </w:pPr>
    </w:p>
    <w:p w14:paraId="7DA0CDC0" w14:textId="77777777" w:rsidR="007E6CD2" w:rsidRDefault="007E6CD2" w:rsidP="00A4238A">
      <w:pPr>
        <w:jc w:val="both"/>
      </w:pPr>
    </w:p>
    <w:p w14:paraId="7ABA226F" w14:textId="77777777" w:rsidR="007E6CD2" w:rsidRDefault="007E6CD2" w:rsidP="00A4238A">
      <w:pPr>
        <w:jc w:val="both"/>
      </w:pPr>
    </w:p>
    <w:p w14:paraId="017FE996" w14:textId="77777777" w:rsidR="007E6CD2" w:rsidRDefault="007E6CD2" w:rsidP="00A4238A">
      <w:pPr>
        <w:jc w:val="both"/>
      </w:pPr>
    </w:p>
    <w:p w14:paraId="258449F7" w14:textId="77777777" w:rsidR="007E6CD2" w:rsidRDefault="007E6CD2" w:rsidP="00A4238A">
      <w:pPr>
        <w:jc w:val="both"/>
      </w:pPr>
    </w:p>
    <w:p w14:paraId="742BB22F" w14:textId="77777777" w:rsidR="007E6CD2" w:rsidRDefault="007E6CD2" w:rsidP="00A4238A">
      <w:pPr>
        <w:jc w:val="both"/>
      </w:pPr>
    </w:p>
    <w:p w14:paraId="31331C8B" w14:textId="77777777" w:rsidR="007E6CD2" w:rsidRDefault="007E6CD2" w:rsidP="00A4238A">
      <w:pPr>
        <w:jc w:val="both"/>
      </w:pPr>
    </w:p>
    <w:p w14:paraId="372D8475" w14:textId="77777777" w:rsidR="007E6CD2" w:rsidRDefault="007E6CD2" w:rsidP="00A4238A">
      <w:pPr>
        <w:jc w:val="both"/>
      </w:pPr>
    </w:p>
    <w:p w14:paraId="6092A321" w14:textId="77777777" w:rsidR="007E6CD2" w:rsidRDefault="007E6CD2" w:rsidP="00A4238A">
      <w:pPr>
        <w:jc w:val="both"/>
      </w:pPr>
    </w:p>
    <w:p w14:paraId="4C5A35D8" w14:textId="77777777" w:rsidR="007E6CD2" w:rsidRDefault="007E6CD2" w:rsidP="00A4238A">
      <w:pPr>
        <w:jc w:val="both"/>
      </w:pPr>
    </w:p>
    <w:p w14:paraId="487155DF" w14:textId="77777777" w:rsidR="007E6CD2" w:rsidRDefault="007E6CD2" w:rsidP="00A4238A">
      <w:pPr>
        <w:jc w:val="both"/>
      </w:pPr>
    </w:p>
    <w:p w14:paraId="4F6C7DE7" w14:textId="77777777" w:rsidR="007E6CD2" w:rsidRDefault="007E6CD2" w:rsidP="00A4238A">
      <w:pPr>
        <w:jc w:val="both"/>
      </w:pPr>
    </w:p>
    <w:p w14:paraId="404F6FB7" w14:textId="77777777" w:rsidR="007E6CD2" w:rsidRDefault="007E6CD2" w:rsidP="00A4238A">
      <w:pPr>
        <w:jc w:val="both"/>
      </w:pPr>
    </w:p>
    <w:p w14:paraId="6786AF6D" w14:textId="77777777" w:rsidR="007E6CD2" w:rsidRDefault="007E6CD2" w:rsidP="00A4238A">
      <w:pPr>
        <w:jc w:val="both"/>
      </w:pPr>
    </w:p>
    <w:p w14:paraId="1361CBD4" w14:textId="77777777" w:rsidR="007E6CD2" w:rsidRDefault="007E6CD2" w:rsidP="00A4238A">
      <w:pPr>
        <w:jc w:val="both"/>
      </w:pPr>
    </w:p>
    <w:p w14:paraId="7329352B" w14:textId="77777777" w:rsidR="007E6CD2" w:rsidRDefault="007E6CD2" w:rsidP="00A4238A">
      <w:pPr>
        <w:jc w:val="both"/>
      </w:pPr>
    </w:p>
    <w:p w14:paraId="340B7698" w14:textId="77777777" w:rsidR="007E6CD2" w:rsidRDefault="007E6CD2" w:rsidP="00A4238A">
      <w:pPr>
        <w:jc w:val="both"/>
      </w:pPr>
    </w:p>
    <w:p w14:paraId="1BA5AF69" w14:textId="77777777" w:rsidR="007E6CD2" w:rsidRDefault="007E6CD2" w:rsidP="00A4238A">
      <w:pPr>
        <w:jc w:val="both"/>
      </w:pPr>
    </w:p>
    <w:p w14:paraId="4868E68D" w14:textId="77777777" w:rsidR="001F0078" w:rsidRDefault="001F0078" w:rsidP="00A4238A">
      <w:pPr>
        <w:jc w:val="both"/>
      </w:pPr>
    </w:p>
    <w:p w14:paraId="48FF541C" w14:textId="77777777" w:rsidR="007E6CD2" w:rsidRDefault="007E6CD2" w:rsidP="00A4238A">
      <w:pPr>
        <w:jc w:val="both"/>
      </w:pPr>
    </w:p>
    <w:p w14:paraId="758674A1" w14:textId="77777777" w:rsidR="007E6CD2" w:rsidRDefault="007E6CD2" w:rsidP="00A4238A">
      <w:pPr>
        <w:jc w:val="both"/>
      </w:pPr>
    </w:p>
    <w:p w14:paraId="04206A8B" w14:textId="773E6418" w:rsidR="00A4238A" w:rsidRDefault="00A4238A" w:rsidP="001F0078">
      <w:pPr>
        <w:pStyle w:val="Heading1"/>
        <w:rPr>
          <w:color w:val="EE0000"/>
        </w:rPr>
      </w:pPr>
      <w:bookmarkStart w:id="0" w:name="_Toc216307789"/>
      <w:r w:rsidRPr="00A4238A">
        <w:t>Introduction:</w:t>
      </w:r>
      <w:bookmarkEnd w:id="0"/>
      <w:r>
        <w:t xml:space="preserve"> </w:t>
      </w:r>
    </w:p>
    <w:p w14:paraId="614EE522" w14:textId="5B1F308B" w:rsidR="00BA7E8C" w:rsidRDefault="00BA7E8C" w:rsidP="00573F0C">
      <w:r w:rsidRPr="00BA7E8C">
        <w:t>Health and wellbeing are fundamental to sustainable development because they influence human potential, resilience and productivity. As the United Nations (2015) states, sustainable development requires conditions that support healthy populations and minimise risks. Health is shaped by physical, mental and social factors, all of which interact with environmental, economic and social conditions. The growing challenges of climate change, inequality and chronic disease highlight the need for integrated approaches to wellbeing. As Marmot (2020) notes, health underpins social and economic stability, reinforcing its importance in long-term development. This report examines SDG 3, an additional SDG, and evaluates national and local wellbeing initiatives.</w:t>
      </w:r>
    </w:p>
    <w:p w14:paraId="0264CFB3" w14:textId="77777777" w:rsidR="00573F0C" w:rsidRPr="00190579" w:rsidRDefault="00573F0C" w:rsidP="00A4238A">
      <w:pPr>
        <w:jc w:val="both"/>
        <w:rPr>
          <w:color w:val="EE0000"/>
        </w:rPr>
      </w:pPr>
    </w:p>
    <w:p w14:paraId="1DFBA0B6" w14:textId="2F92D745" w:rsidR="00A4238A" w:rsidRDefault="00A4238A" w:rsidP="001D7B67">
      <w:pPr>
        <w:pStyle w:val="Heading1"/>
        <w:rPr>
          <w:color w:val="EE0000"/>
        </w:rPr>
      </w:pPr>
      <w:bookmarkStart w:id="1" w:name="_Toc216307790"/>
      <w:r w:rsidRPr="00A4238A">
        <w:t>Sustainable Development Goal 3:</w:t>
      </w:r>
      <w:bookmarkEnd w:id="1"/>
      <w:r>
        <w:t xml:space="preserve"> </w:t>
      </w:r>
    </w:p>
    <w:p w14:paraId="61104FE9" w14:textId="146596F4" w:rsidR="00F12408" w:rsidRPr="00F12408" w:rsidRDefault="00F12408" w:rsidP="00F12408">
      <w:pPr>
        <w:jc w:val="both"/>
      </w:pPr>
      <w:r w:rsidRPr="00F12408">
        <w:t>Sustainable Development Goal 3 (SDG 3) aims to ensure healthy lives and promote wellbeing for all at all ages (United Nations, 2015). The goal reflects an understanding that health is determined by more than medical care; it is shaped by the wider social, economic and environmental context. As Marmot &amp; Wilkinson (2006) argue, health outcomes reflect social and economic conditions,” emphasising that inequality must be addressed to achieve sustainable improvements in wellbeing.</w:t>
      </w:r>
    </w:p>
    <w:p w14:paraId="49D683C6" w14:textId="5C1BAC9D" w:rsidR="00F12408" w:rsidRPr="00F12408" w:rsidRDefault="00F12408" w:rsidP="00F12408">
      <w:pPr>
        <w:jc w:val="both"/>
      </w:pPr>
      <w:r w:rsidRPr="00F12408">
        <w:t>SDG 3 highlights the importance of equity in healthcare access. Braveman &amp; Gruskin (2003) define equity in health as the absence of systematic disparities, reinforcing SDG 3’s focus on targeted support for vulnerable populations. Mental health, long overlooked, is also central to SDG 3. Barry &amp; Jenkins (2007) note that “mental health promotion enhances resilience and social wellbeing,” supporting the goal’s inclusion of psychological health.</w:t>
      </w:r>
    </w:p>
    <w:p w14:paraId="458A0C82" w14:textId="01C4DB03" w:rsidR="00F12408" w:rsidRPr="00F12408" w:rsidRDefault="00F12408" w:rsidP="00F12408">
      <w:pPr>
        <w:jc w:val="both"/>
      </w:pPr>
      <w:r w:rsidRPr="00F12408">
        <w:lastRenderedPageBreak/>
        <w:t>Environmental conditions are another major component of SDG 3. The WHO (2014) warns that climate change intensifies disease burdens, highlighting the interconnectedness between environmental sustainability and health. Ecological public health perspectives support this view; Lang &amp; Rayner (2012) argue that “human health depends on environmental systems, suggesting that pollution, water quality and climate resilience must be addressed through integrated policy.</w:t>
      </w:r>
    </w:p>
    <w:p w14:paraId="5C0EBF4D" w14:textId="02D775D1" w:rsidR="00F12408" w:rsidRPr="00F12408" w:rsidRDefault="00F12408" w:rsidP="00F12408">
      <w:pPr>
        <w:jc w:val="both"/>
      </w:pPr>
      <w:r w:rsidRPr="00F12408">
        <w:t xml:space="preserve">Preventive health is also essential. </w:t>
      </w:r>
      <w:proofErr w:type="spellStart"/>
      <w:r w:rsidRPr="00F12408">
        <w:t>Nutbeam</w:t>
      </w:r>
      <w:proofErr w:type="spellEnd"/>
      <w:r w:rsidRPr="00F12408">
        <w:t xml:space="preserve"> (2000) asserts that “health literacy is a critical empowerment strategy, supporting SDG 3’s emphasis on education and community engagement. Furthermore, the WHO (1986) states that creating “supportive environments </w:t>
      </w:r>
      <w:proofErr w:type="gramStart"/>
      <w:r w:rsidRPr="00F12408">
        <w:t>enables</w:t>
      </w:r>
      <w:proofErr w:type="gramEnd"/>
      <w:r w:rsidRPr="00F12408">
        <w:t xml:space="preserve"> individuals to make healthier choices, making prevention a core mechanism for reducing healthcare pressures.</w:t>
      </w:r>
    </w:p>
    <w:p w14:paraId="3CCDD247" w14:textId="77777777" w:rsidR="00F12408" w:rsidRDefault="00F12408" w:rsidP="00F12408">
      <w:pPr>
        <w:jc w:val="both"/>
      </w:pPr>
      <w:r w:rsidRPr="00F12408">
        <w:t>Overall, SDG 3 acts both as a foundation and outcome of sustainable development. Healthy populations contribute to productivity, education, social cohesion and environmental stewardship, demonstrating the integrated nature of the SDGs.</w:t>
      </w:r>
    </w:p>
    <w:p w14:paraId="45BD03BB" w14:textId="77777777" w:rsidR="009158A4" w:rsidRPr="009158A4" w:rsidRDefault="009158A4" w:rsidP="009158A4">
      <w:pPr>
        <w:jc w:val="both"/>
        <w:rPr>
          <w:lang w:val="en-US"/>
        </w:rPr>
      </w:pPr>
      <w:r w:rsidRPr="009158A4">
        <w:rPr>
          <w:lang w:val="en-US"/>
        </w:rPr>
        <w:t>What SDG 3 targets</w:t>
      </w:r>
    </w:p>
    <w:p w14:paraId="7670B772" w14:textId="77777777" w:rsidR="0011713F" w:rsidRPr="0011713F" w:rsidRDefault="0011713F" w:rsidP="0011713F">
      <w:pPr>
        <w:jc w:val="both"/>
      </w:pPr>
      <w:r w:rsidRPr="0011713F">
        <w:t>SDG 3 includes many different health-related objectives. These include lowering maternal mortality, stopping avoidable deaths of infants and children under five, putting an end to epidemics of infectious diseases (like HIV/AIDS, malaria, and tuberculosis), lowering premature mortality from non-communicable diseases (NCDs), guaranteeing that everyone has access to sexual and reproductive health care services, fighting substance abuse, lowering the number of fatalities and injuries from traffic accidents, and developing resilient health systems (e.g., by increasing health financing and bolstering the health workforce). Strong health systems are necessary for sustainable development, according to WHO (2014), and SDG 3 is intended to "ensure healthy lives and promote well-being for all," according to UN (2015).</w:t>
      </w:r>
    </w:p>
    <w:p w14:paraId="119F73EB" w14:textId="77777777" w:rsidR="009158A4" w:rsidRPr="009158A4" w:rsidRDefault="009158A4" w:rsidP="009158A4">
      <w:pPr>
        <w:jc w:val="both"/>
        <w:rPr>
          <w:lang w:val="en-US"/>
        </w:rPr>
      </w:pPr>
      <w:r w:rsidRPr="009158A4">
        <w:rPr>
          <w:lang w:val="en-US"/>
        </w:rPr>
        <w:t xml:space="preserve">More broadly, it includes ensuring universal health coverage (UHC), equitable access to safe, effective, affordable healthcare and essential medicines, and preparing for and managing health risks. </w:t>
      </w:r>
    </w:p>
    <w:p w14:paraId="2D2EB90B" w14:textId="77777777" w:rsidR="009158A4" w:rsidRPr="009158A4" w:rsidRDefault="009158A4" w:rsidP="009158A4">
      <w:pPr>
        <w:jc w:val="both"/>
        <w:rPr>
          <w:lang w:val="en-US"/>
        </w:rPr>
      </w:pPr>
      <w:r w:rsidRPr="009158A4">
        <w:rPr>
          <w:lang w:val="en-US"/>
        </w:rPr>
        <w:t>How SDG 3 impacts health and well-being of citizens</w:t>
      </w:r>
    </w:p>
    <w:p w14:paraId="747D9716" w14:textId="77777777" w:rsidR="009158A4" w:rsidRPr="009158A4" w:rsidRDefault="009158A4" w:rsidP="009158A4">
      <w:pPr>
        <w:jc w:val="both"/>
        <w:rPr>
          <w:lang w:val="en-US"/>
        </w:rPr>
      </w:pPr>
      <w:r w:rsidRPr="009158A4">
        <w:rPr>
          <w:lang w:val="en-US"/>
        </w:rPr>
        <w:t>The implementation of SDG 3 has profound implications for the health and well-being of populations:</w:t>
      </w:r>
    </w:p>
    <w:p w14:paraId="111A1AC2" w14:textId="43507EE5" w:rsidR="009158A4" w:rsidRPr="009158A4" w:rsidRDefault="009158A4" w:rsidP="009158A4">
      <w:pPr>
        <w:jc w:val="both"/>
        <w:rPr>
          <w:lang w:val="en-US"/>
        </w:rPr>
      </w:pPr>
      <w:r w:rsidRPr="009158A4">
        <w:rPr>
          <w:lang w:val="en-US"/>
        </w:rPr>
        <w:t xml:space="preserve">Reduction in maternal and child mortality. By ensuring access to skilled birth attendants, antenatal and postnatal care, and essential maternal-child health services, SDG 3 helps reduce deaths related to pregnancy, childbirth, and preventable childhood illnesses. Lower </w:t>
      </w:r>
      <w:proofErr w:type="gramStart"/>
      <w:r w:rsidRPr="009158A4">
        <w:rPr>
          <w:lang w:val="en-US"/>
        </w:rPr>
        <w:t>maternal</w:t>
      </w:r>
      <w:proofErr w:type="gramEnd"/>
      <w:r w:rsidRPr="009158A4">
        <w:rPr>
          <w:lang w:val="en-US"/>
        </w:rPr>
        <w:t xml:space="preserve"> and under-five mortality significantly improves family and community stability and contributes to long-term human capital development. Braveman &amp; Gruskin </w:t>
      </w:r>
      <w:r w:rsidRPr="009158A4">
        <w:rPr>
          <w:lang w:val="en-US"/>
        </w:rPr>
        <w:lastRenderedPageBreak/>
        <w:t>(2003) note that equity in maternal care depends on removing systematic disparities in health.</w:t>
      </w:r>
    </w:p>
    <w:p w14:paraId="31815061" w14:textId="77777777" w:rsidR="009158A4" w:rsidRPr="009158A4" w:rsidRDefault="009158A4" w:rsidP="009158A4">
      <w:pPr>
        <w:jc w:val="both"/>
        <w:rPr>
          <w:lang w:val="en-US"/>
        </w:rPr>
      </w:pPr>
    </w:p>
    <w:p w14:paraId="3CB8D5A8" w14:textId="77777777" w:rsidR="00A3518D" w:rsidRPr="00190579" w:rsidRDefault="00A3518D" w:rsidP="00A4238A">
      <w:pPr>
        <w:jc w:val="both"/>
        <w:rPr>
          <w:color w:val="EE0000"/>
        </w:rPr>
      </w:pPr>
    </w:p>
    <w:p w14:paraId="4C772EE4" w14:textId="77777777" w:rsidR="00C26C9B" w:rsidRDefault="00A4238A" w:rsidP="001D7B67">
      <w:pPr>
        <w:pStyle w:val="Heading1"/>
      </w:pPr>
      <w:bookmarkStart w:id="2" w:name="_Toc216307791"/>
      <w:r w:rsidRPr="00A4238A">
        <w:t xml:space="preserve">Any other </w:t>
      </w:r>
      <w:r>
        <w:t>ONE</w:t>
      </w:r>
      <w:r w:rsidRPr="00A4238A">
        <w:t xml:space="preserve"> </w:t>
      </w:r>
      <w:r>
        <w:t>Sustainable Development Goal</w:t>
      </w:r>
      <w:r w:rsidRPr="00A4238A">
        <w:t xml:space="preserve"> of your choice</w:t>
      </w:r>
      <w:r>
        <w:t>:</w:t>
      </w:r>
      <w:bookmarkEnd w:id="2"/>
      <w:r>
        <w:t xml:space="preserve"> </w:t>
      </w:r>
    </w:p>
    <w:p w14:paraId="5B55AD54" w14:textId="13C65E91" w:rsidR="00C26C9B" w:rsidRPr="00C26C9B" w:rsidRDefault="00C26C9B" w:rsidP="00C26C9B">
      <w:pPr>
        <w:jc w:val="both"/>
        <w:rPr>
          <w:color w:val="000000" w:themeColor="text1"/>
        </w:rPr>
      </w:pPr>
      <w:r w:rsidRPr="00C26C9B">
        <w:rPr>
          <w:color w:val="000000" w:themeColor="text1"/>
        </w:rPr>
        <w:t>Sustainable Development Goal 11 aims to make cities inclusive, safe, resilient and sustainable (United Nations, 2015). Urban environments profoundly affect physical and mental health. As highlighted by Lang &amp; Rayner (2012), environmental degradation heightens disease risk, emphasising the need for clean air, green spaces and climate-resilient infrastructure.</w:t>
      </w:r>
    </w:p>
    <w:p w14:paraId="00E7696E" w14:textId="3C26ACA7" w:rsidR="00C26C9B" w:rsidRPr="00C26C9B" w:rsidRDefault="00C26C9B" w:rsidP="00C26C9B">
      <w:pPr>
        <w:jc w:val="both"/>
        <w:rPr>
          <w:color w:val="000000" w:themeColor="text1"/>
        </w:rPr>
      </w:pPr>
      <w:r w:rsidRPr="00C26C9B">
        <w:rPr>
          <w:color w:val="000000" w:themeColor="text1"/>
        </w:rPr>
        <w:t>Air pollution, overcrowding and inadequate housing contribute to chronic illness and mental distress. The WHO (2014) reports that environmental risks “undermine well-being and intensify vulnerabilities among disadvantaged populations. SDG 11 therefore prioritises improved housing quality, sustainable transport and accessible public spaces.</w:t>
      </w:r>
    </w:p>
    <w:p w14:paraId="48C44261" w14:textId="3389ECBE" w:rsidR="00C26C9B" w:rsidRPr="00C26C9B" w:rsidRDefault="00C26C9B" w:rsidP="00C26C9B">
      <w:pPr>
        <w:jc w:val="both"/>
        <w:rPr>
          <w:color w:val="000000" w:themeColor="text1"/>
        </w:rPr>
      </w:pPr>
      <w:r w:rsidRPr="00C26C9B">
        <w:rPr>
          <w:color w:val="000000" w:themeColor="text1"/>
        </w:rPr>
        <w:t>Green spaces are particularly important. Research shows that access to natural environments supports mental health and social cohesion (Barry &amp; Jenkins, 2007). Sustainable transport systems also benefit wellbeing, reducing pollution while encouraging physical activity.</w:t>
      </w:r>
    </w:p>
    <w:p w14:paraId="2C335D88" w14:textId="77777777" w:rsidR="00C26C9B" w:rsidRPr="00C26C9B" w:rsidRDefault="00C26C9B" w:rsidP="00C26C9B">
      <w:pPr>
        <w:jc w:val="both"/>
        <w:rPr>
          <w:color w:val="000000" w:themeColor="text1"/>
        </w:rPr>
      </w:pPr>
      <w:r w:rsidRPr="00C26C9B">
        <w:rPr>
          <w:color w:val="000000" w:themeColor="text1"/>
        </w:rPr>
        <w:t>Urban resilience is another critical focus. Climate change increases heatwaves, flooding and air quality problems. The WHO (2014) states that climate impacts “pose significant threats to population health,” making resilient planning essential for sustainable cities.</w:t>
      </w:r>
    </w:p>
    <w:p w14:paraId="4997E4A0" w14:textId="77777777" w:rsidR="00C26C9B" w:rsidRPr="00C26C9B" w:rsidRDefault="00C26C9B" w:rsidP="00C26C9B">
      <w:pPr>
        <w:jc w:val="both"/>
        <w:rPr>
          <w:color w:val="000000" w:themeColor="text1"/>
        </w:rPr>
      </w:pPr>
      <w:r w:rsidRPr="00C26C9B">
        <w:rPr>
          <w:color w:val="000000" w:themeColor="text1"/>
        </w:rPr>
        <w:t>SDG 11’s constructs highlight the broader ecological public health perspective: human wellbeing is inseparable from environmental and social conditions. By designing healthier, more inclusive cities, SDG 11 contributes directly to improving community health outcomes.</w:t>
      </w:r>
    </w:p>
    <w:p w14:paraId="3B8ACD0D" w14:textId="632AAD22" w:rsidR="00A4238A" w:rsidRPr="00190579" w:rsidRDefault="00A4238A" w:rsidP="00A4238A">
      <w:pPr>
        <w:jc w:val="both"/>
        <w:rPr>
          <w:color w:val="EE0000"/>
        </w:rPr>
      </w:pPr>
    </w:p>
    <w:p w14:paraId="2CFCEF2A" w14:textId="207AE8E5" w:rsidR="00A4238A" w:rsidRDefault="003F7D8A" w:rsidP="001D7B67">
      <w:pPr>
        <w:pStyle w:val="Heading1"/>
        <w:rPr>
          <w:color w:val="EE0000"/>
        </w:rPr>
      </w:pPr>
      <w:bookmarkStart w:id="3" w:name="_Toc216307792"/>
      <w:r w:rsidRPr="003F7D8A">
        <w:t>National wellbeing initiatives</w:t>
      </w:r>
      <w:r>
        <w:t>:</w:t>
      </w:r>
      <w:bookmarkEnd w:id="3"/>
    </w:p>
    <w:p w14:paraId="3861C171" w14:textId="7EBA1705" w:rsidR="00713032" w:rsidRPr="00713032" w:rsidRDefault="00713032" w:rsidP="00713032">
      <w:r w:rsidRPr="00713032">
        <w:t>National initiatives play a key role in promoting health and sustainability. One such initiative is the Health in All Policies (</w:t>
      </w:r>
      <w:proofErr w:type="spellStart"/>
      <w:r w:rsidRPr="00713032">
        <w:t>HiAP</w:t>
      </w:r>
      <w:proofErr w:type="spellEnd"/>
      <w:r w:rsidRPr="00713032">
        <w:t>) framework, which the WHO (2014) describes as a model that ensures all sectors consider health outcomes. This approach recognises the complexity of health determinants and supports coordinated policymaking.</w:t>
      </w:r>
    </w:p>
    <w:p w14:paraId="1946F0F1" w14:textId="06445953" w:rsidR="00713032" w:rsidRPr="00713032" w:rsidRDefault="00713032" w:rsidP="00713032">
      <w:r w:rsidRPr="00713032">
        <w:lastRenderedPageBreak/>
        <w:t xml:space="preserve">National public health campaigns also contribute significantly. </w:t>
      </w:r>
      <w:proofErr w:type="spellStart"/>
      <w:r w:rsidRPr="00713032">
        <w:t>Nutbeam</w:t>
      </w:r>
      <w:proofErr w:type="spellEnd"/>
      <w:r w:rsidRPr="00713032">
        <w:t xml:space="preserve"> (2000) notes that preventive strategies reduce disease burden and healthcare costs, supporting the effectiveness of vaccination, screening and NCD prevention programmes.</w:t>
      </w:r>
    </w:p>
    <w:p w14:paraId="51961375" w14:textId="77BA9FF1" w:rsidR="00713032" w:rsidRPr="00713032" w:rsidRDefault="00713032" w:rsidP="00713032">
      <w:r w:rsidRPr="00713032">
        <w:t>Despite their strengths, these initiatives often face challenges such as inconsistent funding, unequal access and digital exclusion. As Marmot (2020) explains, inequality remains a persistent barrier to effective health improvement.</w:t>
      </w:r>
    </w:p>
    <w:p w14:paraId="0696D987" w14:textId="227A510E" w:rsidR="00152A65" w:rsidRDefault="00152A65" w:rsidP="00152A65">
      <w:r>
        <w:t xml:space="preserve">The National Wellbeing Programme was launched in 2010 to shift national success measures beyond economic growth toward quality of life and wellbeing. It encourages measurement and tracking of wellbeing through a framework covering multiple domains (health, community, employment, etc.). </w:t>
      </w:r>
    </w:p>
    <w:p w14:paraId="68A64A98" w14:textId="77777777" w:rsidR="001878E8" w:rsidRDefault="001878E8" w:rsidP="00152A65"/>
    <w:p w14:paraId="6423C949" w14:textId="67226BC2" w:rsidR="00152A65" w:rsidRDefault="00152A65" w:rsidP="00152A65">
      <w:r>
        <w:t>This initiative helped formali</w:t>
      </w:r>
      <w:r w:rsidR="004B064C">
        <w:t>s</w:t>
      </w:r>
      <w:r>
        <w:t>e government and public focus on wellbeing, not just economic indicators; it brought attention to mental health, community belonging, and factors such as employment and social support as integral to wellbeing. By doing so, it broadened the policy lens to include social determinants of health, rather than only medical outcomes.</w:t>
      </w:r>
    </w:p>
    <w:p w14:paraId="4BEDED08" w14:textId="3E72AD3A" w:rsidR="00152A65" w:rsidRDefault="00152A65" w:rsidP="00152A65">
      <w:r>
        <w:t>Green Social Prescribing Programme (UK national rollout via NHS England and partners)</w:t>
      </w:r>
    </w:p>
    <w:p w14:paraId="01AB1AE3" w14:textId="77777777" w:rsidR="00152A65" w:rsidRDefault="00152A65" w:rsidP="00152A65">
      <w:r>
        <w:t xml:space="preserve">Green Social Prescribing enables healthcare providers to refer people to nature-based or community activities (gardening, walking, conservation, arts in green spaces, etc.) instead of or alongside purely clinical interventions. </w:t>
      </w:r>
    </w:p>
    <w:p w14:paraId="1C3314D0" w14:textId="77777777" w:rsidR="00152A65" w:rsidRDefault="00152A65" w:rsidP="00152A65">
      <w:r>
        <w:t xml:space="preserve">The Programme (2021–2023 pilot) engaged seven Integrated Care Systems (ICSs), and reportedly over 8,500 people were referred during that period. Interim evaluation indicates positive improvements in mental health and wellbeing, especially in communities with high social inequalities. There </w:t>
      </w:r>
      <w:proofErr w:type="gramStart"/>
      <w:r>
        <w:t>was</w:t>
      </w:r>
      <w:proofErr w:type="gramEnd"/>
      <w:r>
        <w:t xml:space="preserve"> strong engagement and 85% uptake when green prescriptions were offered. </w:t>
      </w:r>
    </w:p>
    <w:p w14:paraId="6EB238B1" w14:textId="77777777" w:rsidR="00152A65" w:rsidRDefault="00152A65" w:rsidP="00152A65">
      <w:r>
        <w:t xml:space="preserve">The Programme has also helped embed social prescribing into national policy and health strategy, reinforcing the idea of non-clinical, community-based contributions to health and wellbeing. </w:t>
      </w:r>
    </w:p>
    <w:p w14:paraId="4635D9EF" w14:textId="77777777" w:rsidR="00152A65" w:rsidRPr="004B064C" w:rsidRDefault="00152A65" w:rsidP="00152A65">
      <w:pPr>
        <w:rPr>
          <w:b/>
          <w:bCs/>
        </w:rPr>
      </w:pPr>
      <w:r w:rsidRPr="004B064C">
        <w:rPr>
          <w:b/>
          <w:bCs/>
        </w:rPr>
        <w:t>Critical Analysis of Effectiveness</w:t>
      </w:r>
    </w:p>
    <w:p w14:paraId="1AF67494" w14:textId="77777777" w:rsidR="00152A65" w:rsidRDefault="00152A65" w:rsidP="00152A65">
      <w:r>
        <w:t>Strengths</w:t>
      </w:r>
    </w:p>
    <w:p w14:paraId="7BE30191" w14:textId="77777777" w:rsidR="00152A65" w:rsidRDefault="00152A65" w:rsidP="00152A65">
      <w:r>
        <w:t>The National Wellbeing Programme redefines success beyond GDP; by capturing data on quality of life, it provides policymakers with broader metrics to guide health, social, and economic policy. This can lead to more holistic policies that address mental health, social support, community cohesion, employment and other determinants of wellbeing.</w:t>
      </w:r>
    </w:p>
    <w:p w14:paraId="4EC01388" w14:textId="77777777" w:rsidR="00152A65" w:rsidRDefault="00152A65" w:rsidP="00152A65">
      <w:r>
        <w:lastRenderedPageBreak/>
        <w:t>Green Social Prescribing demonstrates concrete benefits: mental health improvements, better community engagement, and a cost-effective supplement (or alternative) to purely clinical treatments. For individuals with long term conditions, mental health needs, or social isolation, connecting with community groups or nature offers meaningful wellbeing support.</w:t>
      </w:r>
    </w:p>
    <w:p w14:paraId="39BA2BFD" w14:textId="77777777" w:rsidR="00152A65" w:rsidRDefault="00152A65" w:rsidP="00152A65"/>
    <w:p w14:paraId="36364BBF" w14:textId="1C1D3D52" w:rsidR="00152A65" w:rsidRDefault="00152A65" w:rsidP="00152A65">
      <w:r>
        <w:t xml:space="preserve">By embedding community-centred and preventative approaches, Green Social Prescribing and similar initiatives support health equity: they particularly reach underserved or vulnerable </w:t>
      </w:r>
      <w:r w:rsidR="007B028C">
        <w:t>populations and</w:t>
      </w:r>
      <w:r>
        <w:t xml:space="preserve"> may reduce reliance on burdensome or expensive clinical services.</w:t>
      </w:r>
    </w:p>
    <w:p w14:paraId="5C04B920" w14:textId="77777777" w:rsidR="00152A65" w:rsidRPr="004B064C" w:rsidRDefault="00152A65" w:rsidP="00152A65">
      <w:pPr>
        <w:rPr>
          <w:b/>
          <w:bCs/>
        </w:rPr>
      </w:pPr>
      <w:r w:rsidRPr="004B064C">
        <w:rPr>
          <w:b/>
          <w:bCs/>
        </w:rPr>
        <w:t>Limitations &amp; Challenges</w:t>
      </w:r>
    </w:p>
    <w:p w14:paraId="3C3ED931" w14:textId="77777777" w:rsidR="00152A65" w:rsidRDefault="00152A65" w:rsidP="00152A65">
      <w:r>
        <w:t>For the National Wellbeing Programme: while the measurement framework exists, translating it into consistent, effective policy action across all relevant sectors (health, housing, employment, social care) is difficult. Without strong integration, wellbeing metrics may remain an academic or symbolic exercise rather than driving real change.</w:t>
      </w:r>
    </w:p>
    <w:p w14:paraId="521EFB1A" w14:textId="7A748A7E" w:rsidR="00152A65" w:rsidRDefault="00152A65" w:rsidP="00152A65">
      <w:r>
        <w:t>For Green Social Prescribing: though uptake and early results are promising, long-term data on sustained health outcomes</w:t>
      </w:r>
      <w:r w:rsidR="003C3E73">
        <w:t>-</w:t>
      </w:r>
      <w:r>
        <w:t>especially physical health, chronic disease rates, health inequalities</w:t>
      </w:r>
      <w:r w:rsidR="003C3E73">
        <w:t>-</w:t>
      </w:r>
      <w:r>
        <w:t>are limited at present. Also, the programme depends on availability and accessibility of green or community spaces, which may be uneven across geographic or socio-economic lines.</w:t>
      </w:r>
    </w:p>
    <w:p w14:paraId="0993E72B" w14:textId="77777777" w:rsidR="00152A65" w:rsidRDefault="00152A65" w:rsidP="00152A65">
      <w:r>
        <w:t>Scaling these programmes nationally and equitably remains a challenge. Community engagement, funding, infrastructure (green spaces, transport, social services), and coordination between health, local authorities, and community organisations vary widely across the UK. This variability risks leaving some communities underserved.</w:t>
      </w:r>
    </w:p>
    <w:p w14:paraId="0A18247B" w14:textId="77777777" w:rsidR="00152A65" w:rsidRPr="004B064C" w:rsidRDefault="00152A65" w:rsidP="00152A65">
      <w:pPr>
        <w:rPr>
          <w:b/>
          <w:bCs/>
        </w:rPr>
      </w:pPr>
      <w:r w:rsidRPr="004B064C">
        <w:rPr>
          <w:b/>
          <w:bCs/>
        </w:rPr>
        <w:t>Recommendations for Improvement</w:t>
      </w:r>
    </w:p>
    <w:p w14:paraId="5B3C3D93" w14:textId="45210F5B" w:rsidR="00152A65" w:rsidRDefault="00152A65" w:rsidP="00152A65">
      <w:r>
        <w:t xml:space="preserve">1. Strengthen integration of wellbeing metrics into national policy. The wellbeing framework should inform budgets, planning, and strategy across multiple </w:t>
      </w:r>
      <w:proofErr w:type="gramStart"/>
      <w:r>
        <w:t>sectors  not</w:t>
      </w:r>
      <w:proofErr w:type="gramEnd"/>
      <w:r>
        <w:t xml:space="preserve"> just health, but housing, employment, urban planning, social care. That ensures wellbeing indicators drive resource allocation and interventions.</w:t>
      </w:r>
    </w:p>
    <w:p w14:paraId="311327C4" w14:textId="77777777" w:rsidR="00152A65" w:rsidRDefault="00152A65" w:rsidP="00152A65">
      <w:r>
        <w:t>2. Expand and sustain funding for community-based social prescribing and green-space initiatives. Government and local authorities should commit longer-term funding to ensure green social prescribing is not pilot-only but part of established health and community services.</w:t>
      </w:r>
    </w:p>
    <w:p w14:paraId="46E94B3E" w14:textId="77777777" w:rsidR="00152A65" w:rsidRDefault="00152A65" w:rsidP="00152A65">
      <w:r>
        <w:t xml:space="preserve">3. Ensure equitable access to green and community spaces. Invest in maintaining and improving green/blue spaces especially in deprived or urban areas; ensure safe, </w:t>
      </w:r>
      <w:r>
        <w:lastRenderedPageBreak/>
        <w:t>accessible outdoor spaces, and provide transport or digital support for people unable to reach them.</w:t>
      </w:r>
    </w:p>
    <w:p w14:paraId="7EF85679" w14:textId="77777777" w:rsidR="00152A65" w:rsidRDefault="00152A65" w:rsidP="00152A65">
      <w:r>
        <w:t>4. Monitor and evaluate long-term outcomes. Establish robust evaluation frameworks to track not just short-term mental wellbeing, but long-term physical health, chronic disease progression, health inequalities, and social outcomes (isolation, employment, community cohesion).</w:t>
      </w:r>
    </w:p>
    <w:p w14:paraId="181A4EB4" w14:textId="49CE66AD" w:rsidR="00152A65" w:rsidRDefault="00152A65" w:rsidP="00152A65">
      <w:r>
        <w:t xml:space="preserve">5. Promote community engagement and co-production. Involve local communities in designing and delivering wellbeing </w:t>
      </w:r>
      <w:proofErr w:type="gramStart"/>
      <w:r>
        <w:t>initiatives  ensuring</w:t>
      </w:r>
      <w:proofErr w:type="gramEnd"/>
      <w:r>
        <w:t xml:space="preserve"> programmes align with community needs, cultures, and contexts, which improves relevance, uptake, and sustainability.</w:t>
      </w:r>
    </w:p>
    <w:p w14:paraId="444A14D9" w14:textId="77777777" w:rsidR="00152A65" w:rsidRDefault="00152A65" w:rsidP="00152A65">
      <w:r>
        <w:t>6. Embed wellbeing in preventative health policies. Use social prescribing and community-centred approaches as part of preventative and public health strategies rather than only reactive medical care, reducing burden on clinical services and improving overall population health.</w:t>
      </w:r>
    </w:p>
    <w:p w14:paraId="0F13D31E" w14:textId="77777777" w:rsidR="00152A65" w:rsidRPr="00190579" w:rsidRDefault="00152A65" w:rsidP="00A4238A">
      <w:pPr>
        <w:jc w:val="both"/>
        <w:rPr>
          <w:color w:val="EE0000"/>
        </w:rPr>
      </w:pPr>
    </w:p>
    <w:p w14:paraId="3F152127" w14:textId="0E2894DF" w:rsidR="003F7D8A" w:rsidRDefault="003F7D8A" w:rsidP="001D7B67">
      <w:pPr>
        <w:pStyle w:val="Heading1"/>
        <w:rPr>
          <w:color w:val="EE0000"/>
        </w:rPr>
      </w:pPr>
      <w:bookmarkStart w:id="4" w:name="_Toc216307793"/>
      <w:r w:rsidRPr="003F7D8A">
        <w:t>Local wellbeing initiatives:</w:t>
      </w:r>
      <w:bookmarkEnd w:id="4"/>
      <w:r>
        <w:t xml:space="preserve"> </w:t>
      </w:r>
    </w:p>
    <w:p w14:paraId="44DACF29" w14:textId="66D4F822" w:rsidR="00050E75" w:rsidRPr="00050E75" w:rsidRDefault="00050E75" w:rsidP="00050E75">
      <w:r w:rsidRPr="00050E75">
        <w:t>Local initiatives translate national frameworks into community practice. Local health promotion programmes</w:t>
      </w:r>
      <w:r>
        <w:t>-</w:t>
      </w:r>
      <w:r w:rsidRPr="00050E75">
        <w:t>such as physical activity groups and smoking cessation</w:t>
      </w:r>
      <w:r>
        <w:t>-</w:t>
      </w:r>
      <w:r w:rsidRPr="00050E75">
        <w:t>are vital because, as Starfield (2011) notes, “primary care supports prevention and early intervention.”</w:t>
      </w:r>
    </w:p>
    <w:p w14:paraId="194A3A47" w14:textId="77777777" w:rsidR="00050E75" w:rsidRPr="00050E75" w:rsidRDefault="00050E75" w:rsidP="00050E75">
      <w:r w:rsidRPr="00050E75">
        <w:t>Sustainable development initiatives at the local level also promote wellbeing. Lang &amp; Rayner (2012) emphasise that “urban planning that supports active transport increases well-being,” highlighting the health benefits of green spaces and low-emission travel.</w:t>
      </w:r>
    </w:p>
    <w:p w14:paraId="4FAA7C3A" w14:textId="4E5EFF75" w:rsidR="00050E75" w:rsidRPr="00050E75" w:rsidRDefault="00050E75" w:rsidP="00050E75">
      <w:r w:rsidRPr="00050E75">
        <w:t xml:space="preserve">However, challenges </w:t>
      </w:r>
      <w:proofErr w:type="gramStart"/>
      <w:r w:rsidRPr="00050E75">
        <w:t>remain:</w:t>
      </w:r>
      <w:proofErr w:type="gramEnd"/>
      <w:r w:rsidRPr="00050E75">
        <w:t xml:space="preserve"> unequal access, funding limitations and variation in service quality. Braveman &amp; Gruskin (2003) argue that achieving equity requires targeted support for disadvantaged populations, underscoring the need for improved resource allocation.</w:t>
      </w:r>
    </w:p>
    <w:p w14:paraId="594FE508" w14:textId="77777777" w:rsidR="0000079B" w:rsidRPr="0000079B" w:rsidRDefault="0000079B" w:rsidP="0000079B">
      <w:pPr>
        <w:jc w:val="both"/>
        <w:rPr>
          <w:lang w:val="en-US"/>
        </w:rPr>
      </w:pPr>
      <w:r w:rsidRPr="0000079B">
        <w:rPr>
          <w:lang w:val="en-US"/>
        </w:rPr>
        <w:t xml:space="preserve">Research shows that Big Local improves mental wellbeing. A long-term study found that people who felt more involved in community decisions reported higher wellbeing (WWCW, 2020). Activities such as community </w:t>
      </w:r>
      <w:proofErr w:type="spellStart"/>
      <w:r w:rsidRPr="0000079B">
        <w:rPr>
          <w:lang w:val="en-US"/>
        </w:rPr>
        <w:t>centres</w:t>
      </w:r>
      <w:proofErr w:type="spellEnd"/>
      <w:r w:rsidRPr="0000079B">
        <w:rPr>
          <w:lang w:val="en-US"/>
        </w:rPr>
        <w:t>, support groups, and local events help reduce loneliness and build trust. These improvements help people feel safer and more connected. This supports the social determinants of health, which include social support, environment, and belonging (Local Trust, 2021).</w:t>
      </w:r>
    </w:p>
    <w:p w14:paraId="69123799" w14:textId="77777777" w:rsidR="0000079B" w:rsidRPr="0000079B" w:rsidRDefault="0000079B" w:rsidP="0000079B">
      <w:pPr>
        <w:jc w:val="both"/>
        <w:rPr>
          <w:lang w:val="en-US"/>
        </w:rPr>
      </w:pPr>
      <w:r w:rsidRPr="0000079B">
        <w:rPr>
          <w:lang w:val="en-US"/>
        </w:rPr>
        <w:t xml:space="preserve">However, the benefits are not equal for everyone. Some groups, such as men and people with higher education, reported greater improvements. Areas with low community </w:t>
      </w:r>
      <w:r w:rsidRPr="0000079B">
        <w:rPr>
          <w:lang w:val="en-US"/>
        </w:rPr>
        <w:lastRenderedPageBreak/>
        <w:t>engagement or fewer volunteers saw weaker results (WWCW, 2020). There is also limited data on long-term physical health outcomes.</w:t>
      </w:r>
    </w:p>
    <w:p w14:paraId="7AEBE4A9" w14:textId="77777777" w:rsidR="0000079B" w:rsidRPr="0000079B" w:rsidRDefault="0000079B" w:rsidP="0000079B">
      <w:pPr>
        <w:jc w:val="both"/>
        <w:rPr>
          <w:lang w:val="en-US"/>
        </w:rPr>
      </w:pPr>
      <w:r w:rsidRPr="0000079B">
        <w:rPr>
          <w:lang w:val="en-US"/>
        </w:rPr>
        <w:t xml:space="preserve">Another local initiative is the Better Mental Health Fund (BMHF). It was introduced in 2021 to help communities recover from COVID-19. It supported 40 local areas with high levels of deprivation (DHSC, 2021). Councils designed </w:t>
      </w:r>
      <w:proofErr w:type="spellStart"/>
      <w:r w:rsidRPr="0000079B">
        <w:rPr>
          <w:lang w:val="en-US"/>
        </w:rPr>
        <w:t>programmes</w:t>
      </w:r>
      <w:proofErr w:type="spellEnd"/>
      <w:r w:rsidRPr="0000079B">
        <w:rPr>
          <w:lang w:val="en-US"/>
        </w:rPr>
        <w:t xml:space="preserve"> based on local needs. Activities included walking groups, children’s mental health clubs, peer-support groups, and employment support.</w:t>
      </w:r>
    </w:p>
    <w:p w14:paraId="46B01FCE" w14:textId="77777777" w:rsidR="0000079B" w:rsidRPr="0000079B" w:rsidRDefault="0000079B" w:rsidP="0000079B">
      <w:pPr>
        <w:jc w:val="both"/>
        <w:rPr>
          <w:lang w:val="en-US"/>
        </w:rPr>
      </w:pPr>
      <w:r w:rsidRPr="0000079B">
        <w:rPr>
          <w:lang w:val="en-US"/>
        </w:rPr>
        <w:t xml:space="preserve">Evaluations show that the BMHF improved wellbeing. Many participants reported lower levels of depression, loneliness, and stress (DHSC, 2023). The </w:t>
      </w:r>
      <w:proofErr w:type="spellStart"/>
      <w:r w:rsidRPr="0000079B">
        <w:rPr>
          <w:lang w:val="en-US"/>
        </w:rPr>
        <w:t>programme</w:t>
      </w:r>
      <w:proofErr w:type="spellEnd"/>
      <w:r w:rsidRPr="0000079B">
        <w:rPr>
          <w:lang w:val="en-US"/>
        </w:rPr>
        <w:t xml:space="preserve"> supported vulnerable groups such as young people, ethnic minorities, and people with long-term health conditions. It also strengthened partnerships between councils, charities, and community groups.</w:t>
      </w:r>
    </w:p>
    <w:p w14:paraId="1EEE743F" w14:textId="77777777" w:rsidR="0000079B" w:rsidRPr="0000079B" w:rsidRDefault="0000079B" w:rsidP="0000079B">
      <w:pPr>
        <w:jc w:val="both"/>
        <w:rPr>
          <w:lang w:val="en-US"/>
        </w:rPr>
      </w:pPr>
      <w:r w:rsidRPr="0000079B">
        <w:rPr>
          <w:lang w:val="en-US"/>
        </w:rPr>
        <w:t xml:space="preserve">However, the </w:t>
      </w:r>
      <w:proofErr w:type="spellStart"/>
      <w:r w:rsidRPr="0000079B">
        <w:rPr>
          <w:lang w:val="en-US"/>
        </w:rPr>
        <w:t>programme</w:t>
      </w:r>
      <w:proofErr w:type="spellEnd"/>
      <w:r w:rsidRPr="0000079B">
        <w:rPr>
          <w:lang w:val="en-US"/>
        </w:rPr>
        <w:t xml:space="preserve"> lasted only one year, which limited long-term planning. Some councils had less capacity to deliver the work, leading to uneven results. Barriers such as digital exclusion and lack of transport also affected participation.</w:t>
      </w:r>
    </w:p>
    <w:p w14:paraId="3CEE5E8B" w14:textId="77777777" w:rsidR="0000079B" w:rsidRPr="0000079B" w:rsidRDefault="0000079B" w:rsidP="0000079B">
      <w:pPr>
        <w:jc w:val="both"/>
        <w:rPr>
          <w:lang w:val="en-US"/>
        </w:rPr>
      </w:pPr>
      <w:r w:rsidRPr="0000079B">
        <w:rPr>
          <w:lang w:val="en-US"/>
        </w:rPr>
        <w:t>Local wellbeing initiatives show strong potential. They improve mental health, build stronger communities, and reduce inequalities. However, long-term funding, better outreach, and stronger data collection would help increase their impact.</w:t>
      </w:r>
    </w:p>
    <w:p w14:paraId="7E7A8A7A" w14:textId="77777777" w:rsidR="00F006C9" w:rsidRPr="00D80B7E" w:rsidRDefault="00F006C9" w:rsidP="00A4238A">
      <w:pPr>
        <w:jc w:val="both"/>
        <w:rPr>
          <w:color w:val="EE0000"/>
          <w:lang w:val="en-US"/>
        </w:rPr>
      </w:pPr>
    </w:p>
    <w:p w14:paraId="4FA43B3C" w14:textId="727ADA4A" w:rsidR="003F7D8A" w:rsidRDefault="003F7D8A" w:rsidP="001D7B67">
      <w:pPr>
        <w:pStyle w:val="Heading1"/>
        <w:rPr>
          <w:color w:val="EE0000"/>
        </w:rPr>
      </w:pPr>
      <w:bookmarkStart w:id="5" w:name="_Toc216307794"/>
      <w:r w:rsidRPr="003F7D8A">
        <w:t>Conclusion:</w:t>
      </w:r>
      <w:bookmarkEnd w:id="5"/>
      <w:r>
        <w:t xml:space="preserve"> </w:t>
      </w:r>
    </w:p>
    <w:p w14:paraId="05AE5AFC" w14:textId="24269582" w:rsidR="00231F76" w:rsidRDefault="00231F76" w:rsidP="00231F76">
      <w:r>
        <w:t>The UK’s national wellbeing agenda via the National Wellbeing Programme and Green Social Prescribing represents a shift toward more holistic, preventative, and community</w:t>
      </w:r>
      <w:r w:rsidR="001F0078">
        <w:t xml:space="preserve"> </w:t>
      </w:r>
      <w:r>
        <w:t>centred approaches to health and quality of life. These initiatives expand the concept of health beyond disease treatment to social, mental, environmental, and community dimensions. While early evidence is promising, especially for mental health and social cohesion, reali</w:t>
      </w:r>
      <w:r w:rsidR="00884820">
        <w:t>s</w:t>
      </w:r>
      <w:r>
        <w:t>ing long-term benefits requires consistent funding, integration across policy sectors, equitable access, and rigorous evaluation. With these improvements, national wellbeing efforts can become a cornerstone of sustainable, equitable health and social development in the UK.</w:t>
      </w:r>
    </w:p>
    <w:p w14:paraId="52864FC0" w14:textId="77777777" w:rsidR="00231F76" w:rsidRDefault="00231F76" w:rsidP="00A4238A">
      <w:pPr>
        <w:jc w:val="both"/>
      </w:pPr>
    </w:p>
    <w:p w14:paraId="0FE9B404" w14:textId="77777777" w:rsidR="007E6CD2" w:rsidRDefault="007E6CD2" w:rsidP="00A4238A">
      <w:pPr>
        <w:jc w:val="both"/>
        <w:rPr>
          <w:b/>
          <w:bCs/>
        </w:rPr>
      </w:pPr>
    </w:p>
    <w:p w14:paraId="3C229278" w14:textId="77777777" w:rsidR="007E6CD2" w:rsidRDefault="007E6CD2" w:rsidP="00A4238A">
      <w:pPr>
        <w:jc w:val="both"/>
        <w:rPr>
          <w:b/>
          <w:bCs/>
        </w:rPr>
      </w:pPr>
    </w:p>
    <w:p w14:paraId="35504650" w14:textId="77777777" w:rsidR="007E6CD2" w:rsidRDefault="007E6CD2" w:rsidP="00A4238A">
      <w:pPr>
        <w:jc w:val="both"/>
        <w:rPr>
          <w:b/>
          <w:bCs/>
        </w:rPr>
      </w:pPr>
    </w:p>
    <w:p w14:paraId="7D6EBAEC" w14:textId="77777777" w:rsidR="007E6CD2" w:rsidRDefault="007E6CD2" w:rsidP="00A4238A">
      <w:pPr>
        <w:jc w:val="both"/>
        <w:rPr>
          <w:b/>
          <w:bCs/>
        </w:rPr>
      </w:pPr>
    </w:p>
    <w:p w14:paraId="5A819AF5" w14:textId="77777777" w:rsidR="007E6CD2" w:rsidRDefault="007E6CD2" w:rsidP="00A4238A">
      <w:pPr>
        <w:jc w:val="both"/>
        <w:rPr>
          <w:b/>
          <w:bCs/>
        </w:rPr>
      </w:pPr>
    </w:p>
    <w:p w14:paraId="53691305" w14:textId="7F124F66" w:rsidR="003F7D8A" w:rsidRDefault="003F7D8A" w:rsidP="001D7B67">
      <w:pPr>
        <w:pStyle w:val="Heading1"/>
      </w:pPr>
      <w:bookmarkStart w:id="6" w:name="_Toc216307795"/>
      <w:r w:rsidRPr="003F7D8A">
        <w:rPr>
          <w:b/>
          <w:bCs/>
        </w:rPr>
        <w:t>References:</w:t>
      </w:r>
      <w:bookmarkEnd w:id="6"/>
      <w:r>
        <w:t xml:space="preserve"> </w:t>
      </w:r>
    </w:p>
    <w:p w14:paraId="55E19522" w14:textId="77777777" w:rsidR="00A4238A" w:rsidRDefault="00A4238A" w:rsidP="00A4238A">
      <w:pPr>
        <w:jc w:val="both"/>
      </w:pPr>
    </w:p>
    <w:p w14:paraId="06A857B7" w14:textId="77777777" w:rsidR="00161988" w:rsidRPr="00BB6800" w:rsidRDefault="00161988" w:rsidP="0059673A">
      <w:pPr>
        <w:widowControl w:val="0"/>
        <w:autoSpaceDE w:val="0"/>
        <w:autoSpaceDN w:val="0"/>
        <w:adjustRightInd w:val="0"/>
        <w:spacing w:after="0" w:line="360" w:lineRule="auto"/>
        <w:rPr>
          <w:rFonts w:cs="Times New Roman"/>
          <w:kern w:val="0"/>
          <w:lang w:val="en-US"/>
        </w:rPr>
      </w:pPr>
      <w:r w:rsidRPr="00BB6800">
        <w:rPr>
          <w:rFonts w:cs="Times New Roman"/>
          <w:kern w:val="0"/>
          <w:lang w:val="en-US"/>
        </w:rPr>
        <w:t xml:space="preserve">Barry, Margaret M. “Generic Principles of Effective Mental Health Promotion.” </w:t>
      </w:r>
      <w:r w:rsidRPr="00BB6800">
        <w:rPr>
          <w:rFonts w:cs="Times New Roman"/>
          <w:i/>
          <w:iCs/>
          <w:kern w:val="0"/>
          <w:lang w:val="en-US"/>
        </w:rPr>
        <w:t>International Journal of Mental Health Promotion</w:t>
      </w:r>
      <w:r w:rsidRPr="00BB6800">
        <w:rPr>
          <w:rFonts w:cs="Times New Roman"/>
          <w:kern w:val="0"/>
          <w:lang w:val="en-US"/>
        </w:rPr>
        <w:t xml:space="preserve">, vol. 9, no. 2, May 2007, pp. 4–16, </w:t>
      </w:r>
      <w:hyperlink r:id="rId6" w:history="1">
        <w:r w:rsidRPr="00BB6800">
          <w:rPr>
            <w:rFonts w:cs="Times New Roman"/>
            <w:kern w:val="0"/>
            <w:lang w:val="en-US"/>
          </w:rPr>
          <w:t>https://doi.org/10.1080/14623730.2007.9721834</w:t>
        </w:r>
      </w:hyperlink>
      <w:r w:rsidRPr="00BB6800">
        <w:rPr>
          <w:rFonts w:cs="Times New Roman"/>
          <w:kern w:val="0"/>
          <w:lang w:val="en-US"/>
        </w:rPr>
        <w:t>. Accessed 10 Dec. 2025.</w:t>
      </w:r>
    </w:p>
    <w:p w14:paraId="27EB64E3" w14:textId="77777777" w:rsidR="0059673A" w:rsidRDefault="0059673A" w:rsidP="0059673A">
      <w:pPr>
        <w:widowControl w:val="0"/>
        <w:autoSpaceDE w:val="0"/>
        <w:autoSpaceDN w:val="0"/>
        <w:adjustRightInd w:val="0"/>
        <w:spacing w:after="0" w:line="360" w:lineRule="auto"/>
        <w:rPr>
          <w:rFonts w:cs="Times New Roman"/>
          <w:kern w:val="0"/>
          <w:lang w:val="en-US"/>
        </w:rPr>
      </w:pPr>
    </w:p>
    <w:p w14:paraId="0339B378" w14:textId="3CB93322" w:rsidR="00161988" w:rsidRPr="00BB6800" w:rsidRDefault="00161988" w:rsidP="0059673A">
      <w:pPr>
        <w:widowControl w:val="0"/>
        <w:autoSpaceDE w:val="0"/>
        <w:autoSpaceDN w:val="0"/>
        <w:adjustRightInd w:val="0"/>
        <w:spacing w:after="0" w:line="360" w:lineRule="auto"/>
        <w:rPr>
          <w:rFonts w:cs="Times New Roman"/>
          <w:kern w:val="0"/>
          <w:lang w:val="en-US"/>
        </w:rPr>
      </w:pPr>
      <w:r w:rsidRPr="00BB6800">
        <w:rPr>
          <w:rFonts w:cs="Times New Roman"/>
          <w:kern w:val="0"/>
          <w:lang w:val="en-US"/>
        </w:rPr>
        <w:t xml:space="preserve">Braveman, P, and S Gruskin. “Defining Equity in Health.” </w:t>
      </w:r>
      <w:r w:rsidRPr="00BB6800">
        <w:rPr>
          <w:rFonts w:cs="Times New Roman"/>
          <w:i/>
          <w:iCs/>
          <w:kern w:val="0"/>
          <w:lang w:val="en-US"/>
        </w:rPr>
        <w:t>Journal of Epidemiology &amp; Community Health</w:t>
      </w:r>
      <w:r w:rsidRPr="00BB6800">
        <w:rPr>
          <w:rFonts w:cs="Times New Roman"/>
          <w:kern w:val="0"/>
          <w:lang w:val="en-US"/>
        </w:rPr>
        <w:t xml:space="preserve">, vol. 57, no. 4, 1 Apr. 2003, pp. 254–258, jech.bmj.com/content/57/4/254, </w:t>
      </w:r>
      <w:hyperlink r:id="rId7" w:history="1">
        <w:r w:rsidRPr="00BB6800">
          <w:rPr>
            <w:rFonts w:cs="Times New Roman"/>
            <w:kern w:val="0"/>
            <w:lang w:val="en-US"/>
          </w:rPr>
          <w:t>https://doi.org/10.1136/jech.57.4.254</w:t>
        </w:r>
      </w:hyperlink>
      <w:r w:rsidRPr="00BB6800">
        <w:rPr>
          <w:rFonts w:cs="Times New Roman"/>
          <w:kern w:val="0"/>
          <w:lang w:val="en-US"/>
        </w:rPr>
        <w:t>.</w:t>
      </w:r>
    </w:p>
    <w:p w14:paraId="2A34C8FA" w14:textId="77777777" w:rsidR="0059673A" w:rsidRDefault="0059673A" w:rsidP="0059673A">
      <w:pPr>
        <w:widowControl w:val="0"/>
        <w:autoSpaceDE w:val="0"/>
        <w:autoSpaceDN w:val="0"/>
        <w:adjustRightInd w:val="0"/>
        <w:spacing w:after="0" w:line="360" w:lineRule="auto"/>
        <w:rPr>
          <w:rFonts w:cs="Times New Roman"/>
          <w:kern w:val="0"/>
          <w:lang w:val="en-US"/>
        </w:rPr>
      </w:pPr>
    </w:p>
    <w:p w14:paraId="57A6A79B" w14:textId="0C8A2186" w:rsidR="00161988" w:rsidRPr="00BB6800" w:rsidRDefault="00161988" w:rsidP="0059673A">
      <w:pPr>
        <w:widowControl w:val="0"/>
        <w:autoSpaceDE w:val="0"/>
        <w:autoSpaceDN w:val="0"/>
        <w:adjustRightInd w:val="0"/>
        <w:spacing w:after="0" w:line="360" w:lineRule="auto"/>
        <w:rPr>
          <w:rFonts w:cs="Times New Roman"/>
          <w:kern w:val="0"/>
          <w:lang w:val="en-US"/>
        </w:rPr>
      </w:pPr>
      <w:r w:rsidRPr="00BB6800">
        <w:rPr>
          <w:rFonts w:cs="Times New Roman"/>
          <w:kern w:val="0"/>
          <w:lang w:val="en-US"/>
        </w:rPr>
        <w:t xml:space="preserve">Carrera, </w:t>
      </w:r>
      <w:proofErr w:type="spellStart"/>
      <w:r w:rsidRPr="00BB6800">
        <w:rPr>
          <w:rFonts w:cs="Times New Roman"/>
          <w:kern w:val="0"/>
          <w:lang w:val="en-US"/>
        </w:rPr>
        <w:t>Pricivel</w:t>
      </w:r>
      <w:proofErr w:type="spellEnd"/>
      <w:r w:rsidRPr="00BB6800">
        <w:rPr>
          <w:rFonts w:cs="Times New Roman"/>
          <w:kern w:val="0"/>
          <w:lang w:val="en-US"/>
        </w:rPr>
        <w:t xml:space="preserve"> Melendez. “The Difficulty of Making Healthy Choices and “Health in All Policies.”” </w:t>
      </w:r>
      <w:r w:rsidRPr="00BB6800">
        <w:rPr>
          <w:rFonts w:cs="Times New Roman"/>
          <w:i/>
          <w:iCs/>
          <w:kern w:val="0"/>
          <w:lang w:val="en-US"/>
        </w:rPr>
        <w:t>Bulletin of the World Health Organization</w:t>
      </w:r>
      <w:r w:rsidRPr="00BB6800">
        <w:rPr>
          <w:rFonts w:cs="Times New Roman"/>
          <w:kern w:val="0"/>
          <w:lang w:val="en-US"/>
        </w:rPr>
        <w:t xml:space="preserve">, vol. 92, no. 3, 1 Mar. 2014, pp. 154–154, </w:t>
      </w:r>
      <w:hyperlink r:id="rId8" w:history="1">
        <w:r w:rsidRPr="00BB6800">
          <w:rPr>
            <w:rFonts w:cs="Times New Roman"/>
            <w:kern w:val="0"/>
            <w:lang w:val="en-US"/>
          </w:rPr>
          <w:t>https://doi.org/10.2471/blt.13.121673</w:t>
        </w:r>
      </w:hyperlink>
      <w:r w:rsidRPr="00BB6800">
        <w:rPr>
          <w:rFonts w:cs="Times New Roman"/>
          <w:kern w:val="0"/>
          <w:lang w:val="en-US"/>
        </w:rPr>
        <w:t>. Accessed 13 Oct. 2019.</w:t>
      </w:r>
    </w:p>
    <w:p w14:paraId="47B0F9B4" w14:textId="77777777" w:rsidR="0059673A" w:rsidRDefault="0059673A" w:rsidP="00B30540">
      <w:pPr>
        <w:spacing w:line="360" w:lineRule="auto"/>
      </w:pPr>
    </w:p>
    <w:p w14:paraId="7A98A61E" w14:textId="460EFA9C" w:rsidR="00BD411C" w:rsidRPr="002D4630" w:rsidRDefault="00BD411C" w:rsidP="00B30540">
      <w:pPr>
        <w:spacing w:line="360" w:lineRule="auto"/>
      </w:pPr>
      <w:r w:rsidRPr="002D4630">
        <w:t xml:space="preserve">Department of Health and Social Care (DHSC) (2021) </w:t>
      </w:r>
      <w:r w:rsidRPr="002D4630">
        <w:rPr>
          <w:i/>
          <w:iCs/>
        </w:rPr>
        <w:t xml:space="preserve">Better Mental Health Fund: Local </w:t>
      </w:r>
      <w:r w:rsidR="0059673A">
        <w:rPr>
          <w:i/>
          <w:iCs/>
        </w:rPr>
        <w:t xml:space="preserve">     </w:t>
      </w:r>
      <w:r w:rsidRPr="002D4630">
        <w:rPr>
          <w:i/>
          <w:iCs/>
        </w:rPr>
        <w:t>authority guidance</w:t>
      </w:r>
      <w:r w:rsidRPr="002D4630">
        <w:t xml:space="preserve">. Available at: </w:t>
      </w:r>
      <w:hyperlink r:id="rId9" w:tgtFrame="_new" w:history="1">
        <w:r w:rsidRPr="002D4630">
          <w:rPr>
            <w:rStyle w:val="Hyperlink"/>
          </w:rPr>
          <w:t>https://www.gov.uk/government/publications/better-mental-health-fund-guidance</w:t>
        </w:r>
      </w:hyperlink>
      <w:r w:rsidRPr="002D4630">
        <w:t xml:space="preserve"> (Accessed: 10 December 2025).</w:t>
      </w:r>
    </w:p>
    <w:p w14:paraId="1BC7442D" w14:textId="77777777" w:rsidR="0059673A" w:rsidRDefault="0059673A" w:rsidP="00B30540">
      <w:pPr>
        <w:spacing w:line="360" w:lineRule="auto"/>
      </w:pPr>
    </w:p>
    <w:p w14:paraId="4D29CA2E" w14:textId="6B684FB8" w:rsidR="00BD411C" w:rsidRPr="00BB6800" w:rsidRDefault="00BD411C" w:rsidP="00B30540">
      <w:pPr>
        <w:spacing w:line="360" w:lineRule="auto"/>
      </w:pPr>
      <w:r w:rsidRPr="002D4630">
        <w:t xml:space="preserve">Department of Health and Social Care (DHSC) (2023) </w:t>
      </w:r>
      <w:r w:rsidRPr="002D4630">
        <w:rPr>
          <w:i/>
          <w:iCs/>
        </w:rPr>
        <w:t>Evaluation of the Better Mental Health Fund: Final report</w:t>
      </w:r>
      <w:r w:rsidRPr="002D4630">
        <w:t xml:space="preserve">. Available at: </w:t>
      </w:r>
      <w:hyperlink r:id="rId10" w:tgtFrame="_new" w:history="1">
        <w:r w:rsidRPr="002D4630">
          <w:rPr>
            <w:rStyle w:val="Hyperlink"/>
          </w:rPr>
          <w:t>https://www.gov.uk/government/publications/better-mental-health-fund-evaluation</w:t>
        </w:r>
      </w:hyperlink>
      <w:r w:rsidRPr="002D4630">
        <w:t xml:space="preserve"> (Accessed: 10 December 2025).</w:t>
      </w:r>
    </w:p>
    <w:p w14:paraId="7E1AD0C4" w14:textId="77777777" w:rsidR="0059673A" w:rsidRDefault="0059673A" w:rsidP="0059673A">
      <w:pPr>
        <w:widowControl w:val="0"/>
        <w:autoSpaceDE w:val="0"/>
        <w:autoSpaceDN w:val="0"/>
        <w:adjustRightInd w:val="0"/>
        <w:spacing w:after="0" w:line="360" w:lineRule="auto"/>
        <w:rPr>
          <w:rFonts w:cs="Times New Roman"/>
          <w:kern w:val="0"/>
          <w:lang w:val="en-US"/>
        </w:rPr>
      </w:pPr>
    </w:p>
    <w:p w14:paraId="2F78DB2D" w14:textId="468F2F6A" w:rsidR="00161988" w:rsidRPr="00BB6800" w:rsidRDefault="00161988" w:rsidP="0059673A">
      <w:pPr>
        <w:widowControl w:val="0"/>
        <w:autoSpaceDE w:val="0"/>
        <w:autoSpaceDN w:val="0"/>
        <w:adjustRightInd w:val="0"/>
        <w:spacing w:after="0" w:line="360" w:lineRule="auto"/>
        <w:rPr>
          <w:rFonts w:cs="Times New Roman"/>
          <w:kern w:val="0"/>
          <w:lang w:val="en-US"/>
        </w:rPr>
      </w:pPr>
      <w:r w:rsidRPr="00BB6800">
        <w:rPr>
          <w:rFonts w:cs="Times New Roman"/>
          <w:kern w:val="0"/>
          <w:lang w:val="en-US"/>
        </w:rPr>
        <w:t xml:space="preserve">Kaplan, </w:t>
      </w:r>
      <w:proofErr w:type="gramStart"/>
      <w:r w:rsidRPr="00BB6800">
        <w:rPr>
          <w:rFonts w:cs="Times New Roman"/>
          <w:kern w:val="0"/>
          <w:lang w:val="en-US"/>
        </w:rPr>
        <w:t>George .</w:t>
      </w:r>
      <w:proofErr w:type="gramEnd"/>
      <w:r w:rsidRPr="00BB6800">
        <w:rPr>
          <w:rFonts w:cs="Times New Roman"/>
          <w:kern w:val="0"/>
          <w:lang w:val="en-US"/>
        </w:rPr>
        <w:t xml:space="preserve"> “(PDF) Social Determinants of Health, 2nd Edition. M Marmot and R Wilkinson (Eds).” </w:t>
      </w:r>
      <w:r w:rsidRPr="00BB6800">
        <w:rPr>
          <w:rFonts w:cs="Times New Roman"/>
          <w:i/>
          <w:iCs/>
          <w:kern w:val="0"/>
          <w:lang w:val="en-US"/>
        </w:rPr>
        <w:t>ResearchGate</w:t>
      </w:r>
      <w:r w:rsidRPr="00BB6800">
        <w:rPr>
          <w:rFonts w:cs="Times New Roman"/>
          <w:kern w:val="0"/>
          <w:lang w:val="en-US"/>
        </w:rPr>
        <w:t>, Aug. 206AD, www.researchgate.net/publication/6938831_Social_Determinants_of_Health_2nd_Edition_M_Marmot_and_R_Wilkinson_eds.</w:t>
      </w:r>
    </w:p>
    <w:p w14:paraId="4396EAC0" w14:textId="77777777" w:rsidR="0059673A" w:rsidRDefault="0059673A" w:rsidP="0059673A">
      <w:pPr>
        <w:widowControl w:val="0"/>
        <w:autoSpaceDE w:val="0"/>
        <w:autoSpaceDN w:val="0"/>
        <w:adjustRightInd w:val="0"/>
        <w:spacing w:after="0" w:line="360" w:lineRule="auto"/>
        <w:rPr>
          <w:rFonts w:cs="Times New Roman"/>
          <w:kern w:val="0"/>
          <w:lang w:val="en-US"/>
        </w:rPr>
      </w:pPr>
    </w:p>
    <w:p w14:paraId="4A7D0D1C" w14:textId="65C7F88B" w:rsidR="00161988" w:rsidRPr="00BB6800" w:rsidRDefault="00161988" w:rsidP="0059673A">
      <w:pPr>
        <w:widowControl w:val="0"/>
        <w:autoSpaceDE w:val="0"/>
        <w:autoSpaceDN w:val="0"/>
        <w:adjustRightInd w:val="0"/>
        <w:spacing w:after="0" w:line="360" w:lineRule="auto"/>
        <w:rPr>
          <w:rFonts w:cs="Times New Roman"/>
          <w:kern w:val="0"/>
          <w:lang w:val="en-US"/>
        </w:rPr>
      </w:pPr>
      <w:r w:rsidRPr="00BB6800">
        <w:rPr>
          <w:rFonts w:cs="Times New Roman"/>
          <w:kern w:val="0"/>
          <w:lang w:val="en-US"/>
        </w:rPr>
        <w:lastRenderedPageBreak/>
        <w:t xml:space="preserve">Kickbusch, Ilona, and David Eric Gleicher. “Governance for Health in the 21st </w:t>
      </w:r>
      <w:proofErr w:type="gramStart"/>
      <w:r w:rsidRPr="00BB6800">
        <w:rPr>
          <w:rFonts w:cs="Times New Roman"/>
          <w:kern w:val="0"/>
          <w:lang w:val="en-US"/>
        </w:rPr>
        <w:t>Century :</w:t>
      </w:r>
      <w:proofErr w:type="gramEnd"/>
      <w:r w:rsidRPr="00BB6800">
        <w:rPr>
          <w:rFonts w:cs="Times New Roman"/>
          <w:kern w:val="0"/>
          <w:lang w:val="en-US"/>
        </w:rPr>
        <w:t xml:space="preserve"> A Study Conducted for the WHO Regional Office for Europe.” </w:t>
      </w:r>
      <w:r w:rsidRPr="00BB6800">
        <w:rPr>
          <w:rFonts w:cs="Times New Roman"/>
          <w:i/>
          <w:iCs/>
          <w:kern w:val="0"/>
          <w:lang w:val="en-US"/>
        </w:rPr>
        <w:t>Graduate Institute Geneva Institutional Repository (Graduate Institute of International and Development Studies)</w:t>
      </w:r>
      <w:r w:rsidRPr="00BB6800">
        <w:rPr>
          <w:rFonts w:cs="Times New Roman"/>
          <w:kern w:val="0"/>
          <w:lang w:val="en-US"/>
        </w:rPr>
        <w:t>, 1 Jan. 2011. Accessed 10 Dec. 2025.</w:t>
      </w:r>
    </w:p>
    <w:p w14:paraId="397ACB43" w14:textId="77777777" w:rsidR="0059673A" w:rsidRDefault="0059673A" w:rsidP="0059673A">
      <w:pPr>
        <w:widowControl w:val="0"/>
        <w:autoSpaceDE w:val="0"/>
        <w:autoSpaceDN w:val="0"/>
        <w:adjustRightInd w:val="0"/>
        <w:spacing w:after="0" w:line="360" w:lineRule="auto"/>
        <w:rPr>
          <w:rFonts w:cs="Times New Roman"/>
          <w:kern w:val="0"/>
          <w:lang w:val="en-US"/>
        </w:rPr>
      </w:pPr>
    </w:p>
    <w:p w14:paraId="3A6CDB1E" w14:textId="0FB8A411" w:rsidR="00161988" w:rsidRPr="00BB6800" w:rsidRDefault="00161988" w:rsidP="0059673A">
      <w:pPr>
        <w:widowControl w:val="0"/>
        <w:autoSpaceDE w:val="0"/>
        <w:autoSpaceDN w:val="0"/>
        <w:adjustRightInd w:val="0"/>
        <w:spacing w:after="0" w:line="360" w:lineRule="auto"/>
        <w:rPr>
          <w:rFonts w:cs="Times New Roman"/>
          <w:kern w:val="0"/>
          <w:lang w:val="en-US"/>
        </w:rPr>
      </w:pPr>
      <w:r w:rsidRPr="00BB6800">
        <w:rPr>
          <w:rFonts w:cs="Times New Roman"/>
          <w:kern w:val="0"/>
          <w:lang w:val="en-US"/>
        </w:rPr>
        <w:t xml:space="preserve">Lang, T., and G. Rayner. “Ecological Public Health: The 21st Century’s Big Idea? An Essay by Tim Lang and Geof Rayner.” </w:t>
      </w:r>
      <w:r w:rsidRPr="00BB6800">
        <w:rPr>
          <w:rFonts w:cs="Times New Roman"/>
          <w:i/>
          <w:iCs/>
          <w:kern w:val="0"/>
          <w:lang w:val="en-US"/>
        </w:rPr>
        <w:t>BMJ</w:t>
      </w:r>
      <w:r w:rsidRPr="00BB6800">
        <w:rPr>
          <w:rFonts w:cs="Times New Roman"/>
          <w:kern w:val="0"/>
          <w:lang w:val="en-US"/>
        </w:rPr>
        <w:t xml:space="preserve">, vol. 345, no. aug21 1, 21 Aug. 2012, pp. e5466–e5466, </w:t>
      </w:r>
      <w:hyperlink r:id="rId11" w:history="1">
        <w:r w:rsidRPr="00BB6800">
          <w:rPr>
            <w:rFonts w:cs="Times New Roman"/>
            <w:kern w:val="0"/>
            <w:lang w:val="en-US"/>
          </w:rPr>
          <w:t>https://doi.org/10.1136/bmj.e5466</w:t>
        </w:r>
      </w:hyperlink>
      <w:r w:rsidRPr="00BB6800">
        <w:rPr>
          <w:rFonts w:cs="Times New Roman"/>
          <w:kern w:val="0"/>
          <w:lang w:val="en-US"/>
        </w:rPr>
        <w:t>.</w:t>
      </w:r>
    </w:p>
    <w:p w14:paraId="1351B23E" w14:textId="77777777" w:rsidR="0059673A" w:rsidRDefault="0059673A" w:rsidP="00B30540">
      <w:pPr>
        <w:spacing w:line="360" w:lineRule="auto"/>
      </w:pPr>
    </w:p>
    <w:p w14:paraId="3D6A3E55" w14:textId="36D48DD3" w:rsidR="0069476C" w:rsidRPr="00F6488D" w:rsidRDefault="0069476C" w:rsidP="00B30540">
      <w:pPr>
        <w:spacing w:line="360" w:lineRule="auto"/>
      </w:pPr>
      <w:r w:rsidRPr="00F6488D">
        <w:t xml:space="preserve">Local Trust (2019) </w:t>
      </w:r>
      <w:r w:rsidRPr="00F6488D">
        <w:rPr>
          <w:i/>
          <w:iCs/>
        </w:rPr>
        <w:t>Big Local: Community-led change</w:t>
      </w:r>
      <w:r w:rsidRPr="00F6488D">
        <w:t xml:space="preserve">. Available at: </w:t>
      </w:r>
      <w:hyperlink r:id="rId12" w:tgtFrame="_new" w:history="1">
        <w:r w:rsidRPr="00F6488D">
          <w:rPr>
            <w:rStyle w:val="Hyperlink"/>
          </w:rPr>
          <w:t>https://localtrust.org.uk</w:t>
        </w:r>
      </w:hyperlink>
      <w:r w:rsidRPr="00F6488D">
        <w:t xml:space="preserve"> (Accessed: 10 December 2025).</w:t>
      </w:r>
    </w:p>
    <w:p w14:paraId="02C511B7" w14:textId="77777777" w:rsidR="0059673A" w:rsidRDefault="0059673A" w:rsidP="00B30540">
      <w:pPr>
        <w:spacing w:line="360" w:lineRule="auto"/>
      </w:pPr>
    </w:p>
    <w:p w14:paraId="2FE60EA2" w14:textId="402FBF27" w:rsidR="0069476C" w:rsidRPr="00F6488D" w:rsidRDefault="0069476C" w:rsidP="00B30540">
      <w:pPr>
        <w:spacing w:line="360" w:lineRule="auto"/>
      </w:pPr>
      <w:r w:rsidRPr="00F6488D">
        <w:t xml:space="preserve">Local Trust (2021) </w:t>
      </w:r>
      <w:r w:rsidRPr="00F6488D">
        <w:rPr>
          <w:i/>
          <w:iCs/>
        </w:rPr>
        <w:t>The impact of community-led action on wellbeing</w:t>
      </w:r>
      <w:r w:rsidRPr="00F6488D">
        <w:t xml:space="preserve">. Available at: </w:t>
      </w:r>
      <w:hyperlink r:id="rId13" w:tgtFrame="_new" w:history="1">
        <w:r w:rsidRPr="00F6488D">
          <w:rPr>
            <w:rStyle w:val="Hyperlink"/>
          </w:rPr>
          <w:t>https://localtrust.org.uk</w:t>
        </w:r>
      </w:hyperlink>
      <w:r w:rsidRPr="00F6488D">
        <w:t xml:space="preserve"> (Accessed: 10 December 2025).</w:t>
      </w:r>
    </w:p>
    <w:p w14:paraId="45785242" w14:textId="77777777" w:rsidR="0059673A" w:rsidRDefault="0059673A" w:rsidP="0059673A">
      <w:pPr>
        <w:widowControl w:val="0"/>
        <w:autoSpaceDE w:val="0"/>
        <w:autoSpaceDN w:val="0"/>
        <w:adjustRightInd w:val="0"/>
        <w:spacing w:after="0" w:line="360" w:lineRule="auto"/>
        <w:rPr>
          <w:rFonts w:cs="Times New Roman"/>
          <w:kern w:val="0"/>
          <w:lang w:val="en-US"/>
        </w:rPr>
      </w:pPr>
    </w:p>
    <w:p w14:paraId="7D1ECF9B" w14:textId="5D454516" w:rsidR="00161988" w:rsidRPr="00BB6800" w:rsidRDefault="00161988" w:rsidP="0059673A">
      <w:pPr>
        <w:widowControl w:val="0"/>
        <w:autoSpaceDE w:val="0"/>
        <w:autoSpaceDN w:val="0"/>
        <w:adjustRightInd w:val="0"/>
        <w:spacing w:after="0" w:line="360" w:lineRule="auto"/>
        <w:rPr>
          <w:rFonts w:cs="Times New Roman"/>
          <w:kern w:val="0"/>
          <w:lang w:val="en-US"/>
        </w:rPr>
      </w:pPr>
      <w:r w:rsidRPr="00BB6800">
        <w:rPr>
          <w:rFonts w:cs="Times New Roman"/>
          <w:kern w:val="0"/>
          <w:lang w:val="en-US"/>
        </w:rPr>
        <w:t xml:space="preserve">Marmot, Michael. “The Health Gap: The Challenge of an Unequal World: The Argument.” </w:t>
      </w:r>
      <w:r w:rsidRPr="00BB6800">
        <w:rPr>
          <w:rFonts w:cs="Times New Roman"/>
          <w:i/>
          <w:iCs/>
          <w:kern w:val="0"/>
          <w:lang w:val="en-US"/>
        </w:rPr>
        <w:t>International Journal of Epidemiology</w:t>
      </w:r>
      <w:r w:rsidRPr="00BB6800">
        <w:rPr>
          <w:rFonts w:cs="Times New Roman"/>
          <w:kern w:val="0"/>
          <w:lang w:val="en-US"/>
        </w:rPr>
        <w:t xml:space="preserve">, vol. 46, no. 4, 1 Aug. 2017, pp. 1312–1318, </w:t>
      </w:r>
      <w:hyperlink r:id="rId14" w:history="1">
        <w:r w:rsidR="00CC4FF2" w:rsidRPr="00BB6800">
          <w:rPr>
            <w:rStyle w:val="Hyperlink"/>
            <w:rFonts w:cs="Times New Roman"/>
            <w:kern w:val="0"/>
            <w:lang w:val="en-US"/>
          </w:rPr>
          <w:t>www.ncbi.nlm.nih.gov/pmc/articles/PMC5837404/</w:t>
        </w:r>
      </w:hyperlink>
      <w:r w:rsidRPr="00BB6800">
        <w:rPr>
          <w:rFonts w:cs="Times New Roman"/>
          <w:kern w:val="0"/>
          <w:lang w:val="en-US"/>
        </w:rPr>
        <w:t>,</w:t>
      </w:r>
      <w:r w:rsidR="00CC4FF2" w:rsidRPr="00BB6800">
        <w:rPr>
          <w:rFonts w:cs="Times New Roman"/>
          <w:kern w:val="0"/>
          <w:lang w:val="en-US"/>
        </w:rPr>
        <w:t xml:space="preserve"> </w:t>
      </w:r>
      <w:hyperlink r:id="rId15" w:history="1">
        <w:r w:rsidRPr="00BB6800">
          <w:rPr>
            <w:rFonts w:cs="Times New Roman"/>
            <w:kern w:val="0"/>
            <w:lang w:val="en-US"/>
          </w:rPr>
          <w:t>https://doi.org/10.1093/ije/dyx163</w:t>
        </w:r>
      </w:hyperlink>
      <w:r w:rsidRPr="00BB6800">
        <w:rPr>
          <w:rFonts w:cs="Times New Roman"/>
          <w:kern w:val="0"/>
          <w:lang w:val="en-US"/>
        </w:rPr>
        <w:t>.</w:t>
      </w:r>
    </w:p>
    <w:p w14:paraId="5FBBB764" w14:textId="77777777" w:rsidR="0059673A" w:rsidRDefault="0059673A" w:rsidP="0059673A">
      <w:pPr>
        <w:widowControl w:val="0"/>
        <w:autoSpaceDE w:val="0"/>
        <w:autoSpaceDN w:val="0"/>
        <w:adjustRightInd w:val="0"/>
        <w:spacing w:after="0" w:line="360" w:lineRule="auto"/>
        <w:rPr>
          <w:rFonts w:cs="Times New Roman"/>
          <w:kern w:val="0"/>
          <w:lang w:val="en-US"/>
        </w:rPr>
      </w:pPr>
    </w:p>
    <w:p w14:paraId="220F78FA" w14:textId="33F882B9" w:rsidR="00161988" w:rsidRPr="00BB6800" w:rsidRDefault="00161988" w:rsidP="0059673A">
      <w:pPr>
        <w:widowControl w:val="0"/>
        <w:autoSpaceDE w:val="0"/>
        <w:autoSpaceDN w:val="0"/>
        <w:adjustRightInd w:val="0"/>
        <w:spacing w:after="0" w:line="360" w:lineRule="auto"/>
        <w:rPr>
          <w:rFonts w:cs="Times New Roman"/>
          <w:kern w:val="0"/>
          <w:lang w:val="en-US"/>
        </w:rPr>
      </w:pPr>
      <w:proofErr w:type="spellStart"/>
      <w:r w:rsidRPr="00BB6800">
        <w:rPr>
          <w:rFonts w:cs="Times New Roman"/>
          <w:kern w:val="0"/>
          <w:lang w:val="en-US"/>
        </w:rPr>
        <w:t>Nutbeam</w:t>
      </w:r>
      <w:proofErr w:type="spellEnd"/>
      <w:r w:rsidRPr="00BB6800">
        <w:rPr>
          <w:rFonts w:cs="Times New Roman"/>
          <w:kern w:val="0"/>
          <w:lang w:val="en-US"/>
        </w:rPr>
        <w:t xml:space="preserve">, Don. “Health Literacy as a Public Health Goal: A Challenge for Contemporary Health Education and Communication Strategies into the 21st Century.” </w:t>
      </w:r>
      <w:r w:rsidRPr="00BB6800">
        <w:rPr>
          <w:rFonts w:cs="Times New Roman"/>
          <w:i/>
          <w:iCs/>
          <w:kern w:val="0"/>
          <w:lang w:val="en-US"/>
        </w:rPr>
        <w:t>Health Promotion International</w:t>
      </w:r>
      <w:r w:rsidRPr="00BB6800">
        <w:rPr>
          <w:rFonts w:cs="Times New Roman"/>
          <w:kern w:val="0"/>
          <w:lang w:val="en-US"/>
        </w:rPr>
        <w:t>, vol. 15, no. 3, 2000, pp. 259–267, academic.oup.com/</w:t>
      </w:r>
      <w:proofErr w:type="spellStart"/>
      <w:r w:rsidRPr="00BB6800">
        <w:rPr>
          <w:rFonts w:cs="Times New Roman"/>
          <w:kern w:val="0"/>
          <w:lang w:val="en-US"/>
        </w:rPr>
        <w:t>heapro</w:t>
      </w:r>
      <w:proofErr w:type="spellEnd"/>
      <w:r w:rsidRPr="00BB6800">
        <w:rPr>
          <w:rFonts w:cs="Times New Roman"/>
          <w:kern w:val="0"/>
          <w:lang w:val="en-US"/>
        </w:rPr>
        <w:t xml:space="preserve">/article/15/3/259/551108, </w:t>
      </w:r>
      <w:hyperlink r:id="rId16" w:history="1">
        <w:r w:rsidRPr="00BB6800">
          <w:rPr>
            <w:rFonts w:cs="Times New Roman"/>
            <w:kern w:val="0"/>
            <w:lang w:val="en-US"/>
          </w:rPr>
          <w:t>https://doi.org/10.1093/heapro/15.3.259</w:t>
        </w:r>
      </w:hyperlink>
      <w:r w:rsidRPr="00BB6800">
        <w:rPr>
          <w:rFonts w:cs="Times New Roman"/>
          <w:kern w:val="0"/>
          <w:lang w:val="en-US"/>
        </w:rPr>
        <w:t>.</w:t>
      </w:r>
    </w:p>
    <w:p w14:paraId="6120DCE4" w14:textId="77777777" w:rsidR="0059673A" w:rsidRDefault="0059673A" w:rsidP="0059673A">
      <w:pPr>
        <w:widowControl w:val="0"/>
        <w:autoSpaceDE w:val="0"/>
        <w:autoSpaceDN w:val="0"/>
        <w:adjustRightInd w:val="0"/>
        <w:spacing w:after="0" w:line="360" w:lineRule="auto"/>
        <w:rPr>
          <w:rFonts w:cs="Times New Roman"/>
          <w:kern w:val="0"/>
          <w:lang w:val="en-US"/>
        </w:rPr>
      </w:pPr>
    </w:p>
    <w:p w14:paraId="46A0D87A" w14:textId="3F775C68" w:rsidR="00161988" w:rsidRPr="00BB6800" w:rsidRDefault="00161988" w:rsidP="0059673A">
      <w:pPr>
        <w:widowControl w:val="0"/>
        <w:autoSpaceDE w:val="0"/>
        <w:autoSpaceDN w:val="0"/>
        <w:adjustRightInd w:val="0"/>
        <w:spacing w:after="0" w:line="360" w:lineRule="auto"/>
        <w:rPr>
          <w:rFonts w:cs="Times New Roman"/>
          <w:kern w:val="0"/>
          <w:lang w:val="en-US"/>
        </w:rPr>
      </w:pPr>
      <w:r w:rsidRPr="00BB6800">
        <w:rPr>
          <w:rFonts w:cs="Times New Roman"/>
          <w:kern w:val="0"/>
          <w:lang w:val="en-US"/>
        </w:rPr>
        <w:t xml:space="preserve">Smith, Judith. “Primary Care: Balancing Health Needs, Services and Technology.” </w:t>
      </w:r>
      <w:r w:rsidRPr="00BB6800">
        <w:rPr>
          <w:rFonts w:cs="Times New Roman"/>
          <w:i/>
          <w:iCs/>
          <w:kern w:val="0"/>
          <w:lang w:val="en-US"/>
        </w:rPr>
        <w:t>International Journal of Integrated Care</w:t>
      </w:r>
      <w:r w:rsidRPr="00BB6800">
        <w:rPr>
          <w:rFonts w:cs="Times New Roman"/>
          <w:kern w:val="0"/>
          <w:lang w:val="en-US"/>
        </w:rPr>
        <w:t xml:space="preserve">, vol. 1, no. 3, 1 Sept. 2001, </w:t>
      </w:r>
      <w:hyperlink r:id="rId17" w:history="1">
        <w:r w:rsidRPr="00BB6800">
          <w:rPr>
            <w:rFonts w:cs="Times New Roman"/>
            <w:kern w:val="0"/>
            <w:lang w:val="en-US"/>
          </w:rPr>
          <w:t>https://doi.org/10.5334/ijic.35</w:t>
        </w:r>
      </w:hyperlink>
      <w:r w:rsidRPr="00BB6800">
        <w:rPr>
          <w:rFonts w:cs="Times New Roman"/>
          <w:kern w:val="0"/>
          <w:lang w:val="en-US"/>
        </w:rPr>
        <w:t>. Accessed 24 Nov. 2019.</w:t>
      </w:r>
    </w:p>
    <w:p w14:paraId="239D8901" w14:textId="0E67BC8D" w:rsidR="00161988" w:rsidRPr="00BB6800" w:rsidRDefault="00161988" w:rsidP="0059673A">
      <w:pPr>
        <w:widowControl w:val="0"/>
        <w:autoSpaceDE w:val="0"/>
        <w:autoSpaceDN w:val="0"/>
        <w:adjustRightInd w:val="0"/>
        <w:spacing w:after="0" w:line="360" w:lineRule="auto"/>
        <w:rPr>
          <w:rFonts w:cs="Times New Roman"/>
          <w:kern w:val="0"/>
          <w:lang w:val="en-US"/>
        </w:rPr>
      </w:pPr>
      <w:r w:rsidRPr="00BB6800">
        <w:rPr>
          <w:rFonts w:cs="Times New Roman"/>
          <w:kern w:val="0"/>
          <w:lang w:val="en-US"/>
        </w:rPr>
        <w:t xml:space="preserve">Transforming Our World: The 2030 Agenda for Sustainable Development.” </w:t>
      </w:r>
      <w:r w:rsidRPr="00BB6800">
        <w:rPr>
          <w:rFonts w:cs="Times New Roman"/>
          <w:i/>
          <w:iCs/>
          <w:kern w:val="0"/>
          <w:lang w:val="en-US"/>
        </w:rPr>
        <w:t xml:space="preserve">Sustainable </w:t>
      </w:r>
      <w:r w:rsidRPr="00BB6800">
        <w:rPr>
          <w:rFonts w:cs="Times New Roman"/>
          <w:i/>
          <w:iCs/>
          <w:kern w:val="0"/>
          <w:lang w:val="en-US"/>
        </w:rPr>
        <w:lastRenderedPageBreak/>
        <w:t>Development Goals</w:t>
      </w:r>
      <w:r w:rsidRPr="00BB6800">
        <w:rPr>
          <w:rFonts w:cs="Times New Roman"/>
          <w:kern w:val="0"/>
          <w:lang w:val="en-US"/>
        </w:rPr>
        <w:t xml:space="preserve">, 1 Jan. 2022, </w:t>
      </w:r>
      <w:hyperlink r:id="rId18" w:history="1">
        <w:r w:rsidRPr="00BB6800">
          <w:rPr>
            <w:rFonts w:cs="Times New Roman"/>
            <w:kern w:val="0"/>
            <w:lang w:val="en-US"/>
          </w:rPr>
          <w:t>https://doi.org/10.5040/9781509934058.0025</w:t>
        </w:r>
      </w:hyperlink>
      <w:r w:rsidRPr="00BB6800">
        <w:rPr>
          <w:rFonts w:cs="Times New Roman"/>
          <w:kern w:val="0"/>
          <w:lang w:val="en-US"/>
        </w:rPr>
        <w:t>. Accessed 26 Apr. 2023.</w:t>
      </w:r>
    </w:p>
    <w:p w14:paraId="0D66353C" w14:textId="77777777" w:rsidR="00F27674" w:rsidRDefault="00F27674" w:rsidP="00B30540">
      <w:pPr>
        <w:spacing w:line="360" w:lineRule="auto"/>
      </w:pPr>
    </w:p>
    <w:p w14:paraId="0D32708E" w14:textId="0D3D8D66" w:rsidR="0069476C" w:rsidRPr="00BB6800" w:rsidRDefault="0069476C" w:rsidP="00B30540">
      <w:pPr>
        <w:spacing w:line="360" w:lineRule="auto"/>
      </w:pPr>
      <w:r w:rsidRPr="00BB6800">
        <w:t xml:space="preserve">United Nations (2015) </w:t>
      </w:r>
      <w:r w:rsidRPr="00BB6800">
        <w:rPr>
          <w:i/>
          <w:iCs/>
        </w:rPr>
        <w:t>Transforming our world: the 2030 Agenda for Sustainable Development</w:t>
      </w:r>
      <w:r w:rsidRPr="00BB6800">
        <w:t xml:space="preserve">. Available at: </w:t>
      </w:r>
      <w:hyperlink r:id="rId19" w:tgtFrame="_new" w:history="1">
        <w:r w:rsidRPr="00BB6800">
          <w:rPr>
            <w:rStyle w:val="Hyperlink"/>
          </w:rPr>
          <w:t>https://sdgs.un.org/2030agenda</w:t>
        </w:r>
      </w:hyperlink>
      <w:r w:rsidRPr="00BB6800">
        <w:t xml:space="preserve"> (Accessed: 10 December 2025).</w:t>
      </w:r>
    </w:p>
    <w:p w14:paraId="6314AB96" w14:textId="77777777" w:rsidR="0069476C" w:rsidRPr="002D4630" w:rsidRDefault="0069476C" w:rsidP="00B30540">
      <w:pPr>
        <w:spacing w:line="360" w:lineRule="auto"/>
      </w:pPr>
      <w:r w:rsidRPr="00BB6800">
        <w:t xml:space="preserve">United Nations (2023) </w:t>
      </w:r>
      <w:r w:rsidRPr="00BB6800">
        <w:rPr>
          <w:i/>
          <w:iCs/>
        </w:rPr>
        <w:t>Sustainable Development Goal 3: Ensure healthy lives and promote well-being for all at all ages</w:t>
      </w:r>
      <w:r w:rsidRPr="00BB6800">
        <w:t xml:space="preserve">. Available at: </w:t>
      </w:r>
      <w:hyperlink r:id="rId20" w:tgtFrame="_new" w:history="1">
        <w:r w:rsidRPr="00BB6800">
          <w:rPr>
            <w:rStyle w:val="Hyperlink"/>
          </w:rPr>
          <w:t>https://sdgs.un.org/goals/goal3</w:t>
        </w:r>
      </w:hyperlink>
      <w:r w:rsidRPr="00BB6800">
        <w:t xml:space="preserve"> (Accessed: 10 December 2025).</w:t>
      </w:r>
    </w:p>
    <w:p w14:paraId="6D9DA62E" w14:textId="77777777" w:rsidR="00161988" w:rsidRPr="00BB6800" w:rsidRDefault="00161988" w:rsidP="0059673A">
      <w:pPr>
        <w:widowControl w:val="0"/>
        <w:autoSpaceDE w:val="0"/>
        <w:autoSpaceDN w:val="0"/>
        <w:adjustRightInd w:val="0"/>
        <w:spacing w:after="0" w:line="360" w:lineRule="auto"/>
        <w:rPr>
          <w:rFonts w:cs="Times New Roman"/>
          <w:kern w:val="0"/>
          <w:lang w:val="en-US"/>
        </w:rPr>
      </w:pPr>
      <w:r w:rsidRPr="00BB6800">
        <w:rPr>
          <w:rFonts w:cs="Times New Roman"/>
          <w:kern w:val="0"/>
          <w:lang w:val="en-US"/>
        </w:rPr>
        <w:t xml:space="preserve">World Health </w:t>
      </w:r>
      <w:proofErr w:type="spellStart"/>
      <w:r w:rsidRPr="00BB6800">
        <w:rPr>
          <w:rFonts w:cs="Times New Roman"/>
          <w:kern w:val="0"/>
          <w:lang w:val="en-US"/>
        </w:rPr>
        <w:t>Organisation</w:t>
      </w:r>
      <w:proofErr w:type="spellEnd"/>
      <w:r w:rsidRPr="00BB6800">
        <w:rPr>
          <w:rFonts w:cs="Times New Roman"/>
          <w:kern w:val="0"/>
          <w:lang w:val="en-US"/>
        </w:rPr>
        <w:t xml:space="preserve">. “Ottawa Charter for Health Promotion.” </w:t>
      </w:r>
      <w:r w:rsidRPr="00BB6800">
        <w:rPr>
          <w:rFonts w:cs="Times New Roman"/>
          <w:i/>
          <w:iCs/>
          <w:kern w:val="0"/>
          <w:lang w:val="en-US"/>
        </w:rPr>
        <w:t>Health Promotion International</w:t>
      </w:r>
      <w:r w:rsidRPr="00BB6800">
        <w:rPr>
          <w:rFonts w:cs="Times New Roman"/>
          <w:kern w:val="0"/>
          <w:lang w:val="en-US"/>
        </w:rPr>
        <w:t xml:space="preserve">, vol. 1, no. 4, 1986, pp. 405–405, </w:t>
      </w:r>
      <w:hyperlink r:id="rId21" w:history="1">
        <w:r w:rsidRPr="00BB6800">
          <w:rPr>
            <w:rFonts w:cs="Times New Roman"/>
            <w:kern w:val="0"/>
            <w:lang w:val="en-US"/>
          </w:rPr>
          <w:t>https://doi.org/10.1093/heapro/1.4.405</w:t>
        </w:r>
      </w:hyperlink>
      <w:r w:rsidRPr="00BB6800">
        <w:rPr>
          <w:rFonts w:cs="Times New Roman"/>
          <w:kern w:val="0"/>
          <w:lang w:val="en-US"/>
        </w:rPr>
        <w:t>.</w:t>
      </w:r>
    </w:p>
    <w:p w14:paraId="030B0456" w14:textId="77777777" w:rsidR="0069476C" w:rsidRPr="00F6488D" w:rsidRDefault="0069476C" w:rsidP="00B30540">
      <w:pPr>
        <w:spacing w:line="360" w:lineRule="auto"/>
      </w:pPr>
      <w:r w:rsidRPr="00F6488D">
        <w:t xml:space="preserve">WWCW (What Works Centre for Wellbeing) (2020) </w:t>
      </w:r>
      <w:r w:rsidRPr="00F6488D">
        <w:rPr>
          <w:i/>
          <w:iCs/>
        </w:rPr>
        <w:t>Community wellbeing: Evidence from Big Local</w:t>
      </w:r>
      <w:r w:rsidRPr="00F6488D">
        <w:t xml:space="preserve">. Available at: </w:t>
      </w:r>
      <w:hyperlink r:id="rId22" w:tgtFrame="_new" w:history="1">
        <w:r w:rsidRPr="00F6488D">
          <w:rPr>
            <w:rStyle w:val="Hyperlink"/>
          </w:rPr>
          <w:t>https://whatworkswellbeing.org</w:t>
        </w:r>
      </w:hyperlink>
      <w:r w:rsidRPr="00F6488D">
        <w:t xml:space="preserve"> (Accessed: 10 December 2025).</w:t>
      </w:r>
    </w:p>
    <w:p w14:paraId="1F5654E9" w14:textId="77777777" w:rsidR="00F6488D" w:rsidRPr="002D4630" w:rsidRDefault="00F6488D" w:rsidP="00143C7C">
      <w:pPr>
        <w:rPr>
          <w:b/>
          <w:bCs/>
        </w:rPr>
      </w:pPr>
    </w:p>
    <w:p w14:paraId="7BC5D73A" w14:textId="77777777" w:rsidR="00A4238A" w:rsidRDefault="00A4238A" w:rsidP="00143C7C"/>
    <w:sectPr w:rsidR="00A423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rial MT Pro">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38A"/>
    <w:rsid w:val="0000079B"/>
    <w:rsid w:val="00045BC2"/>
    <w:rsid w:val="00050E75"/>
    <w:rsid w:val="00077732"/>
    <w:rsid w:val="000B0BA1"/>
    <w:rsid w:val="0011713F"/>
    <w:rsid w:val="00143C7C"/>
    <w:rsid w:val="00152A65"/>
    <w:rsid w:val="00161988"/>
    <w:rsid w:val="001878E8"/>
    <w:rsid w:val="00190579"/>
    <w:rsid w:val="001D7B67"/>
    <w:rsid w:val="001F0078"/>
    <w:rsid w:val="001F34F1"/>
    <w:rsid w:val="00231F76"/>
    <w:rsid w:val="002D1BC2"/>
    <w:rsid w:val="002D4630"/>
    <w:rsid w:val="00312B60"/>
    <w:rsid w:val="0032398D"/>
    <w:rsid w:val="003C3E73"/>
    <w:rsid w:val="003D7DCF"/>
    <w:rsid w:val="003F7D8A"/>
    <w:rsid w:val="004B064C"/>
    <w:rsid w:val="004D0AAF"/>
    <w:rsid w:val="005245F6"/>
    <w:rsid w:val="00573F0C"/>
    <w:rsid w:val="0059673A"/>
    <w:rsid w:val="005978FB"/>
    <w:rsid w:val="005B05FF"/>
    <w:rsid w:val="005E28EA"/>
    <w:rsid w:val="005E689C"/>
    <w:rsid w:val="0069476C"/>
    <w:rsid w:val="006C4260"/>
    <w:rsid w:val="00713032"/>
    <w:rsid w:val="0071748E"/>
    <w:rsid w:val="007A2041"/>
    <w:rsid w:val="007B028C"/>
    <w:rsid w:val="007B3224"/>
    <w:rsid w:val="007E6CD2"/>
    <w:rsid w:val="00805226"/>
    <w:rsid w:val="00857D1B"/>
    <w:rsid w:val="00866B6E"/>
    <w:rsid w:val="00884820"/>
    <w:rsid w:val="008E2358"/>
    <w:rsid w:val="009158A4"/>
    <w:rsid w:val="009507DB"/>
    <w:rsid w:val="00974698"/>
    <w:rsid w:val="00995AF1"/>
    <w:rsid w:val="009A4BD4"/>
    <w:rsid w:val="00A2115D"/>
    <w:rsid w:val="00A3518D"/>
    <w:rsid w:val="00A4238A"/>
    <w:rsid w:val="00AA018B"/>
    <w:rsid w:val="00B2763B"/>
    <w:rsid w:val="00B30540"/>
    <w:rsid w:val="00B30F23"/>
    <w:rsid w:val="00B73EC9"/>
    <w:rsid w:val="00BA109C"/>
    <w:rsid w:val="00BA7E8C"/>
    <w:rsid w:val="00BB6800"/>
    <w:rsid w:val="00BD411C"/>
    <w:rsid w:val="00C26C9B"/>
    <w:rsid w:val="00C32C13"/>
    <w:rsid w:val="00C44B8E"/>
    <w:rsid w:val="00C83048"/>
    <w:rsid w:val="00CC4FF2"/>
    <w:rsid w:val="00D80B7E"/>
    <w:rsid w:val="00D9476E"/>
    <w:rsid w:val="00E4350D"/>
    <w:rsid w:val="00EA1199"/>
    <w:rsid w:val="00EA3626"/>
    <w:rsid w:val="00ED71B2"/>
    <w:rsid w:val="00EE557A"/>
    <w:rsid w:val="00F006C9"/>
    <w:rsid w:val="00F12408"/>
    <w:rsid w:val="00F27674"/>
    <w:rsid w:val="00F6488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A60E1"/>
  <w15:chartTrackingRefBased/>
  <w15:docId w15:val="{8C59807E-722A-4D21-A96A-E1C8DCD1D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23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23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23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23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23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23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23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23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23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3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23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23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23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23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23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23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23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238A"/>
    <w:rPr>
      <w:rFonts w:eastAsiaTheme="majorEastAsia" w:cstheme="majorBidi"/>
      <w:color w:val="272727" w:themeColor="text1" w:themeTint="D8"/>
    </w:rPr>
  </w:style>
  <w:style w:type="paragraph" w:styleId="Title">
    <w:name w:val="Title"/>
    <w:basedOn w:val="Normal"/>
    <w:next w:val="Normal"/>
    <w:link w:val="TitleChar"/>
    <w:uiPriority w:val="10"/>
    <w:qFormat/>
    <w:rsid w:val="00A423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23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23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23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238A"/>
    <w:pPr>
      <w:spacing w:before="160"/>
      <w:jc w:val="center"/>
    </w:pPr>
    <w:rPr>
      <w:i/>
      <w:iCs/>
      <w:color w:val="404040" w:themeColor="text1" w:themeTint="BF"/>
    </w:rPr>
  </w:style>
  <w:style w:type="character" w:customStyle="1" w:styleId="QuoteChar">
    <w:name w:val="Quote Char"/>
    <w:basedOn w:val="DefaultParagraphFont"/>
    <w:link w:val="Quote"/>
    <w:uiPriority w:val="29"/>
    <w:rsid w:val="00A4238A"/>
    <w:rPr>
      <w:i/>
      <w:iCs/>
      <w:color w:val="404040" w:themeColor="text1" w:themeTint="BF"/>
    </w:rPr>
  </w:style>
  <w:style w:type="paragraph" w:styleId="ListParagraph">
    <w:name w:val="List Paragraph"/>
    <w:basedOn w:val="Normal"/>
    <w:uiPriority w:val="34"/>
    <w:qFormat/>
    <w:rsid w:val="00A4238A"/>
    <w:pPr>
      <w:ind w:left="720"/>
      <w:contextualSpacing/>
    </w:pPr>
  </w:style>
  <w:style w:type="character" w:styleId="IntenseEmphasis">
    <w:name w:val="Intense Emphasis"/>
    <w:basedOn w:val="DefaultParagraphFont"/>
    <w:uiPriority w:val="21"/>
    <w:qFormat/>
    <w:rsid w:val="00A4238A"/>
    <w:rPr>
      <w:i/>
      <w:iCs/>
      <w:color w:val="0F4761" w:themeColor="accent1" w:themeShade="BF"/>
    </w:rPr>
  </w:style>
  <w:style w:type="paragraph" w:styleId="IntenseQuote">
    <w:name w:val="Intense Quote"/>
    <w:basedOn w:val="Normal"/>
    <w:next w:val="Normal"/>
    <w:link w:val="IntenseQuoteChar"/>
    <w:uiPriority w:val="30"/>
    <w:qFormat/>
    <w:rsid w:val="00A423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238A"/>
    <w:rPr>
      <w:i/>
      <w:iCs/>
      <w:color w:val="0F4761" w:themeColor="accent1" w:themeShade="BF"/>
    </w:rPr>
  </w:style>
  <w:style w:type="character" w:styleId="IntenseReference">
    <w:name w:val="Intense Reference"/>
    <w:basedOn w:val="DefaultParagraphFont"/>
    <w:uiPriority w:val="32"/>
    <w:qFormat/>
    <w:rsid w:val="00A4238A"/>
    <w:rPr>
      <w:b/>
      <w:bCs/>
      <w:smallCaps/>
      <w:color w:val="0F4761" w:themeColor="accent1" w:themeShade="BF"/>
      <w:spacing w:val="5"/>
    </w:rPr>
  </w:style>
  <w:style w:type="paragraph" w:styleId="NormalWeb">
    <w:name w:val="Normal (Web)"/>
    <w:basedOn w:val="Normal"/>
    <w:uiPriority w:val="99"/>
    <w:unhideWhenUsed/>
    <w:rsid w:val="007E6CD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1D7B67"/>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D7B67"/>
    <w:pPr>
      <w:spacing w:after="100"/>
    </w:pPr>
  </w:style>
  <w:style w:type="character" w:styleId="Hyperlink">
    <w:name w:val="Hyperlink"/>
    <w:basedOn w:val="DefaultParagraphFont"/>
    <w:uiPriority w:val="99"/>
    <w:unhideWhenUsed/>
    <w:rsid w:val="001D7B67"/>
    <w:rPr>
      <w:color w:val="467886" w:themeColor="hyperlink"/>
      <w:u w:val="single"/>
    </w:rPr>
  </w:style>
  <w:style w:type="character" w:styleId="UnresolvedMention">
    <w:name w:val="Unresolved Mention"/>
    <w:basedOn w:val="DefaultParagraphFont"/>
    <w:uiPriority w:val="99"/>
    <w:semiHidden/>
    <w:unhideWhenUsed/>
    <w:rsid w:val="00CC4FF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471/blt.13.121673" TargetMode="External"/><Relationship Id="rId13" Type="http://schemas.openxmlformats.org/officeDocument/2006/relationships/hyperlink" Target="https://localtrust.org.uk" TargetMode="External"/><Relationship Id="rId18" Type="http://schemas.openxmlformats.org/officeDocument/2006/relationships/hyperlink" Target="https://doi.org/10.5040/9781509934058.0025" TargetMode="External"/><Relationship Id="rId3" Type="http://schemas.openxmlformats.org/officeDocument/2006/relationships/settings" Target="settings.xml"/><Relationship Id="rId21" Type="http://schemas.openxmlformats.org/officeDocument/2006/relationships/hyperlink" Target="https://doi.org/10.1093/heapro/1.4.405" TargetMode="External"/><Relationship Id="rId7" Type="http://schemas.openxmlformats.org/officeDocument/2006/relationships/hyperlink" Target="https://doi.org/10.1136/jech.57.4.254" TargetMode="External"/><Relationship Id="rId12" Type="http://schemas.openxmlformats.org/officeDocument/2006/relationships/hyperlink" Target="https://localtrust.org.uk" TargetMode="External"/><Relationship Id="rId17" Type="http://schemas.openxmlformats.org/officeDocument/2006/relationships/hyperlink" Target="https://doi.org/10.5334/ijic.35" TargetMode="External"/><Relationship Id="rId2" Type="http://schemas.openxmlformats.org/officeDocument/2006/relationships/styles" Target="styles.xml"/><Relationship Id="rId16" Type="http://schemas.openxmlformats.org/officeDocument/2006/relationships/hyperlink" Target="https://doi.org/10.1093/heapro/15.3.259" TargetMode="External"/><Relationship Id="rId20" Type="http://schemas.openxmlformats.org/officeDocument/2006/relationships/hyperlink" Target="https://sdgs.un.org/goals/goal3" TargetMode="External"/><Relationship Id="rId1" Type="http://schemas.openxmlformats.org/officeDocument/2006/relationships/customXml" Target="../customXml/item1.xml"/><Relationship Id="rId6" Type="http://schemas.openxmlformats.org/officeDocument/2006/relationships/hyperlink" Target="https://doi.org/10.1080/14623730.2007.9721834" TargetMode="External"/><Relationship Id="rId11" Type="http://schemas.openxmlformats.org/officeDocument/2006/relationships/hyperlink" Target="https://doi.org/10.1136/bmj.e5466" TargetMode="Externa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doi.org/10.1093/ije/dyx163" TargetMode="External"/><Relationship Id="rId23" Type="http://schemas.openxmlformats.org/officeDocument/2006/relationships/fontTable" Target="fontTable.xml"/><Relationship Id="rId10" Type="http://schemas.openxmlformats.org/officeDocument/2006/relationships/hyperlink" Target="https://www.gov.uk/government/publications/better-mental-health-fund-evaluation" TargetMode="External"/><Relationship Id="rId19" Type="http://schemas.openxmlformats.org/officeDocument/2006/relationships/hyperlink" Target="https://sdgs.un.org/2030agenda" TargetMode="External"/><Relationship Id="rId4" Type="http://schemas.openxmlformats.org/officeDocument/2006/relationships/webSettings" Target="webSettings.xml"/><Relationship Id="rId9" Type="http://schemas.openxmlformats.org/officeDocument/2006/relationships/hyperlink" Target="https://www.gov.uk/government/publications/better-mental-health-fund-guidance" TargetMode="External"/><Relationship Id="rId14" Type="http://schemas.openxmlformats.org/officeDocument/2006/relationships/hyperlink" Target="http://www.ncbi.nlm.nih.gov/pmc/articles/PMC5837404/" TargetMode="External"/><Relationship Id="rId22" Type="http://schemas.openxmlformats.org/officeDocument/2006/relationships/hyperlink" Target="https://whatworkswellbeing.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C5A4532-DA49-4506-953A-5B418E6610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13</Pages>
  <Words>3284</Words>
  <Characters>18724</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Mafuva</dc:creator>
  <cp:keywords/>
  <dc:description/>
  <cp:lastModifiedBy>Sona Jandi</cp:lastModifiedBy>
  <cp:revision>68</cp:revision>
  <dcterms:created xsi:type="dcterms:W3CDTF">2025-07-22T12:27:00Z</dcterms:created>
  <dcterms:modified xsi:type="dcterms:W3CDTF">2025-12-11T02:01:00Z</dcterms:modified>
</cp:coreProperties>
</file>