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EDF346" w14:textId="0C35D030" w:rsidR="00DE7E67" w:rsidRDefault="00DE7E67" w:rsidP="00DE7E67">
      <w:pPr>
        <w:jc w:val="center"/>
        <w:rPr>
          <w:rFonts w:ascii="Arial" w:hAnsi="Arial" w:cs="Arial"/>
          <w:u w:val="single"/>
        </w:rPr>
      </w:pPr>
      <w:r>
        <w:rPr>
          <w:rFonts w:ascii="Arial" w:hAnsi="Arial" w:cs="Arial"/>
          <w:u w:val="single"/>
        </w:rPr>
        <w:t>Portfolio of activities.</w:t>
      </w:r>
    </w:p>
    <w:p w14:paraId="42B49F27" w14:textId="77777777" w:rsidR="00DE7E67" w:rsidRDefault="00DE7E67">
      <w:pPr>
        <w:rPr>
          <w:rFonts w:ascii="Arial" w:hAnsi="Arial" w:cs="Arial"/>
          <w:u w:val="single"/>
        </w:rPr>
      </w:pPr>
      <w:r>
        <w:rPr>
          <w:rFonts w:ascii="Arial" w:hAnsi="Arial" w:cs="Arial"/>
          <w:u w:val="single"/>
        </w:rPr>
        <w:t>Part A:</w:t>
      </w:r>
    </w:p>
    <w:p w14:paraId="643C2465" w14:textId="3A72019C" w:rsidR="00DD73E1" w:rsidRPr="008270AD" w:rsidRDefault="008270AD">
      <w:pPr>
        <w:rPr>
          <w:rFonts w:ascii="Arial" w:hAnsi="Arial" w:cs="Arial"/>
          <w:u w:val="single"/>
        </w:rPr>
      </w:pPr>
      <w:r w:rsidRPr="008270AD">
        <w:rPr>
          <w:rFonts w:ascii="Arial" w:hAnsi="Arial" w:cs="Arial"/>
          <w:u w:val="single"/>
        </w:rPr>
        <w:t>Post-traumatic stress disorder.</w:t>
      </w:r>
    </w:p>
    <w:p w14:paraId="304F2A3C" w14:textId="0E3FB506" w:rsidR="005135DA" w:rsidRDefault="008270AD">
      <w:pPr>
        <w:rPr>
          <w:rFonts w:ascii="Arial" w:hAnsi="Arial" w:cs="Arial"/>
        </w:rPr>
      </w:pPr>
      <w:r>
        <w:rPr>
          <w:rFonts w:ascii="Arial" w:hAnsi="Arial" w:cs="Arial"/>
        </w:rPr>
        <w:t xml:space="preserve">According to sources </w:t>
      </w:r>
      <w:r w:rsidR="007040D0">
        <w:rPr>
          <w:rFonts w:ascii="Arial" w:hAnsi="Arial" w:cs="Arial"/>
        </w:rPr>
        <w:t>following</w:t>
      </w:r>
      <w:r w:rsidR="0088490E">
        <w:rPr>
          <w:rFonts w:ascii="Arial" w:hAnsi="Arial" w:cs="Arial"/>
        </w:rPr>
        <w:t xml:space="preserve"> the First World War</w:t>
      </w:r>
      <w:r w:rsidR="00C96DB3">
        <w:rPr>
          <w:rFonts w:ascii="Arial" w:hAnsi="Arial" w:cs="Arial"/>
        </w:rPr>
        <w:t>,</w:t>
      </w:r>
      <w:r w:rsidR="0088490E">
        <w:rPr>
          <w:rFonts w:ascii="Arial" w:hAnsi="Arial" w:cs="Arial"/>
        </w:rPr>
        <w:t xml:space="preserve"> </w:t>
      </w:r>
      <w:r w:rsidR="00BF4F00">
        <w:rPr>
          <w:rFonts w:ascii="Arial" w:hAnsi="Arial" w:cs="Arial"/>
        </w:rPr>
        <w:t xml:space="preserve">soldiers </w:t>
      </w:r>
      <w:r w:rsidR="00BA29F6">
        <w:rPr>
          <w:rFonts w:ascii="Arial" w:hAnsi="Arial" w:cs="Arial"/>
        </w:rPr>
        <w:t xml:space="preserve">were </w:t>
      </w:r>
      <w:r w:rsidR="00BF4F00">
        <w:rPr>
          <w:rFonts w:ascii="Arial" w:hAnsi="Arial" w:cs="Arial"/>
        </w:rPr>
        <w:t xml:space="preserve">often </w:t>
      </w:r>
      <w:r w:rsidR="00BA29F6">
        <w:rPr>
          <w:rFonts w:ascii="Arial" w:hAnsi="Arial" w:cs="Arial"/>
        </w:rPr>
        <w:t xml:space="preserve">to have </w:t>
      </w:r>
      <w:r w:rsidR="00BF4F00">
        <w:rPr>
          <w:rFonts w:ascii="Arial" w:hAnsi="Arial" w:cs="Arial"/>
        </w:rPr>
        <w:t>experienced shellshock</w:t>
      </w:r>
      <w:r w:rsidR="00BA29F6">
        <w:rPr>
          <w:rFonts w:ascii="Arial" w:hAnsi="Arial" w:cs="Arial"/>
        </w:rPr>
        <w:t>. This</w:t>
      </w:r>
      <w:r w:rsidR="00BF4F00">
        <w:rPr>
          <w:rFonts w:ascii="Arial" w:hAnsi="Arial" w:cs="Arial"/>
        </w:rPr>
        <w:t xml:space="preserve"> due to </w:t>
      </w:r>
      <w:r w:rsidR="005135DA">
        <w:rPr>
          <w:rFonts w:ascii="Arial" w:hAnsi="Arial" w:cs="Arial"/>
        </w:rPr>
        <w:t>witnessing</w:t>
      </w:r>
      <w:r w:rsidR="00BF4F00">
        <w:rPr>
          <w:rFonts w:ascii="Arial" w:hAnsi="Arial" w:cs="Arial"/>
        </w:rPr>
        <w:t xml:space="preserve"> traumatic events</w:t>
      </w:r>
      <w:r w:rsidR="005135DA">
        <w:rPr>
          <w:rFonts w:ascii="Arial" w:hAnsi="Arial" w:cs="Arial"/>
        </w:rPr>
        <w:t xml:space="preserve"> that occurred</w:t>
      </w:r>
      <w:r w:rsidR="00BF4F00">
        <w:rPr>
          <w:rFonts w:ascii="Arial" w:hAnsi="Arial" w:cs="Arial"/>
        </w:rPr>
        <w:t xml:space="preserve"> over </w:t>
      </w:r>
      <w:r w:rsidR="007040D0">
        <w:rPr>
          <w:rFonts w:ascii="Arial" w:hAnsi="Arial" w:cs="Arial"/>
        </w:rPr>
        <w:t>a</w:t>
      </w:r>
      <w:r w:rsidR="00BF4F00">
        <w:rPr>
          <w:rFonts w:ascii="Arial" w:hAnsi="Arial" w:cs="Arial"/>
        </w:rPr>
        <w:t xml:space="preserve"> long period of time </w:t>
      </w:r>
      <w:r w:rsidR="005135DA">
        <w:rPr>
          <w:rFonts w:ascii="Arial" w:hAnsi="Arial" w:cs="Arial"/>
        </w:rPr>
        <w:t xml:space="preserve">in </w:t>
      </w:r>
      <w:r w:rsidR="007040D0">
        <w:rPr>
          <w:rFonts w:ascii="Arial" w:hAnsi="Arial" w:cs="Arial"/>
        </w:rPr>
        <w:t xml:space="preserve">which </w:t>
      </w:r>
      <w:r w:rsidR="00BF4F00">
        <w:rPr>
          <w:rFonts w:ascii="Arial" w:hAnsi="Arial" w:cs="Arial"/>
        </w:rPr>
        <w:t xml:space="preserve">they had spent battling </w:t>
      </w:r>
      <w:r w:rsidR="005135DA">
        <w:rPr>
          <w:rFonts w:ascii="Arial" w:hAnsi="Arial" w:cs="Arial"/>
        </w:rPr>
        <w:t xml:space="preserve">at </w:t>
      </w:r>
      <w:r w:rsidR="00BF4F00">
        <w:rPr>
          <w:rFonts w:ascii="Arial" w:hAnsi="Arial" w:cs="Arial"/>
        </w:rPr>
        <w:t xml:space="preserve">war. However, soldiers that had fought during the Second World War and had experienced similar incidents </w:t>
      </w:r>
      <w:r w:rsidR="007040D0">
        <w:rPr>
          <w:rFonts w:ascii="Arial" w:hAnsi="Arial" w:cs="Arial"/>
        </w:rPr>
        <w:t>as soldiers during the First World Wa</w:t>
      </w:r>
      <w:r w:rsidR="005135DA">
        <w:rPr>
          <w:rFonts w:ascii="Arial" w:hAnsi="Arial" w:cs="Arial"/>
        </w:rPr>
        <w:t>r</w:t>
      </w:r>
      <w:r w:rsidR="00BA29F6">
        <w:rPr>
          <w:rFonts w:ascii="Arial" w:hAnsi="Arial" w:cs="Arial"/>
        </w:rPr>
        <w:t>. However, soldiers during the Second World War</w:t>
      </w:r>
      <w:r w:rsidR="007040D0">
        <w:rPr>
          <w:rFonts w:ascii="Arial" w:hAnsi="Arial" w:cs="Arial"/>
        </w:rPr>
        <w:t xml:space="preserve"> were identified as having combat fatigue in an alternative to </w:t>
      </w:r>
      <w:r w:rsidR="0048007A">
        <w:rPr>
          <w:rFonts w:ascii="Arial" w:hAnsi="Arial" w:cs="Arial"/>
        </w:rPr>
        <w:t>shellshock</w:t>
      </w:r>
      <w:r w:rsidR="007040D0">
        <w:rPr>
          <w:rFonts w:ascii="Arial" w:hAnsi="Arial" w:cs="Arial"/>
        </w:rPr>
        <w:t>. In addition to this, following the Vietnam War</w:t>
      </w:r>
      <w:r w:rsidR="005135DA">
        <w:rPr>
          <w:rFonts w:ascii="Arial" w:hAnsi="Arial" w:cs="Arial"/>
        </w:rPr>
        <w:t>,</w:t>
      </w:r>
      <w:r w:rsidR="007040D0">
        <w:rPr>
          <w:rFonts w:ascii="Arial" w:hAnsi="Arial" w:cs="Arial"/>
        </w:rPr>
        <w:t xml:space="preserve"> soldiers </w:t>
      </w:r>
      <w:r w:rsidR="00D61A65">
        <w:rPr>
          <w:rFonts w:ascii="Arial" w:hAnsi="Arial" w:cs="Arial"/>
        </w:rPr>
        <w:t>very few soldiers</w:t>
      </w:r>
      <w:r w:rsidR="007040D0">
        <w:rPr>
          <w:rFonts w:ascii="Arial" w:hAnsi="Arial" w:cs="Arial"/>
        </w:rPr>
        <w:t xml:space="preserve"> had been identified as having </w:t>
      </w:r>
      <w:r w:rsidR="0048007A">
        <w:rPr>
          <w:rFonts w:ascii="Arial" w:hAnsi="Arial" w:cs="Arial"/>
        </w:rPr>
        <w:t>shellshock</w:t>
      </w:r>
      <w:r w:rsidR="007040D0">
        <w:rPr>
          <w:rFonts w:ascii="Arial" w:hAnsi="Arial" w:cs="Arial"/>
        </w:rPr>
        <w:t xml:space="preserve"> or combat fatigue</w:t>
      </w:r>
      <w:r w:rsidR="00D61A65">
        <w:rPr>
          <w:rFonts w:ascii="Arial" w:hAnsi="Arial" w:cs="Arial"/>
        </w:rPr>
        <w:t>. Soldiers</w:t>
      </w:r>
      <w:r w:rsidR="007040D0">
        <w:rPr>
          <w:rFonts w:ascii="Arial" w:hAnsi="Arial" w:cs="Arial"/>
        </w:rPr>
        <w:t xml:space="preserve"> were </w:t>
      </w:r>
      <w:r w:rsidR="00D61A65">
        <w:rPr>
          <w:rFonts w:ascii="Arial" w:hAnsi="Arial" w:cs="Arial"/>
        </w:rPr>
        <w:t>mostly</w:t>
      </w:r>
      <w:r w:rsidR="007040D0">
        <w:rPr>
          <w:rFonts w:ascii="Arial" w:hAnsi="Arial" w:cs="Arial"/>
        </w:rPr>
        <w:t xml:space="preserve"> identified as having post-traumatic stress disorder also known as PTSD. </w:t>
      </w:r>
    </w:p>
    <w:p w14:paraId="17E96535" w14:textId="707841E2" w:rsidR="005135DA" w:rsidRDefault="007040D0">
      <w:pPr>
        <w:rPr>
          <w:rFonts w:ascii="Arial" w:hAnsi="Arial" w:cs="Arial"/>
        </w:rPr>
      </w:pPr>
      <w:r>
        <w:rPr>
          <w:rFonts w:ascii="Arial" w:hAnsi="Arial" w:cs="Arial"/>
        </w:rPr>
        <w:t>According to documentation</w:t>
      </w:r>
      <w:r w:rsidR="005C2BE8">
        <w:rPr>
          <w:rFonts w:ascii="Arial" w:hAnsi="Arial" w:cs="Arial"/>
        </w:rPr>
        <w:t xml:space="preserve">, in 1980 </w:t>
      </w:r>
      <w:r>
        <w:rPr>
          <w:rFonts w:ascii="Arial" w:hAnsi="Arial" w:cs="Arial"/>
        </w:rPr>
        <w:t xml:space="preserve">post-traumatic stress disorder was </w:t>
      </w:r>
      <w:r w:rsidR="00C025AD">
        <w:rPr>
          <w:rFonts w:ascii="Arial" w:hAnsi="Arial" w:cs="Arial"/>
        </w:rPr>
        <w:t>recorded</w:t>
      </w:r>
      <w:r>
        <w:rPr>
          <w:rFonts w:ascii="Arial" w:hAnsi="Arial" w:cs="Arial"/>
        </w:rPr>
        <w:t xml:space="preserve"> in the diagnostic and statistical manual of mental health</w:t>
      </w:r>
      <w:r w:rsidR="005135DA">
        <w:rPr>
          <w:rFonts w:ascii="Arial" w:hAnsi="Arial" w:cs="Arial"/>
        </w:rPr>
        <w:t xml:space="preserve"> </w:t>
      </w:r>
      <w:r>
        <w:rPr>
          <w:rFonts w:ascii="Arial" w:hAnsi="Arial" w:cs="Arial"/>
        </w:rPr>
        <w:t>disorders</w:t>
      </w:r>
      <w:r w:rsidR="005135DA">
        <w:rPr>
          <w:rFonts w:ascii="Arial" w:hAnsi="Arial" w:cs="Arial"/>
        </w:rPr>
        <w:t>, edition three (DMS-III)</w:t>
      </w:r>
      <w:r w:rsidR="00253353">
        <w:rPr>
          <w:rFonts w:ascii="Arial" w:hAnsi="Arial" w:cs="Arial"/>
        </w:rPr>
        <w:t>,</w:t>
      </w:r>
      <w:r w:rsidR="00C025AD">
        <w:rPr>
          <w:rFonts w:ascii="Arial" w:hAnsi="Arial" w:cs="Arial"/>
        </w:rPr>
        <w:t xml:space="preserve"> for the first time</w:t>
      </w:r>
      <w:r>
        <w:rPr>
          <w:rFonts w:ascii="Arial" w:hAnsi="Arial" w:cs="Arial"/>
        </w:rPr>
        <w:t>.</w:t>
      </w:r>
      <w:r w:rsidR="005135DA">
        <w:rPr>
          <w:rFonts w:ascii="Arial" w:hAnsi="Arial" w:cs="Arial"/>
        </w:rPr>
        <w:t xml:space="preserve"> PTSD is</w:t>
      </w:r>
      <w:r w:rsidR="005C2BE8">
        <w:rPr>
          <w:rFonts w:ascii="Arial" w:hAnsi="Arial" w:cs="Arial"/>
        </w:rPr>
        <w:t xml:space="preserve"> often</w:t>
      </w:r>
      <w:r w:rsidR="005135DA">
        <w:rPr>
          <w:rFonts w:ascii="Arial" w:hAnsi="Arial" w:cs="Arial"/>
        </w:rPr>
        <w:t xml:space="preserve"> recognised as an anxiety disorder </w:t>
      </w:r>
      <w:r w:rsidR="005C2BE8">
        <w:rPr>
          <w:rFonts w:ascii="Arial" w:hAnsi="Arial" w:cs="Arial"/>
        </w:rPr>
        <w:t xml:space="preserve">which is </w:t>
      </w:r>
      <w:r w:rsidR="000B5057">
        <w:rPr>
          <w:rFonts w:ascii="Arial" w:hAnsi="Arial" w:cs="Arial"/>
        </w:rPr>
        <w:t xml:space="preserve">due to witnessing an event with the extremity of </w:t>
      </w:r>
      <w:r w:rsidR="005C2BE8">
        <w:rPr>
          <w:rFonts w:ascii="Arial" w:hAnsi="Arial" w:cs="Arial"/>
        </w:rPr>
        <w:t>psychosomatic</w:t>
      </w:r>
      <w:r w:rsidR="000B5057">
        <w:rPr>
          <w:rFonts w:ascii="Arial" w:hAnsi="Arial" w:cs="Arial"/>
        </w:rPr>
        <w:t xml:space="preserve"> or </w:t>
      </w:r>
      <w:r w:rsidR="005C2BE8">
        <w:rPr>
          <w:rFonts w:ascii="Arial" w:hAnsi="Arial" w:cs="Arial"/>
        </w:rPr>
        <w:t>bodily</w:t>
      </w:r>
      <w:r w:rsidR="000B5057">
        <w:rPr>
          <w:rFonts w:ascii="Arial" w:hAnsi="Arial" w:cs="Arial"/>
        </w:rPr>
        <w:t xml:space="preserve"> </w:t>
      </w:r>
      <w:r w:rsidR="00C96DB3">
        <w:rPr>
          <w:rFonts w:ascii="Arial" w:hAnsi="Arial" w:cs="Arial"/>
        </w:rPr>
        <w:t>adversity</w:t>
      </w:r>
      <w:r w:rsidR="000B5057">
        <w:rPr>
          <w:rFonts w:ascii="Arial" w:hAnsi="Arial" w:cs="Arial"/>
        </w:rPr>
        <w:t xml:space="preserve"> that is not classed as </w:t>
      </w:r>
      <w:r w:rsidR="001A6FC2">
        <w:rPr>
          <w:rFonts w:ascii="Arial" w:hAnsi="Arial" w:cs="Arial"/>
        </w:rPr>
        <w:t>your</w:t>
      </w:r>
      <w:r w:rsidR="000B5057">
        <w:rPr>
          <w:rFonts w:ascii="Arial" w:hAnsi="Arial" w:cs="Arial"/>
        </w:rPr>
        <w:t xml:space="preserve"> common human encounter. PTSD is not only diagnosed to those who have fought at war. PTSD can be diagnosed to any human being who has </w:t>
      </w:r>
      <w:r w:rsidR="00C96DB3">
        <w:rPr>
          <w:rFonts w:ascii="Arial" w:hAnsi="Arial" w:cs="Arial"/>
        </w:rPr>
        <w:t xml:space="preserve">been involved in </w:t>
      </w:r>
      <w:r w:rsidR="00253353">
        <w:rPr>
          <w:rFonts w:ascii="Arial" w:hAnsi="Arial" w:cs="Arial"/>
        </w:rPr>
        <w:t xml:space="preserve">or has witnessed </w:t>
      </w:r>
      <w:r w:rsidR="00C96DB3">
        <w:rPr>
          <w:rFonts w:ascii="Arial" w:hAnsi="Arial" w:cs="Arial"/>
        </w:rPr>
        <w:t>a tragic event</w:t>
      </w:r>
      <w:r w:rsidR="009E1D84">
        <w:rPr>
          <w:rFonts w:ascii="Arial" w:hAnsi="Arial" w:cs="Arial"/>
        </w:rPr>
        <w:t xml:space="preserve">. This event could be a </w:t>
      </w:r>
      <w:r w:rsidR="00C96DB3">
        <w:rPr>
          <w:rFonts w:ascii="Arial" w:hAnsi="Arial" w:cs="Arial"/>
        </w:rPr>
        <w:t>be natural</w:t>
      </w:r>
      <w:r w:rsidR="009E1D84">
        <w:rPr>
          <w:rFonts w:ascii="Arial" w:hAnsi="Arial" w:cs="Arial"/>
        </w:rPr>
        <w:t xml:space="preserve"> event</w:t>
      </w:r>
      <w:r w:rsidR="00C96DB3">
        <w:rPr>
          <w:rFonts w:ascii="Arial" w:hAnsi="Arial" w:cs="Arial"/>
        </w:rPr>
        <w:t>, such as being a witness to a death or any form of man-made adversity.</w:t>
      </w:r>
    </w:p>
    <w:p w14:paraId="09A8D6B9" w14:textId="7557F430" w:rsidR="0048007A" w:rsidRDefault="0048007A">
      <w:pPr>
        <w:rPr>
          <w:rFonts w:ascii="Arial" w:hAnsi="Arial" w:cs="Arial"/>
        </w:rPr>
      </w:pPr>
      <w:r>
        <w:rPr>
          <w:rFonts w:ascii="Arial" w:hAnsi="Arial" w:cs="Arial"/>
        </w:rPr>
        <w:t xml:space="preserve">PTSD can take place directly after witnessing a tragic event or can take place from weeks, months or years afterwards, the development of PTSD is different for every individual. </w:t>
      </w:r>
      <w:r w:rsidR="00D61A65">
        <w:rPr>
          <w:rFonts w:ascii="Arial" w:hAnsi="Arial" w:cs="Arial"/>
        </w:rPr>
        <w:t xml:space="preserve">Following the Vietnam War, it is to be believed that there were less soldiers being diagnosed with any form of anxiety disorder than there were in the First and Second World War. However, sources state that there were more soldiers from the Vietnam War struggling to adapt to the life of an ordinary citizen than </w:t>
      </w:r>
      <w:r w:rsidR="00384D83">
        <w:rPr>
          <w:rFonts w:ascii="Arial" w:hAnsi="Arial" w:cs="Arial"/>
        </w:rPr>
        <w:t xml:space="preserve">the </w:t>
      </w:r>
      <w:r w:rsidR="00D61A65">
        <w:rPr>
          <w:rFonts w:ascii="Arial" w:hAnsi="Arial" w:cs="Arial"/>
        </w:rPr>
        <w:t>soldiers</w:t>
      </w:r>
      <w:r w:rsidR="00384D83">
        <w:rPr>
          <w:rFonts w:ascii="Arial" w:hAnsi="Arial" w:cs="Arial"/>
        </w:rPr>
        <w:t xml:space="preserve"> from the First and Second World War</w:t>
      </w:r>
      <w:r w:rsidR="00D61A65">
        <w:rPr>
          <w:rFonts w:ascii="Arial" w:hAnsi="Arial" w:cs="Arial"/>
        </w:rPr>
        <w:t xml:space="preserve"> </w:t>
      </w:r>
      <w:r w:rsidR="00384D83">
        <w:rPr>
          <w:rFonts w:ascii="Arial" w:hAnsi="Arial" w:cs="Arial"/>
        </w:rPr>
        <w:t>who returned to a non-combatant life.</w:t>
      </w:r>
    </w:p>
    <w:p w14:paraId="4A3FC0A9" w14:textId="6DB23DD8" w:rsidR="00F819B5" w:rsidRDefault="00F819B5">
      <w:pPr>
        <w:rPr>
          <w:rFonts w:ascii="Arial" w:hAnsi="Arial" w:cs="Arial"/>
        </w:rPr>
      </w:pPr>
      <w:r>
        <w:rPr>
          <w:rFonts w:ascii="Arial" w:hAnsi="Arial" w:cs="Arial"/>
        </w:rPr>
        <w:t xml:space="preserve">Studies show that many Soldiers experienced and felt a large amount of guilt as they remained alive after the Vietnam War when numerous soldiers lost their lives during the warfare. </w:t>
      </w:r>
      <w:r w:rsidR="00CE01E1">
        <w:rPr>
          <w:rFonts w:ascii="Arial" w:hAnsi="Arial" w:cs="Arial"/>
        </w:rPr>
        <w:t xml:space="preserve">It is to be believed that it is usual for a soldier to be impacted with a feeling of guilt after witnessing many of their companions lose their lives at battle. Other utmost attributes of PTSD can include a poor ability to focus, </w:t>
      </w:r>
      <w:r w:rsidR="00D71163">
        <w:rPr>
          <w:rFonts w:ascii="Arial" w:hAnsi="Arial" w:cs="Arial"/>
        </w:rPr>
        <w:t>the inability to sleep, avoiding certain aspects that may trigger their reminder of being at war, tormenting dreams,</w:t>
      </w:r>
      <w:r w:rsidR="00157554">
        <w:rPr>
          <w:rFonts w:ascii="Arial" w:hAnsi="Arial" w:cs="Arial"/>
        </w:rPr>
        <w:t xml:space="preserve"> coping strategies such as immoderate consumption of alcohol / drugs,</w:t>
      </w:r>
      <w:r w:rsidR="00D71163">
        <w:rPr>
          <w:rFonts w:ascii="Arial" w:hAnsi="Arial" w:cs="Arial"/>
        </w:rPr>
        <w:t xml:space="preserve"> etcetera. </w:t>
      </w:r>
    </w:p>
    <w:p w14:paraId="2B81C035" w14:textId="07806BED" w:rsidR="007040D0" w:rsidRDefault="00D71163">
      <w:pPr>
        <w:rPr>
          <w:rFonts w:ascii="Arial" w:hAnsi="Arial" w:cs="Arial"/>
        </w:rPr>
      </w:pPr>
      <w:r>
        <w:rPr>
          <w:rFonts w:ascii="Arial" w:hAnsi="Arial" w:cs="Arial"/>
        </w:rPr>
        <w:t>Sources suggest that if a</w:t>
      </w:r>
      <w:r w:rsidR="00415B4C">
        <w:rPr>
          <w:rFonts w:ascii="Arial" w:hAnsi="Arial" w:cs="Arial"/>
        </w:rPr>
        <w:t>n individual that suffers with PTSD</w:t>
      </w:r>
      <w:r>
        <w:rPr>
          <w:rFonts w:ascii="Arial" w:hAnsi="Arial" w:cs="Arial"/>
        </w:rPr>
        <w:t xml:space="preserve"> were to engage in a</w:t>
      </w:r>
      <w:r w:rsidR="00415B4C">
        <w:rPr>
          <w:rFonts w:ascii="Arial" w:hAnsi="Arial" w:cs="Arial"/>
        </w:rPr>
        <w:t xml:space="preserve"> busy, beneficial community-based environment the individual’s memory of traumatic events that they had experienced are likely not to be processed. However</w:t>
      </w:r>
      <w:r w:rsidR="008047A2">
        <w:rPr>
          <w:rFonts w:ascii="Arial" w:hAnsi="Arial" w:cs="Arial"/>
        </w:rPr>
        <w:t>, this adverts the</w:t>
      </w:r>
      <w:r w:rsidR="00157554">
        <w:rPr>
          <w:rFonts w:ascii="Arial" w:hAnsi="Arial" w:cs="Arial"/>
        </w:rPr>
        <w:t xml:space="preserve"> </w:t>
      </w:r>
      <w:r w:rsidR="008047A2">
        <w:rPr>
          <w:rFonts w:ascii="Arial" w:hAnsi="Arial" w:cs="Arial"/>
        </w:rPr>
        <w:t>recollections</w:t>
      </w:r>
      <w:r w:rsidR="00157554">
        <w:rPr>
          <w:rFonts w:ascii="Arial" w:hAnsi="Arial" w:cs="Arial"/>
        </w:rPr>
        <w:t xml:space="preserve"> of</w:t>
      </w:r>
      <w:r w:rsidR="008047A2">
        <w:rPr>
          <w:rFonts w:ascii="Arial" w:hAnsi="Arial" w:cs="Arial"/>
        </w:rPr>
        <w:t xml:space="preserve"> </w:t>
      </w:r>
      <w:r w:rsidR="00157554">
        <w:rPr>
          <w:rFonts w:ascii="Arial" w:hAnsi="Arial" w:cs="Arial"/>
        </w:rPr>
        <w:t xml:space="preserve">traumatic evets from being fused with the individual’s day-to-day life. In other </w:t>
      </w:r>
      <w:r w:rsidR="0031288C">
        <w:rPr>
          <w:rFonts w:ascii="Arial" w:hAnsi="Arial" w:cs="Arial"/>
        </w:rPr>
        <w:t>terms</w:t>
      </w:r>
      <w:r w:rsidR="00157554">
        <w:rPr>
          <w:rFonts w:ascii="Arial" w:hAnsi="Arial" w:cs="Arial"/>
        </w:rPr>
        <w:t xml:space="preserve">, processing disturbing thoughts of distressing events could result in those thoughts being destroyed in reciprocation corresponding with those events. </w:t>
      </w:r>
    </w:p>
    <w:p w14:paraId="3DCC1402" w14:textId="77777777" w:rsidR="00636FD7" w:rsidRDefault="00636FD7">
      <w:pPr>
        <w:rPr>
          <w:rFonts w:ascii="Arial" w:hAnsi="Arial" w:cs="Arial"/>
        </w:rPr>
      </w:pPr>
    </w:p>
    <w:p w14:paraId="201EBBD7" w14:textId="38A57025" w:rsidR="00DE7E67" w:rsidRDefault="00DE7E67">
      <w:pPr>
        <w:rPr>
          <w:rFonts w:ascii="Arial" w:hAnsi="Arial" w:cs="Arial"/>
          <w:u w:val="single"/>
        </w:rPr>
      </w:pPr>
      <w:r>
        <w:rPr>
          <w:rFonts w:ascii="Arial" w:hAnsi="Arial" w:cs="Arial"/>
          <w:u w:val="single"/>
        </w:rPr>
        <w:t>Part B:</w:t>
      </w:r>
    </w:p>
    <w:p w14:paraId="665FCEFD" w14:textId="6305D67D" w:rsidR="00DE7E67" w:rsidRDefault="00DE7E67">
      <w:pPr>
        <w:rPr>
          <w:rFonts w:ascii="Arial" w:hAnsi="Arial" w:cs="Arial"/>
          <w:u w:val="single"/>
        </w:rPr>
      </w:pPr>
      <w:r>
        <w:rPr>
          <w:rFonts w:ascii="Arial" w:hAnsi="Arial" w:cs="Arial"/>
          <w:u w:val="single"/>
        </w:rPr>
        <w:t>Is gambling an emerging public health issue for Wales, UK?</w:t>
      </w:r>
    </w:p>
    <w:p w14:paraId="7202532C" w14:textId="40BD23E6" w:rsidR="00CE49CA" w:rsidRDefault="005826A1">
      <w:pPr>
        <w:rPr>
          <w:rFonts w:ascii="Arial" w:hAnsi="Arial" w:cs="Arial"/>
        </w:rPr>
      </w:pPr>
      <w:r>
        <w:rPr>
          <w:rFonts w:ascii="Arial" w:hAnsi="Arial" w:cs="Arial"/>
        </w:rPr>
        <w:t>Gambling is</w:t>
      </w:r>
      <w:r w:rsidR="00827F09">
        <w:rPr>
          <w:rFonts w:ascii="Arial" w:hAnsi="Arial" w:cs="Arial"/>
        </w:rPr>
        <w:t xml:space="preserve"> classed as</w:t>
      </w:r>
      <w:r>
        <w:rPr>
          <w:rFonts w:ascii="Arial" w:hAnsi="Arial" w:cs="Arial"/>
        </w:rPr>
        <w:t xml:space="preserve"> an activity that is universal and accepted socially around the UK. There are many forms of gambling, however, not all forms of gambling cause harm to </w:t>
      </w:r>
      <w:r>
        <w:rPr>
          <w:rFonts w:ascii="Arial" w:hAnsi="Arial" w:cs="Arial"/>
        </w:rPr>
        <w:lastRenderedPageBreak/>
        <w:t xml:space="preserve">individuals. It is to be believed that gambling via the internet and betting on fixed odds cause </w:t>
      </w:r>
      <w:r w:rsidR="005B3D20">
        <w:rPr>
          <w:rFonts w:ascii="Arial" w:hAnsi="Arial" w:cs="Arial"/>
        </w:rPr>
        <w:t xml:space="preserve">the </w:t>
      </w:r>
      <w:r>
        <w:rPr>
          <w:rFonts w:ascii="Arial" w:hAnsi="Arial" w:cs="Arial"/>
        </w:rPr>
        <w:t>great</w:t>
      </w:r>
      <w:r w:rsidR="005B3D20">
        <w:rPr>
          <w:rFonts w:ascii="Arial" w:hAnsi="Arial" w:cs="Arial"/>
        </w:rPr>
        <w:t>est</w:t>
      </w:r>
      <w:r>
        <w:rPr>
          <w:rFonts w:ascii="Arial" w:hAnsi="Arial" w:cs="Arial"/>
        </w:rPr>
        <w:t xml:space="preserve"> level of harm to an individual. </w:t>
      </w:r>
    </w:p>
    <w:p w14:paraId="700BF3E4" w14:textId="29C56547" w:rsidR="00124781" w:rsidRDefault="0086727E" w:rsidP="00124781">
      <w:pPr>
        <w:spacing w:before="240"/>
        <w:rPr>
          <w:rFonts w:ascii="Arial" w:hAnsi="Arial" w:cs="Arial"/>
        </w:rPr>
      </w:pPr>
      <w:r>
        <w:rPr>
          <w:rFonts w:ascii="Arial" w:hAnsi="Arial" w:cs="Arial"/>
        </w:rPr>
        <w:t>This study used previous data to estimate a cost of gambling in Wales, estimates show that Wales spend between £40 and £70million</w:t>
      </w:r>
      <w:r w:rsidR="00124781">
        <w:rPr>
          <w:rFonts w:ascii="Arial" w:hAnsi="Arial" w:cs="Arial"/>
        </w:rPr>
        <w:t xml:space="preserve"> by gambling</w:t>
      </w:r>
      <w:r>
        <w:rPr>
          <w:rFonts w:ascii="Arial" w:hAnsi="Arial" w:cs="Arial"/>
        </w:rPr>
        <w:t>. The UK ranked the 10</w:t>
      </w:r>
      <w:r w:rsidRPr="0086727E">
        <w:rPr>
          <w:rFonts w:ascii="Arial" w:hAnsi="Arial" w:cs="Arial"/>
          <w:vertAlign w:val="superscript"/>
        </w:rPr>
        <w:t>th</w:t>
      </w:r>
      <w:r>
        <w:rPr>
          <w:rFonts w:ascii="Arial" w:hAnsi="Arial" w:cs="Arial"/>
        </w:rPr>
        <w:t xml:space="preserve"> highest spendthrift in the world on gambling. 61%</w:t>
      </w:r>
      <w:r w:rsidR="00124781">
        <w:rPr>
          <w:rFonts w:ascii="Arial" w:hAnsi="Arial" w:cs="Arial"/>
        </w:rPr>
        <w:t xml:space="preserve"> (1.5 billion) of</w:t>
      </w:r>
      <w:r>
        <w:rPr>
          <w:rFonts w:ascii="Arial" w:hAnsi="Arial" w:cs="Arial"/>
        </w:rPr>
        <w:t xml:space="preserve"> adults in Wales </w:t>
      </w:r>
      <w:r w:rsidR="00222DCC">
        <w:rPr>
          <w:rFonts w:ascii="Arial" w:hAnsi="Arial" w:cs="Arial"/>
        </w:rPr>
        <w:t>confess</w:t>
      </w:r>
      <w:r>
        <w:rPr>
          <w:rFonts w:ascii="Arial" w:hAnsi="Arial" w:cs="Arial"/>
        </w:rPr>
        <w:t xml:space="preserve"> to gambling in the </w:t>
      </w:r>
      <w:r w:rsidR="00636FD7">
        <w:rPr>
          <w:rFonts w:ascii="Arial" w:hAnsi="Arial" w:cs="Arial"/>
        </w:rPr>
        <w:t>previous year</w:t>
      </w:r>
      <w:r>
        <w:rPr>
          <w:rFonts w:ascii="Arial" w:hAnsi="Arial" w:cs="Arial"/>
        </w:rPr>
        <w:t xml:space="preserve">, only 1.1% </w:t>
      </w:r>
      <w:r w:rsidR="00124781">
        <w:rPr>
          <w:rFonts w:ascii="Arial" w:hAnsi="Arial" w:cs="Arial"/>
        </w:rPr>
        <w:t>out of the 61%</w:t>
      </w:r>
      <w:r w:rsidR="00124781">
        <w:t xml:space="preserve"> </w:t>
      </w:r>
      <w:r>
        <w:rPr>
          <w:rFonts w:ascii="Arial" w:hAnsi="Arial" w:cs="Arial"/>
        </w:rPr>
        <w:t xml:space="preserve">acknowledge that they have </w:t>
      </w:r>
      <w:r w:rsidR="00124781">
        <w:rPr>
          <w:rFonts w:ascii="Arial" w:hAnsi="Arial" w:cs="Arial"/>
        </w:rPr>
        <w:t xml:space="preserve">a gambling problem. Therefore, figures show that gambling in Wales should be acknowledged as an emerging public health issue. </w:t>
      </w:r>
    </w:p>
    <w:p w14:paraId="0A643D38" w14:textId="77777777" w:rsidR="00124781" w:rsidRDefault="00124781">
      <w:pPr>
        <w:rPr>
          <w:rFonts w:ascii="Arial" w:hAnsi="Arial" w:cs="Arial"/>
        </w:rPr>
      </w:pPr>
    </w:p>
    <w:p w14:paraId="77AF574F" w14:textId="22B567EF" w:rsidR="005B3D20" w:rsidRDefault="00CE49CA" w:rsidP="00DA4D6A">
      <w:pPr>
        <w:rPr>
          <w:rFonts w:ascii="Arial" w:hAnsi="Arial" w:cs="Arial"/>
          <w:u w:val="single"/>
        </w:rPr>
      </w:pPr>
      <w:r>
        <w:rPr>
          <w:rFonts w:ascii="Arial" w:hAnsi="Arial" w:cs="Arial"/>
          <w:u w:val="single"/>
        </w:rPr>
        <w:t>The price of sexy: Viewers’ perceptions of a sexualized Versus non</w:t>
      </w:r>
      <w:r w:rsidR="00F86BEA">
        <w:rPr>
          <w:rFonts w:ascii="Arial" w:hAnsi="Arial" w:cs="Arial"/>
          <w:u w:val="single"/>
        </w:rPr>
        <w:t>-</w:t>
      </w:r>
      <w:r>
        <w:rPr>
          <w:rFonts w:ascii="Arial" w:hAnsi="Arial" w:cs="Arial"/>
          <w:u w:val="single"/>
        </w:rPr>
        <w:t>sexualized Facebook profile photograph.</w:t>
      </w:r>
    </w:p>
    <w:p w14:paraId="1ACB1049" w14:textId="180CA8EF" w:rsidR="0022553B" w:rsidRDefault="00256704" w:rsidP="00DA4D6A">
      <w:pPr>
        <w:rPr>
          <w:rFonts w:ascii="Arial" w:hAnsi="Arial" w:cs="Arial"/>
        </w:rPr>
      </w:pPr>
      <w:r>
        <w:rPr>
          <w:rFonts w:ascii="Arial" w:hAnsi="Arial" w:cs="Arial"/>
        </w:rPr>
        <w:t xml:space="preserve">This study </w:t>
      </w:r>
      <w:r w:rsidR="00A84B23">
        <w:rPr>
          <w:rFonts w:ascii="Arial" w:hAnsi="Arial" w:cs="Arial"/>
        </w:rPr>
        <w:t>requested</w:t>
      </w:r>
      <w:r>
        <w:rPr>
          <w:rFonts w:ascii="Arial" w:hAnsi="Arial" w:cs="Arial"/>
        </w:rPr>
        <w:t xml:space="preserve"> 58 women of adolescence and 60 young adult women to </w:t>
      </w:r>
      <w:r w:rsidR="00F86BEA">
        <w:rPr>
          <w:rFonts w:ascii="Arial" w:hAnsi="Arial" w:cs="Arial"/>
        </w:rPr>
        <w:t xml:space="preserve">look at and rate the profile they had been given. One profile </w:t>
      </w:r>
      <w:r w:rsidR="00DC57E8">
        <w:rPr>
          <w:rFonts w:ascii="Arial" w:hAnsi="Arial" w:cs="Arial"/>
        </w:rPr>
        <w:t>contained</w:t>
      </w:r>
      <w:r w:rsidR="00F86BEA">
        <w:rPr>
          <w:rFonts w:ascii="Arial" w:hAnsi="Arial" w:cs="Arial"/>
        </w:rPr>
        <w:t xml:space="preserve"> a sexualized photograph and the other profile </w:t>
      </w:r>
      <w:r w:rsidR="00DC57E8">
        <w:rPr>
          <w:rFonts w:ascii="Arial" w:hAnsi="Arial" w:cs="Arial"/>
        </w:rPr>
        <w:t xml:space="preserve">contained </w:t>
      </w:r>
      <w:r w:rsidR="00F86BEA">
        <w:rPr>
          <w:rFonts w:ascii="Arial" w:hAnsi="Arial" w:cs="Arial"/>
        </w:rPr>
        <w:t>a non-sexualized photograph. The results showed that the profile that contained th</w:t>
      </w:r>
      <w:r w:rsidR="001A5099">
        <w:rPr>
          <w:rFonts w:ascii="Arial" w:hAnsi="Arial" w:cs="Arial"/>
        </w:rPr>
        <w:t xml:space="preserve">e </w:t>
      </w:r>
      <w:r w:rsidR="00F86BEA">
        <w:rPr>
          <w:rFonts w:ascii="Arial" w:hAnsi="Arial" w:cs="Arial"/>
        </w:rPr>
        <w:t>non-sexualized photograph was ranked more attractive tha</w:t>
      </w:r>
      <w:r w:rsidR="006215FB">
        <w:rPr>
          <w:rFonts w:ascii="Arial" w:hAnsi="Arial" w:cs="Arial"/>
        </w:rPr>
        <w:t xml:space="preserve">n </w:t>
      </w:r>
      <w:r w:rsidR="00F86BEA">
        <w:rPr>
          <w:rFonts w:ascii="Arial" w:hAnsi="Arial" w:cs="Arial"/>
        </w:rPr>
        <w:t>the profile with the sexualized photograph.</w:t>
      </w:r>
    </w:p>
    <w:p w14:paraId="64559A40" w14:textId="667FF71D" w:rsidR="00F86BEA" w:rsidRPr="00256704" w:rsidRDefault="00F86BEA" w:rsidP="00DA4D6A">
      <w:pPr>
        <w:rPr>
          <w:rFonts w:ascii="Arial" w:hAnsi="Arial" w:cs="Arial"/>
        </w:rPr>
      </w:pPr>
      <w:r>
        <w:rPr>
          <w:rFonts w:ascii="Arial" w:hAnsi="Arial" w:cs="Arial"/>
        </w:rPr>
        <w:t>Studies show that women who post sexualized photograph</w:t>
      </w:r>
      <w:r w:rsidR="00990B26">
        <w:rPr>
          <w:rFonts w:ascii="Arial" w:hAnsi="Arial" w:cs="Arial"/>
        </w:rPr>
        <w:t xml:space="preserve">s </w:t>
      </w:r>
      <w:r>
        <w:rPr>
          <w:rFonts w:ascii="Arial" w:hAnsi="Arial" w:cs="Arial"/>
        </w:rPr>
        <w:t xml:space="preserve">are more likely to be </w:t>
      </w:r>
      <w:r w:rsidR="001539C6">
        <w:rPr>
          <w:rFonts w:ascii="Arial" w:hAnsi="Arial" w:cs="Arial"/>
        </w:rPr>
        <w:t>considered less</w:t>
      </w:r>
      <w:r>
        <w:rPr>
          <w:rFonts w:ascii="Arial" w:hAnsi="Arial" w:cs="Arial"/>
        </w:rPr>
        <w:t xml:space="preserve"> attractive by other women</w:t>
      </w:r>
      <w:r w:rsidR="00990B26">
        <w:rPr>
          <w:rFonts w:ascii="Arial" w:hAnsi="Arial" w:cs="Arial"/>
        </w:rPr>
        <w:t xml:space="preserve"> </w:t>
      </w:r>
      <w:r w:rsidR="002A4F89">
        <w:rPr>
          <w:rFonts w:ascii="Arial" w:hAnsi="Arial" w:cs="Arial"/>
        </w:rPr>
        <w:t>in comparison to a</w:t>
      </w:r>
      <w:r w:rsidR="00990B26">
        <w:rPr>
          <w:rFonts w:ascii="Arial" w:hAnsi="Arial" w:cs="Arial"/>
        </w:rPr>
        <w:t xml:space="preserve"> woman who posts a non-sexualized photograph</w:t>
      </w:r>
      <w:r>
        <w:rPr>
          <w:rFonts w:ascii="Arial" w:hAnsi="Arial" w:cs="Arial"/>
        </w:rPr>
        <w:t>.</w:t>
      </w:r>
      <w:r w:rsidR="005B1E55">
        <w:rPr>
          <w:rFonts w:ascii="Arial" w:hAnsi="Arial" w:cs="Arial"/>
        </w:rPr>
        <w:t xml:space="preserve"> It is also very important that parents</w:t>
      </w:r>
      <w:r w:rsidR="00C81DB5">
        <w:rPr>
          <w:rFonts w:ascii="Arial" w:hAnsi="Arial" w:cs="Arial"/>
        </w:rPr>
        <w:t xml:space="preserve">, </w:t>
      </w:r>
      <w:r w:rsidR="005B1E55">
        <w:rPr>
          <w:rFonts w:ascii="Arial" w:hAnsi="Arial" w:cs="Arial"/>
        </w:rPr>
        <w:t>guardians</w:t>
      </w:r>
      <w:r w:rsidR="00C81DB5">
        <w:rPr>
          <w:rFonts w:ascii="Arial" w:hAnsi="Arial" w:cs="Arial"/>
        </w:rPr>
        <w:t xml:space="preserve">, role models, </w:t>
      </w:r>
      <w:r w:rsidR="00990B26">
        <w:rPr>
          <w:rFonts w:ascii="Arial" w:hAnsi="Arial" w:cs="Arial"/>
        </w:rPr>
        <w:t>work alongside the new generation of social media to ensure they develop essential skills such as; critical thinking skills to ensure they are presenting themselves in a positive way.</w:t>
      </w:r>
    </w:p>
    <w:p w14:paraId="7F97C04E" w14:textId="77777777" w:rsidR="00CE49CA" w:rsidRDefault="00CE49CA">
      <w:pPr>
        <w:rPr>
          <w:rFonts w:ascii="Arial" w:hAnsi="Arial" w:cs="Arial"/>
          <w:u w:val="single"/>
        </w:rPr>
      </w:pPr>
    </w:p>
    <w:p w14:paraId="135E9879" w14:textId="2D557028" w:rsidR="00CE49CA" w:rsidRDefault="00CE49CA">
      <w:pPr>
        <w:rPr>
          <w:rFonts w:ascii="Arial" w:hAnsi="Arial" w:cs="Arial"/>
          <w:u w:val="single"/>
        </w:rPr>
      </w:pPr>
      <w:r>
        <w:rPr>
          <w:rFonts w:ascii="Arial" w:hAnsi="Arial" w:cs="Arial"/>
          <w:u w:val="single"/>
        </w:rPr>
        <w:t>The role of narcissism in health risk and health protective behaviors.</w:t>
      </w:r>
    </w:p>
    <w:p w14:paraId="6D6741D5" w14:textId="0AB7C394" w:rsidR="004D7547" w:rsidRDefault="004D7547" w:rsidP="004D7547">
      <w:pPr>
        <w:rPr>
          <w:rFonts w:ascii="Arial" w:hAnsi="Arial" w:cs="Arial"/>
        </w:rPr>
      </w:pPr>
      <w:r>
        <w:rPr>
          <w:rFonts w:ascii="Arial" w:hAnsi="Arial" w:cs="Arial"/>
        </w:rPr>
        <w:t xml:space="preserve">This study gathered 365 undergraduate students </w:t>
      </w:r>
      <w:r w:rsidR="00E37572">
        <w:rPr>
          <w:rFonts w:ascii="Arial" w:hAnsi="Arial" w:cs="Arial"/>
        </w:rPr>
        <w:t>that attend a</w:t>
      </w:r>
      <w:r>
        <w:rPr>
          <w:rFonts w:ascii="Arial" w:hAnsi="Arial" w:cs="Arial"/>
        </w:rPr>
        <w:t xml:space="preserve"> University </w:t>
      </w:r>
      <w:r w:rsidR="00E37572">
        <w:rPr>
          <w:rFonts w:ascii="Arial" w:hAnsi="Arial" w:cs="Arial"/>
        </w:rPr>
        <w:t xml:space="preserve">that </w:t>
      </w:r>
      <w:r w:rsidR="00350AB8">
        <w:rPr>
          <w:rFonts w:ascii="Arial" w:hAnsi="Arial" w:cs="Arial"/>
        </w:rPr>
        <w:t>is in</w:t>
      </w:r>
      <w:r>
        <w:rPr>
          <w:rFonts w:ascii="Arial" w:hAnsi="Arial" w:cs="Arial"/>
        </w:rPr>
        <w:t xml:space="preserve"> the United States</w:t>
      </w:r>
      <w:r w:rsidR="00A55286">
        <w:rPr>
          <w:rFonts w:ascii="Arial" w:hAnsi="Arial" w:cs="Arial"/>
        </w:rPr>
        <w:t xml:space="preserve"> to investigate the association between narcissism, health risk and health protective behaviours</w:t>
      </w:r>
      <w:r>
        <w:rPr>
          <w:rFonts w:ascii="Arial" w:hAnsi="Arial" w:cs="Arial"/>
        </w:rPr>
        <w:t xml:space="preserve">. 129 participants were male, and 236 participants were female. A questionnaire was given to the students to complete. The questionnaire included questions </w:t>
      </w:r>
      <w:r w:rsidR="00A55286">
        <w:rPr>
          <w:rFonts w:ascii="Arial" w:hAnsi="Arial" w:cs="Arial"/>
        </w:rPr>
        <w:t>regarding</w:t>
      </w:r>
      <w:r>
        <w:rPr>
          <w:rFonts w:ascii="Arial" w:hAnsi="Arial" w:cs="Arial"/>
        </w:rPr>
        <w:t xml:space="preserve"> smoking, alcoh</w:t>
      </w:r>
      <w:r w:rsidR="00A55286">
        <w:rPr>
          <w:rFonts w:ascii="Arial" w:hAnsi="Arial" w:cs="Arial"/>
        </w:rPr>
        <w:t>ol, drug use, diet and sexual activity.</w:t>
      </w:r>
      <w:r w:rsidR="004D1C12">
        <w:rPr>
          <w:rFonts w:ascii="Arial" w:hAnsi="Arial" w:cs="Arial"/>
        </w:rPr>
        <w:t xml:space="preserve"> There were also two statements given to each student, the students could only choose one of the two. One statement was described as having narcissistic characteristics and the other non-narcissistic. </w:t>
      </w:r>
    </w:p>
    <w:p w14:paraId="6C53F359" w14:textId="037B0442" w:rsidR="0089267D" w:rsidRDefault="0089267D" w:rsidP="004D7547">
      <w:pPr>
        <w:rPr>
          <w:rFonts w:ascii="Arial" w:hAnsi="Arial" w:cs="Arial"/>
        </w:rPr>
      </w:pPr>
      <w:r>
        <w:rPr>
          <w:rFonts w:ascii="Arial" w:hAnsi="Arial" w:cs="Arial"/>
        </w:rPr>
        <w:t xml:space="preserve">The results gathered by this study showed verification between the elements tested. Although study shows that narcissism has an impact on health risk / behaviours and other elements, further experimentation would need to be carried out to be able to link cognitive, </w:t>
      </w:r>
      <w:r w:rsidR="0022553B">
        <w:rPr>
          <w:rFonts w:ascii="Arial" w:hAnsi="Arial" w:cs="Arial"/>
        </w:rPr>
        <w:t xml:space="preserve">social and motivational components </w:t>
      </w:r>
      <w:r w:rsidR="00F81D89">
        <w:rPr>
          <w:rFonts w:ascii="Arial" w:hAnsi="Arial" w:cs="Arial"/>
        </w:rPr>
        <w:t>to primary</w:t>
      </w:r>
      <w:r w:rsidR="0022553B">
        <w:rPr>
          <w:rFonts w:ascii="Arial" w:hAnsi="Arial" w:cs="Arial"/>
        </w:rPr>
        <w:t xml:space="preserve"> link</w:t>
      </w:r>
      <w:r w:rsidR="00F81D89">
        <w:rPr>
          <w:rFonts w:ascii="Arial" w:hAnsi="Arial" w:cs="Arial"/>
        </w:rPr>
        <w:t>s</w:t>
      </w:r>
      <w:r w:rsidR="0022553B">
        <w:rPr>
          <w:rFonts w:ascii="Arial" w:hAnsi="Arial" w:cs="Arial"/>
        </w:rPr>
        <w:t xml:space="preserve"> between narcissism and health risk / protective behaviours.</w:t>
      </w:r>
    </w:p>
    <w:p w14:paraId="7F86A181" w14:textId="77777777" w:rsidR="00092009" w:rsidRDefault="00092009" w:rsidP="00092009">
      <w:pPr>
        <w:spacing w:after="0"/>
        <w:ind w:left="16" w:hanging="10"/>
        <w:jc w:val="center"/>
        <w:rPr>
          <w:u w:val="single"/>
        </w:rPr>
      </w:pPr>
      <w:r>
        <w:rPr>
          <w:b/>
          <w:u w:val="single"/>
        </w:rPr>
        <w:t xml:space="preserve">Jumbled Reference List </w:t>
      </w:r>
    </w:p>
    <w:p w14:paraId="6AEECF11" w14:textId="77777777" w:rsidR="00092009" w:rsidRDefault="00092009" w:rsidP="00092009">
      <w:pPr>
        <w:spacing w:after="0"/>
      </w:pPr>
    </w:p>
    <w:p w14:paraId="668AAD18" w14:textId="77777777" w:rsidR="00092009" w:rsidRDefault="00092009" w:rsidP="00092009">
      <w:pPr>
        <w:spacing w:after="0"/>
        <w:ind w:left="705"/>
      </w:pPr>
      <w:r>
        <w:t xml:space="preserve">(2017, September 10) Computerised cognitive behavioural therapy. Mental Health Foundation [Audio podcast]. </w:t>
      </w:r>
      <w:hyperlink r:id="rId6" w:history="1">
        <w:r>
          <w:rPr>
            <w:rStyle w:val="Hyperlink"/>
          </w:rPr>
          <w:t>http://www.mentalhealth.org.uk/podcasts</w:t>
        </w:r>
      </w:hyperlink>
      <w:hyperlink r:id="rId7" w:history="1">
        <w:r>
          <w:rPr>
            <w:rStyle w:val="Hyperlink"/>
            <w:color w:val="0562C1"/>
          </w:rPr>
          <w:t>and-videos/computerised-cognitivebehavioural-therapy</w:t>
        </w:r>
      </w:hyperlink>
      <w:hyperlink r:id="rId8" w:history="1">
        <w:r>
          <w:rPr>
            <w:rStyle w:val="Hyperlink"/>
          </w:rPr>
          <w:t xml:space="preserve"> </w:t>
        </w:r>
      </w:hyperlink>
    </w:p>
    <w:p w14:paraId="711F5D8A" w14:textId="77777777" w:rsidR="00092009" w:rsidRDefault="00092009" w:rsidP="00092009">
      <w:pPr>
        <w:spacing w:after="0"/>
        <w:ind w:left="705"/>
      </w:pPr>
    </w:p>
    <w:p w14:paraId="5B545F95" w14:textId="77777777" w:rsidR="00092009" w:rsidRDefault="00092009" w:rsidP="00092009">
      <w:pPr>
        <w:spacing w:after="0"/>
        <w:ind w:left="705"/>
      </w:pPr>
      <w:r>
        <w:rPr>
          <w:i/>
          <w:iCs/>
        </w:rPr>
        <w:t>Adult drinking habits in Great Britain: 2005 to 2016</w:t>
      </w:r>
      <w:r>
        <w:t xml:space="preserve">. (2016). Office for National Statistics, </w:t>
      </w:r>
      <w:hyperlink r:id="rId9" w:history="1">
        <w:r>
          <w:rPr>
            <w:rStyle w:val="Hyperlink"/>
          </w:rPr>
          <w:t xml:space="preserve">https://www.ons.gov.uk/peoplepopulationandcommunity/healthandsocialcare/ </w:t>
        </w:r>
      </w:hyperlink>
      <w:hyperlink r:id="rId10" w:history="1">
        <w:r>
          <w:rPr>
            <w:rStyle w:val="Hyperlink"/>
            <w:color w:val="0562C1"/>
          </w:rPr>
          <w:t xml:space="preserve">drugusealcoholandsmoking/bulletins/opinionsandlifestylesurveyadultdrinkingh </w:t>
        </w:r>
      </w:hyperlink>
      <w:hyperlink r:id="rId11" w:history="1">
        <w:r>
          <w:rPr>
            <w:rStyle w:val="Hyperlink"/>
            <w:color w:val="0562C1"/>
          </w:rPr>
          <w:t>abit singreatbritain/2005to2016</w:t>
        </w:r>
      </w:hyperlink>
      <w:hyperlink r:id="rId12" w:history="1">
        <w:r>
          <w:rPr>
            <w:rStyle w:val="Hyperlink"/>
          </w:rPr>
          <w:t xml:space="preserve"> </w:t>
        </w:r>
      </w:hyperlink>
    </w:p>
    <w:p w14:paraId="4EE3B90F" w14:textId="77777777" w:rsidR="00092009" w:rsidRDefault="00092009" w:rsidP="00092009">
      <w:pPr>
        <w:spacing w:after="0"/>
        <w:ind w:left="705"/>
      </w:pPr>
    </w:p>
    <w:p w14:paraId="113F5DCD" w14:textId="77777777" w:rsidR="00092009" w:rsidRDefault="00092009" w:rsidP="00092009">
      <w:pPr>
        <w:spacing w:after="0"/>
        <w:ind w:left="705"/>
      </w:pPr>
      <w:r>
        <w:t>Bennett, P. (2011). 3</w:t>
      </w:r>
      <w:r>
        <w:rPr>
          <w:vertAlign w:val="superscript"/>
        </w:rPr>
        <w:t>rd</w:t>
      </w:r>
      <w:r>
        <w:t xml:space="preserve"> edition. </w:t>
      </w:r>
      <w:r>
        <w:rPr>
          <w:i/>
          <w:iCs/>
        </w:rPr>
        <w:t xml:space="preserve">Abnormal and clinical psychology: an introductory textbook. </w:t>
      </w:r>
      <w:r>
        <w:t xml:space="preserve">Berkshire: Open university press. </w:t>
      </w:r>
    </w:p>
    <w:p w14:paraId="46FE43C9" w14:textId="77777777" w:rsidR="00092009" w:rsidRDefault="00092009" w:rsidP="00092009">
      <w:pPr>
        <w:spacing w:after="0"/>
        <w:ind w:left="705"/>
      </w:pPr>
    </w:p>
    <w:p w14:paraId="237B4658" w14:textId="77777777" w:rsidR="00092009" w:rsidRDefault="00092009" w:rsidP="00092009">
      <w:pPr>
        <w:spacing w:after="0"/>
        <w:ind w:left="705"/>
      </w:pPr>
      <w:r>
        <w:t xml:space="preserve">Davey, G. (2014). </w:t>
      </w:r>
      <w:r>
        <w:rPr>
          <w:i/>
          <w:iCs/>
        </w:rPr>
        <w:t>Psychopathology: Research, Assessment, and Treatment in Clinical Psychology</w:t>
      </w:r>
      <w:r>
        <w:t xml:space="preserve"> (2nd ed), Oxford: Blackwell. </w:t>
      </w:r>
    </w:p>
    <w:p w14:paraId="4B466D05" w14:textId="77777777" w:rsidR="00092009" w:rsidRDefault="00092009" w:rsidP="00092009">
      <w:pPr>
        <w:spacing w:after="0"/>
        <w:ind w:left="705"/>
      </w:pPr>
      <w:r>
        <w:t>Day, S. (2015, September 9-11). “Families experience of Poverty Stigma in Education”. Developmental Psychology Section, 46(</w:t>
      </w:r>
      <w:r>
        <w:rPr>
          <w:i/>
          <w:iCs/>
        </w:rPr>
        <w:t>6</w:t>
      </w:r>
      <w:r>
        <w:t>), 369-375. University of Central Lancashire.</w:t>
      </w:r>
    </w:p>
    <w:p w14:paraId="67D1247E" w14:textId="77777777" w:rsidR="00092009" w:rsidRDefault="00092009" w:rsidP="00092009">
      <w:pPr>
        <w:spacing w:after="0"/>
        <w:ind w:left="705"/>
      </w:pPr>
    </w:p>
    <w:p w14:paraId="5D71E125" w14:textId="77777777" w:rsidR="00092009" w:rsidRDefault="00092009" w:rsidP="00092009">
      <w:pPr>
        <w:spacing w:after="0"/>
        <w:ind w:left="705"/>
      </w:pPr>
      <w:r>
        <w:t xml:space="preserve">Geekie, J., &amp; Read, J. (2009). </w:t>
      </w:r>
      <w:r>
        <w:rPr>
          <w:i/>
          <w:iCs/>
        </w:rPr>
        <w:t>Making sense of madness: Contesting the meaning of schizophrenia.</w:t>
      </w:r>
      <w:r>
        <w:t xml:space="preserve"> London: Routledge Taylor &amp; Francis. [E-book]. </w:t>
      </w:r>
      <w:hyperlink r:id="rId13" w:history="1">
        <w:r>
          <w:rPr>
            <w:rStyle w:val="Hyperlink"/>
            <w:color w:val="0562C1"/>
          </w:rPr>
          <w:t>http://www.tandfebooks.com/doi/view/10.4324/9780203878422</w:t>
        </w:r>
      </w:hyperlink>
      <w:hyperlink r:id="rId14" w:history="1">
        <w:r>
          <w:rPr>
            <w:rStyle w:val="Hyperlink"/>
          </w:rPr>
          <w:t xml:space="preserve"> </w:t>
        </w:r>
      </w:hyperlink>
    </w:p>
    <w:p w14:paraId="74D72D71" w14:textId="77777777" w:rsidR="00092009" w:rsidRDefault="00092009" w:rsidP="00092009">
      <w:pPr>
        <w:spacing w:after="0"/>
        <w:ind w:left="705"/>
      </w:pPr>
    </w:p>
    <w:p w14:paraId="7DF7428E" w14:textId="77777777" w:rsidR="00092009" w:rsidRDefault="00092009" w:rsidP="00092009">
      <w:pPr>
        <w:spacing w:after="0"/>
        <w:ind w:left="705"/>
      </w:pPr>
      <w:r>
        <w:t>Hanton, S., &amp; Mellalieu, S, D. (2006). Psychological Response to Sport Injury.</w:t>
      </w:r>
      <w:r>
        <w:rPr>
          <w:i/>
          <w:iCs/>
        </w:rPr>
        <w:t xml:space="preserve"> </w:t>
      </w:r>
      <w:r>
        <w:t>Evans, L., Mitchell I, D., &amp; Jones, S.</w:t>
      </w:r>
      <w:r>
        <w:rPr>
          <w:i/>
          <w:iCs/>
        </w:rPr>
        <w:t xml:space="preserve"> Literature reviews in Sport Psychology</w:t>
      </w:r>
      <w:r>
        <w:t>. (289-319) Hauppage, NY: Nova Science Publications.</w:t>
      </w:r>
    </w:p>
    <w:p w14:paraId="11C14131" w14:textId="77777777" w:rsidR="00092009" w:rsidRDefault="00092009" w:rsidP="00092009">
      <w:pPr>
        <w:spacing w:after="0"/>
        <w:ind w:left="705"/>
      </w:pPr>
    </w:p>
    <w:p w14:paraId="3DEEB52A" w14:textId="77777777" w:rsidR="00092009" w:rsidRDefault="00092009" w:rsidP="00092009">
      <w:pPr>
        <w:spacing w:after="0"/>
        <w:ind w:left="705"/>
      </w:pPr>
      <w:r>
        <w:t xml:space="preserve">Hefferon, K., &amp; Boniwell, I. (2011). </w:t>
      </w:r>
      <w:r>
        <w:rPr>
          <w:i/>
          <w:iCs/>
        </w:rPr>
        <w:t>Positive psychology: theory, research and applications.</w:t>
      </w:r>
      <w:r>
        <w:t xml:space="preserve"> New York, New York: Open Press University.</w:t>
      </w:r>
    </w:p>
    <w:p w14:paraId="09A8E739" w14:textId="77777777" w:rsidR="00092009" w:rsidRDefault="00092009" w:rsidP="00092009">
      <w:pPr>
        <w:spacing w:after="0"/>
        <w:ind w:left="705"/>
      </w:pPr>
    </w:p>
    <w:p w14:paraId="2FBB3CD1" w14:textId="77777777" w:rsidR="00092009" w:rsidRDefault="00092009" w:rsidP="00092009">
      <w:pPr>
        <w:spacing w:after="0"/>
        <w:ind w:left="705"/>
      </w:pPr>
      <w:r>
        <w:t xml:space="preserve">Hill, E, M. (2015). </w:t>
      </w:r>
      <w:r>
        <w:rPr>
          <w:i/>
          <w:iCs/>
        </w:rPr>
        <w:t>The role of narcissism in health-risk and health-protective behaviors.</w:t>
      </w:r>
      <w:r>
        <w:t xml:space="preserve"> Journal of health psychology. 1-12. DOI: 10.1177/1359105315569858 </w:t>
      </w:r>
    </w:p>
    <w:p w14:paraId="3D18DFDD" w14:textId="77777777" w:rsidR="00092009" w:rsidRDefault="00092009" w:rsidP="00092009">
      <w:pPr>
        <w:spacing w:after="0"/>
        <w:ind w:left="705"/>
      </w:pPr>
    </w:p>
    <w:p w14:paraId="7E50F520" w14:textId="77777777" w:rsidR="00092009" w:rsidRDefault="00092009" w:rsidP="00092009">
      <w:pPr>
        <w:spacing w:after="0"/>
        <w:ind w:left="705"/>
      </w:pPr>
      <w:r>
        <w:t xml:space="preserve">Mazetti, G.,Schaufeli, W. B., &amp; Guglielmi, D. (2014). </w:t>
      </w:r>
      <w:r>
        <w:rPr>
          <w:i/>
          <w:iCs/>
        </w:rPr>
        <w:t xml:space="preserve">Are workaholics born or made? Relations of workaholism with person characteristics and overwork climate. </w:t>
      </w:r>
      <w:r>
        <w:t xml:space="preserve">International journal of stress management, </w:t>
      </w:r>
      <w:r>
        <w:rPr>
          <w:i/>
          <w:iCs/>
        </w:rPr>
        <w:t>23</w:t>
      </w:r>
      <w:r>
        <w:t>(3), 227-254.</w:t>
      </w:r>
    </w:p>
    <w:p w14:paraId="02D8D6A6" w14:textId="77777777" w:rsidR="00092009" w:rsidRDefault="00092009" w:rsidP="00092009">
      <w:pPr>
        <w:spacing w:after="0"/>
        <w:ind w:left="705"/>
      </w:pPr>
    </w:p>
    <w:p w14:paraId="53AF41E5" w14:textId="77777777" w:rsidR="00092009" w:rsidRDefault="00092009" w:rsidP="00092009">
      <w:pPr>
        <w:spacing w:after="0"/>
        <w:ind w:left="705"/>
      </w:pPr>
      <w:r>
        <w:t xml:space="preserve">Mohamed, S. (2011) </w:t>
      </w:r>
      <w:r>
        <w:rPr>
          <w:i/>
          <w:iCs/>
        </w:rPr>
        <w:t xml:space="preserve">Doctoral dissertation, Stigma and mental illness: are there cultural differences? </w:t>
      </w:r>
      <w:r>
        <w:t>573-771. University of East Anglia, EThOS, uk.bl.ethos.</w:t>
      </w:r>
    </w:p>
    <w:p w14:paraId="057FD2C0" w14:textId="77777777" w:rsidR="00092009" w:rsidRDefault="00092009" w:rsidP="00092009">
      <w:pPr>
        <w:spacing w:after="0"/>
        <w:ind w:left="705"/>
      </w:pPr>
    </w:p>
    <w:p w14:paraId="13C4D117" w14:textId="77777777" w:rsidR="00092009" w:rsidRDefault="00092009" w:rsidP="00092009">
      <w:pPr>
        <w:spacing w:after="0"/>
        <w:ind w:left="705"/>
      </w:pPr>
      <w:r>
        <w:t xml:space="preserve">Phelps, C., Minou, M., Baker, A., Hughes, C., French, H., Hawkins, W., Leeuwenberg, A., Crabtree, R., &amp; Hutichings, P, B. (2017). </w:t>
      </w:r>
      <w:r>
        <w:rPr>
          <w:i/>
          <w:iCs/>
        </w:rPr>
        <w:t>Necessary but not sufficient? Engaging young people in the development of an avatar-based online intervention designed to provide psychosocial support to young people affected by their own or a family member’s cancer diagnosis.</w:t>
      </w:r>
      <w:r>
        <w:t xml:space="preserve"> Health Expectations, </w:t>
      </w:r>
      <w:r>
        <w:rPr>
          <w:i/>
          <w:iCs/>
        </w:rPr>
        <w:t>20</w:t>
      </w:r>
      <w:r>
        <w:t>(3), 459-470.</w:t>
      </w:r>
    </w:p>
    <w:p w14:paraId="009621D2" w14:textId="77777777" w:rsidR="00092009" w:rsidRDefault="00092009" w:rsidP="00092009">
      <w:pPr>
        <w:spacing w:after="0"/>
        <w:ind w:left="705"/>
      </w:pPr>
    </w:p>
    <w:p w14:paraId="1A9C2D30" w14:textId="77777777" w:rsidR="00092009" w:rsidRDefault="00092009" w:rsidP="00092009">
      <w:pPr>
        <w:spacing w:after="0"/>
        <w:ind w:left="705"/>
      </w:pPr>
      <w:r>
        <w:t xml:space="preserve">Tarrier, N., Liversidge, T., Gregg, L. (2006). </w:t>
      </w:r>
      <w:r>
        <w:rPr>
          <w:i/>
          <w:iCs/>
        </w:rPr>
        <w:t xml:space="preserve">The acceptability and preference for the psychological treatment of PTSD. </w:t>
      </w:r>
      <w:r>
        <w:t xml:space="preserve">Behaviour, research and therapy. 44, 1643-1656. </w:t>
      </w:r>
    </w:p>
    <w:p w14:paraId="747E513E" w14:textId="77777777" w:rsidR="00092009" w:rsidRDefault="00092009" w:rsidP="00092009">
      <w:pPr>
        <w:spacing w:after="0"/>
        <w:ind w:left="705"/>
      </w:pPr>
    </w:p>
    <w:p w14:paraId="2CFFB5D1" w14:textId="77777777" w:rsidR="00092009" w:rsidRDefault="00092009" w:rsidP="00092009">
      <w:pPr>
        <w:spacing w:after="0"/>
        <w:ind w:left="705"/>
      </w:pPr>
      <w:r>
        <w:t xml:space="preserve">Ulleberg, P., &amp; Rundmo, T. (2003). </w:t>
      </w:r>
      <w:r>
        <w:rPr>
          <w:i/>
          <w:iCs/>
        </w:rPr>
        <w:t>‘Personality, attitudes and risk perception as predictors of risky driving behaviour among young drivers.’</w:t>
      </w:r>
      <w:r>
        <w:t xml:space="preserve"> Safety Science, 41, 427-443. </w:t>
      </w:r>
    </w:p>
    <w:p w14:paraId="68EEDF93" w14:textId="77777777" w:rsidR="00092009" w:rsidRDefault="00092009" w:rsidP="00092009">
      <w:pPr>
        <w:spacing w:after="0"/>
        <w:ind w:left="705"/>
      </w:pPr>
    </w:p>
    <w:p w14:paraId="2F0403A3" w14:textId="77777777" w:rsidR="00092009" w:rsidRDefault="00092009" w:rsidP="00092009">
      <w:pPr>
        <w:spacing w:after="0"/>
        <w:ind w:left="705"/>
      </w:pPr>
      <w:r>
        <w:t xml:space="preserve">Van Hasselt, V, B., Romano, S, J., Vecchi, G, M. (2008) </w:t>
      </w:r>
      <w:r>
        <w:rPr>
          <w:i/>
          <w:iCs/>
        </w:rPr>
        <w:t>Role playing: Applications in hostage and crisis negotiation skills training.</w:t>
      </w:r>
      <w:r>
        <w:t xml:space="preserve"> Behavior Modification, 32</w:t>
      </w:r>
      <w:r>
        <w:rPr>
          <w:i/>
          <w:iCs/>
        </w:rPr>
        <w:t>(2)</w:t>
      </w:r>
      <w:r>
        <w:t xml:space="preserve">, 248-263. DOI: 10.1177/0145445507308281 </w:t>
      </w:r>
    </w:p>
    <w:p w14:paraId="480C5A02" w14:textId="77777777" w:rsidR="00092009" w:rsidRDefault="00092009" w:rsidP="00092009">
      <w:pPr>
        <w:spacing w:after="0"/>
        <w:ind w:left="705"/>
      </w:pPr>
    </w:p>
    <w:p w14:paraId="1CE5D7BE" w14:textId="77777777" w:rsidR="00092009" w:rsidRDefault="00092009" w:rsidP="00092009">
      <w:pPr>
        <w:spacing w:after="0"/>
        <w:ind w:left="705"/>
      </w:pPr>
      <w:r>
        <w:lastRenderedPageBreak/>
        <w:t xml:space="preserve">Vartanian, L, R., Trewartha, T., &amp; Vanman, E, J. (2016). </w:t>
      </w:r>
      <w:r>
        <w:rPr>
          <w:i/>
          <w:iCs/>
        </w:rPr>
        <w:t>Disgust predicts prejudice and discrimination toward individuals with obesity.</w:t>
      </w:r>
      <w:r>
        <w:t xml:space="preserve"> Journal of Applied Social Psychology, 46(</w:t>
      </w:r>
      <w:r>
        <w:rPr>
          <w:i/>
          <w:iCs/>
        </w:rPr>
        <w:t>6</w:t>
      </w:r>
      <w:r>
        <w:t xml:space="preserve">), 369-375.  </w:t>
      </w:r>
    </w:p>
    <w:p w14:paraId="389265C5" w14:textId="77777777" w:rsidR="00092009" w:rsidRDefault="00092009" w:rsidP="00092009">
      <w:pPr>
        <w:spacing w:after="0"/>
        <w:ind w:left="705"/>
      </w:pPr>
    </w:p>
    <w:p w14:paraId="635716EC" w14:textId="77777777" w:rsidR="00092009" w:rsidRDefault="00092009" w:rsidP="00092009">
      <w:pPr>
        <w:spacing w:after="0"/>
        <w:ind w:left="705"/>
      </w:pPr>
      <w:r>
        <w:t xml:space="preserve">Voigt, D, C., Dillard, J, P., Braddock, K, H., Anderson, J, W., Sopory, P., Stephenson, M, T. (2009). </w:t>
      </w:r>
      <w:r>
        <w:rPr>
          <w:i/>
          <w:iCs/>
        </w:rPr>
        <w:t xml:space="preserve">Carver and White’s (1994) BIS/BAS scales and their relationship to risky health behaviours. </w:t>
      </w:r>
      <w:r>
        <w:t>Personality and individual differences. 47, 89-93.</w:t>
      </w:r>
    </w:p>
    <w:p w14:paraId="1F174C34" w14:textId="77777777" w:rsidR="00092009" w:rsidRDefault="00092009" w:rsidP="00092009">
      <w:pPr>
        <w:spacing w:after="0" w:line="264" w:lineRule="auto"/>
        <w:ind w:left="705"/>
      </w:pPr>
    </w:p>
    <w:p w14:paraId="5BD33304" w14:textId="77777777" w:rsidR="00092009" w:rsidRDefault="00092009" w:rsidP="00092009">
      <w:pPr>
        <w:spacing w:after="0"/>
        <w:ind w:left="705"/>
      </w:pPr>
      <w:r>
        <w:t xml:space="preserve">Welsh Government. (2015). </w:t>
      </w:r>
      <w:r>
        <w:rPr>
          <w:i/>
          <w:iCs/>
        </w:rPr>
        <w:t>Well-being of future generations (Wales) act.</w:t>
      </w:r>
      <w:r>
        <w:t xml:space="preserve"> United Kingdom: The Office Stationary Limited. </w:t>
      </w:r>
    </w:p>
    <w:p w14:paraId="50590F45" w14:textId="77777777" w:rsidR="00092009" w:rsidRDefault="00092009" w:rsidP="00092009">
      <w:pPr>
        <w:spacing w:after="0"/>
        <w:ind w:left="705"/>
      </w:pPr>
    </w:p>
    <w:p w14:paraId="03ABBCB6" w14:textId="77777777" w:rsidR="00092009" w:rsidRDefault="00092009" w:rsidP="00092009">
      <w:pPr>
        <w:spacing w:after="0"/>
        <w:ind w:left="705"/>
      </w:pPr>
      <w:r>
        <w:t xml:space="preserve">Williamson, H. (2016, October 12-14). Conference Poster: </w:t>
      </w:r>
      <w:r>
        <w:rPr>
          <w:i/>
          <w:iCs/>
        </w:rPr>
        <w:t xml:space="preserve">Supporting adolescent struggling with appearance-altering conditions: the feasibility of using an online psychosocial intervention (YP Face IT) in primary care. </w:t>
      </w:r>
      <w:r>
        <w:t xml:space="preserve">Centre of Appearance Research: Annual Primary Care Conference, University of the West of England, Royal College of General Practitioners. </w:t>
      </w:r>
    </w:p>
    <w:p w14:paraId="6E734225" w14:textId="77777777" w:rsidR="00092009" w:rsidRDefault="00092009" w:rsidP="00092009">
      <w:pPr>
        <w:spacing w:after="0" w:line="264" w:lineRule="auto"/>
        <w:ind w:left="705"/>
      </w:pPr>
    </w:p>
    <w:p w14:paraId="56BD6FD7" w14:textId="77777777" w:rsidR="00092009" w:rsidRDefault="00092009" w:rsidP="00092009">
      <w:pPr>
        <w:spacing w:after="0"/>
        <w:ind w:left="705"/>
      </w:pPr>
      <w:r>
        <w:t xml:space="preserve">Young, E. (2017, September 18). Women know better than men what other women are thinking and feeling, Research Digest, The British Psychological Society. </w:t>
      </w:r>
      <w:hyperlink r:id="rId15" w:history="1">
        <w:r>
          <w:rPr>
            <w:rStyle w:val="Hyperlink"/>
            <w:color w:val="0562C1"/>
          </w:rPr>
          <w:t>https://digest.bps.org.uk/2017/09/18/women-know-better-than</w:t>
        </w:r>
      </w:hyperlink>
      <w:hyperlink r:id="rId16" w:history="1">
        <w:r>
          <w:rPr>
            <w:rStyle w:val="Hyperlink"/>
            <w:color w:val="0562C1"/>
          </w:rPr>
          <w:t>menwhat-other-women-are-thinking-and-feeling/</w:t>
        </w:r>
      </w:hyperlink>
      <w:hyperlink r:id="rId17" w:history="1">
        <w:r>
          <w:rPr>
            <w:rStyle w:val="Hyperlink"/>
          </w:rPr>
          <w:t xml:space="preserve"> </w:t>
        </w:r>
      </w:hyperlink>
    </w:p>
    <w:p w14:paraId="3C78623F" w14:textId="77777777" w:rsidR="00092009" w:rsidRDefault="00092009" w:rsidP="00092009">
      <w:pPr>
        <w:rPr>
          <w:rFonts w:ascii="Arial" w:hAnsi="Arial" w:cs="Arial"/>
        </w:rPr>
      </w:pPr>
    </w:p>
    <w:p w14:paraId="715DEE3D" w14:textId="77777777" w:rsidR="00092009" w:rsidRDefault="00092009" w:rsidP="00092009">
      <w:pPr>
        <w:rPr>
          <w:b/>
          <w:u w:val="single"/>
        </w:rPr>
      </w:pPr>
    </w:p>
    <w:p w14:paraId="1D17FFB5" w14:textId="3D47021A" w:rsidR="00DF51D1" w:rsidRPr="00A22409" w:rsidRDefault="00DF51D1">
      <w:pPr>
        <w:rPr>
          <w:b/>
          <w:u w:val="single"/>
        </w:rPr>
      </w:pPr>
      <w:bookmarkStart w:id="0" w:name="_GoBack"/>
      <w:bookmarkEnd w:id="0"/>
    </w:p>
    <w:sectPr w:rsidR="00DF51D1" w:rsidRPr="00A2240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19D128" w14:textId="77777777" w:rsidR="00650EE9" w:rsidRDefault="00650EE9" w:rsidP="00DE7E67">
      <w:pPr>
        <w:spacing w:after="0" w:line="240" w:lineRule="auto"/>
      </w:pPr>
      <w:r>
        <w:separator/>
      </w:r>
    </w:p>
  </w:endnote>
  <w:endnote w:type="continuationSeparator" w:id="0">
    <w:p w14:paraId="5B2C1D84" w14:textId="77777777" w:rsidR="00650EE9" w:rsidRDefault="00650EE9" w:rsidP="00DE7E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5D90CC" w14:textId="77777777" w:rsidR="00650EE9" w:rsidRDefault="00650EE9" w:rsidP="00DE7E67">
      <w:pPr>
        <w:spacing w:after="0" w:line="240" w:lineRule="auto"/>
      </w:pPr>
      <w:r>
        <w:separator/>
      </w:r>
    </w:p>
  </w:footnote>
  <w:footnote w:type="continuationSeparator" w:id="0">
    <w:p w14:paraId="56D5F400" w14:textId="77777777" w:rsidR="00650EE9" w:rsidRDefault="00650EE9" w:rsidP="00DE7E6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0AD"/>
    <w:rsid w:val="00092009"/>
    <w:rsid w:val="000B5057"/>
    <w:rsid w:val="00124781"/>
    <w:rsid w:val="001539C6"/>
    <w:rsid w:val="00157554"/>
    <w:rsid w:val="001A5099"/>
    <w:rsid w:val="001A6FC2"/>
    <w:rsid w:val="001E2618"/>
    <w:rsid w:val="00206F23"/>
    <w:rsid w:val="00222DCC"/>
    <w:rsid w:val="0022553B"/>
    <w:rsid w:val="00253353"/>
    <w:rsid w:val="00256704"/>
    <w:rsid w:val="002A4F89"/>
    <w:rsid w:val="0031288C"/>
    <w:rsid w:val="00350AB8"/>
    <w:rsid w:val="00384D83"/>
    <w:rsid w:val="00415B4C"/>
    <w:rsid w:val="0048007A"/>
    <w:rsid w:val="004D1C12"/>
    <w:rsid w:val="004D7547"/>
    <w:rsid w:val="005135DA"/>
    <w:rsid w:val="00513DE6"/>
    <w:rsid w:val="005826A1"/>
    <w:rsid w:val="005B1E55"/>
    <w:rsid w:val="005B3D20"/>
    <w:rsid w:val="005C2BE8"/>
    <w:rsid w:val="006215FB"/>
    <w:rsid w:val="00636FD7"/>
    <w:rsid w:val="0064772E"/>
    <w:rsid w:val="00650EE9"/>
    <w:rsid w:val="007040D0"/>
    <w:rsid w:val="008047A2"/>
    <w:rsid w:val="008270AD"/>
    <w:rsid w:val="00827F09"/>
    <w:rsid w:val="0086727E"/>
    <w:rsid w:val="0088490E"/>
    <w:rsid w:val="0089267D"/>
    <w:rsid w:val="00910E07"/>
    <w:rsid w:val="00921D63"/>
    <w:rsid w:val="00956E94"/>
    <w:rsid w:val="00990B26"/>
    <w:rsid w:val="009E1D84"/>
    <w:rsid w:val="00A20C0D"/>
    <w:rsid w:val="00A22409"/>
    <w:rsid w:val="00A55286"/>
    <w:rsid w:val="00A84B23"/>
    <w:rsid w:val="00AA105C"/>
    <w:rsid w:val="00BA29F6"/>
    <w:rsid w:val="00BF166C"/>
    <w:rsid w:val="00BF4F00"/>
    <w:rsid w:val="00C025AD"/>
    <w:rsid w:val="00C81DB5"/>
    <w:rsid w:val="00C96DB3"/>
    <w:rsid w:val="00CE01E1"/>
    <w:rsid w:val="00CE49CA"/>
    <w:rsid w:val="00D355A7"/>
    <w:rsid w:val="00D61A65"/>
    <w:rsid w:val="00D71163"/>
    <w:rsid w:val="00D8445F"/>
    <w:rsid w:val="00DA4D6A"/>
    <w:rsid w:val="00DA7C81"/>
    <w:rsid w:val="00DC57E8"/>
    <w:rsid w:val="00DD73E1"/>
    <w:rsid w:val="00DE7E67"/>
    <w:rsid w:val="00DF51D1"/>
    <w:rsid w:val="00E37572"/>
    <w:rsid w:val="00F30B32"/>
    <w:rsid w:val="00F819B5"/>
    <w:rsid w:val="00F81D89"/>
    <w:rsid w:val="00F86B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E4BBB"/>
  <w15:chartTrackingRefBased/>
  <w15:docId w15:val="{02152D38-F8B9-4730-B478-4440F8FA3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7E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7E67"/>
  </w:style>
  <w:style w:type="paragraph" w:styleId="Footer">
    <w:name w:val="footer"/>
    <w:basedOn w:val="Normal"/>
    <w:link w:val="FooterChar"/>
    <w:uiPriority w:val="99"/>
    <w:unhideWhenUsed/>
    <w:rsid w:val="00DE7E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7E67"/>
  </w:style>
  <w:style w:type="character" w:styleId="Hyperlink">
    <w:name w:val="Hyperlink"/>
    <w:basedOn w:val="DefaultParagraphFont"/>
    <w:uiPriority w:val="99"/>
    <w:unhideWhenUsed/>
    <w:rsid w:val="00DF51D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1332131">
      <w:bodyDiv w:val="1"/>
      <w:marLeft w:val="0"/>
      <w:marRight w:val="0"/>
      <w:marTop w:val="0"/>
      <w:marBottom w:val="0"/>
      <w:divBdr>
        <w:top w:val="none" w:sz="0" w:space="0" w:color="auto"/>
        <w:left w:val="none" w:sz="0" w:space="0" w:color="auto"/>
        <w:bottom w:val="none" w:sz="0" w:space="0" w:color="auto"/>
        <w:right w:val="none" w:sz="0" w:space="0" w:color="auto"/>
      </w:divBdr>
    </w:div>
    <w:div w:id="2006665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ntalhealth.org.uk/podcasts-and-videos/computerised-cognitivebehavioural-therapy" TargetMode="External"/><Relationship Id="rId13" Type="http://schemas.openxmlformats.org/officeDocument/2006/relationships/hyperlink" Target="http://www.tandfebooks.com/doi/view/10.4324/9780203878422"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mentalhealth.org.uk/podcasts-and-videos/computerised-cognitivebehavioural-therapy" TargetMode="External"/><Relationship Id="rId12" Type="http://schemas.openxmlformats.org/officeDocument/2006/relationships/hyperlink" Target="https://www.ons.gov.uk/peoplepopulationandcommunity/healthandsocialcare/drugusealcoholandsmoking/bulletins/opinionsandlifestylesurveyadultdrinkinghabit%20singreatbritain/2005to2016" TargetMode="External"/><Relationship Id="rId17" Type="http://schemas.openxmlformats.org/officeDocument/2006/relationships/hyperlink" Target="https://digest.bps.org.uk/2017/09/18/women-know-better-than-menwhat-other-women-are-thinking-and-feeling/" TargetMode="External"/><Relationship Id="rId2" Type="http://schemas.openxmlformats.org/officeDocument/2006/relationships/settings" Target="settings.xml"/><Relationship Id="rId16" Type="http://schemas.openxmlformats.org/officeDocument/2006/relationships/hyperlink" Target="https://digest.bps.org.uk/2017/09/18/women-know-better-than-menwhat-other-women-are-thinking-and-feeling/" TargetMode="External"/><Relationship Id="rId1" Type="http://schemas.openxmlformats.org/officeDocument/2006/relationships/styles" Target="styles.xml"/><Relationship Id="rId6" Type="http://schemas.openxmlformats.org/officeDocument/2006/relationships/hyperlink" Target="http://www.mentalhealth.org.uk/podcasts" TargetMode="External"/><Relationship Id="rId11" Type="http://schemas.openxmlformats.org/officeDocument/2006/relationships/hyperlink" Target="https://www.ons.gov.uk/peoplepopulationandcommunity/healthandsocialcare/drugusealcoholandsmoking/bulletins/opinionsandlifestylesurveyadultdrinkinghabit%20singreatbritain/2005to2016" TargetMode="External"/><Relationship Id="rId5" Type="http://schemas.openxmlformats.org/officeDocument/2006/relationships/endnotes" Target="endnotes.xml"/><Relationship Id="rId15" Type="http://schemas.openxmlformats.org/officeDocument/2006/relationships/hyperlink" Target="https://digest.bps.org.uk/2017/09/18/women-know-better-than-menwhat-other-women-are-thinking-and-feeling/" TargetMode="External"/><Relationship Id="rId10" Type="http://schemas.openxmlformats.org/officeDocument/2006/relationships/hyperlink" Target="https://www.ons.gov.uk/peoplepopulationandcommunity/healthandsocialcare/drugusealcoholandsmoking/bulletins/opinionsandlifestylesurveyadultdrinkinghabit%20singreatbritain/2005to2016"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ons.gov.uk/peoplepopulationandcommunity/healthandsocialcare/%20" TargetMode="External"/><Relationship Id="rId14" Type="http://schemas.openxmlformats.org/officeDocument/2006/relationships/hyperlink" Target="http://www.tandfebooks.com/doi/view/10.4324/97802038784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793</TotalTime>
  <Pages>4</Pages>
  <Words>1730</Words>
  <Characters>9861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Horton-rowley (1906251)</dc:creator>
  <cp:keywords/>
  <dc:description/>
  <cp:lastModifiedBy>Emma Horton-rowley (1906251)</cp:lastModifiedBy>
  <cp:revision>54</cp:revision>
  <dcterms:created xsi:type="dcterms:W3CDTF">2019-10-18T15:22:00Z</dcterms:created>
  <dcterms:modified xsi:type="dcterms:W3CDTF">2019-11-07T02:34:00Z</dcterms:modified>
</cp:coreProperties>
</file>