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93541" w14:textId="77777777" w:rsidR="00E75BBF" w:rsidRDefault="00316C4A">
      <w:pPr>
        <w:spacing w:before="240" w:after="240" w:line="480" w:lineRule="auto"/>
        <w:rPr>
          <w:u w:val="single"/>
        </w:rPr>
      </w:pPr>
      <w:r>
        <w:rPr>
          <w:u w:val="single"/>
        </w:rPr>
        <w:t>How important is the concept of authenticity in the presentation of heritage?</w:t>
      </w:r>
    </w:p>
    <w:p w14:paraId="4A2CFB25" w14:textId="77777777" w:rsidR="00E75BBF" w:rsidRDefault="00316C4A">
      <w:pPr>
        <w:spacing w:before="240" w:after="240" w:line="480" w:lineRule="auto"/>
      </w:pPr>
      <w:r>
        <w:t xml:space="preserve">Authenticity is important when it comes to the presentation of heritage because for something to be authentic it </w:t>
      </w:r>
      <w:proofErr w:type="gramStart"/>
      <w:r>
        <w:t>has to</w:t>
      </w:r>
      <w:proofErr w:type="gramEnd"/>
      <w:r>
        <w:t xml:space="preserve"> be genuine or real. In the modern day, however, some people believe that “Authenticity is not about factuality or reality. It is about a</w:t>
      </w:r>
      <w:r>
        <w:t>uthority”.</w:t>
      </w:r>
      <w:r>
        <w:rPr>
          <w:vertAlign w:val="superscript"/>
        </w:rPr>
        <w:footnoteReference w:id="1"/>
      </w:r>
      <w:r>
        <w:t xml:space="preserve"> By this Crew and Sims meant that it was not “objects that had authority but people”.</w:t>
      </w:r>
      <w:r>
        <w:rPr>
          <w:vertAlign w:val="superscript"/>
        </w:rPr>
        <w:footnoteReference w:id="2"/>
      </w:r>
      <w:r>
        <w:t xml:space="preserve"> This could be because the curators and the establishment decide what they want to show at museums or heritage sites which the visitors and the general public </w:t>
      </w:r>
      <w:r>
        <w:t xml:space="preserve">then see as being authentic because of the authority of people working at museums and heritage sites. </w:t>
      </w:r>
    </w:p>
    <w:p w14:paraId="3AAB8FEF" w14:textId="77777777" w:rsidR="009657A4" w:rsidRDefault="00316C4A">
      <w:pPr>
        <w:spacing w:before="240" w:after="240" w:line="480" w:lineRule="auto"/>
      </w:pPr>
      <w:r>
        <w:t>As well as this, different cultures view authenticity in different ways. This can be seen in the Nara Document which states that “Cultural heritage diver</w:t>
      </w:r>
      <w:r>
        <w:t>sity exists in time and space and demands respect for other cultures and all aspects of their belief systems”.</w:t>
      </w:r>
      <w:r>
        <w:rPr>
          <w:vertAlign w:val="superscript"/>
        </w:rPr>
        <w:footnoteReference w:id="3"/>
      </w:r>
      <w:r>
        <w:t xml:space="preserve"> This is because “authenticity of cultural heritage must therefore be judged in its own cultural context”</w:t>
      </w:r>
      <w:r>
        <w:rPr>
          <w:vertAlign w:val="superscript"/>
        </w:rPr>
        <w:footnoteReference w:id="4"/>
      </w:r>
      <w:r>
        <w:t xml:space="preserve"> which can be seen most clearly in Japa</w:t>
      </w:r>
      <w:r>
        <w:t xml:space="preserve">n. In Japan ancient temples and Buddhist monuments </w:t>
      </w:r>
      <w:r>
        <w:t>are often completely dismantled and renovated.  This is because in Japan dismantling the wooden temples to replace the deteriorating fabric and being rebuilt using original technologies is a method that h</w:t>
      </w:r>
      <w:r>
        <w:t>as been used for centuries.</w:t>
      </w:r>
      <w:r>
        <w:rPr>
          <w:vertAlign w:val="superscript"/>
        </w:rPr>
        <w:footnoteReference w:id="5"/>
      </w:r>
      <w:r>
        <w:t xml:space="preserve"> This is because some people in Japan believe that </w:t>
      </w:r>
    </w:p>
    <w:p w14:paraId="62BDA754" w14:textId="77777777" w:rsidR="00E75BBF" w:rsidRDefault="00316C4A" w:rsidP="009657A4">
      <w:pPr>
        <w:spacing w:before="240" w:after="240" w:line="480" w:lineRule="auto"/>
        <w:ind w:left="567" w:right="567"/>
      </w:pPr>
      <w:r>
        <w:t>structures like people are mortal and should have their own span of construction and reconstructions. Local beliefs furthermore hold that society should prevent structures from</w:t>
      </w:r>
      <w:r>
        <w:t xml:space="preserve"> decaying because of the negative connections that this has with death</w:t>
      </w:r>
      <w:r>
        <w:t>.</w:t>
      </w:r>
      <w:r>
        <w:rPr>
          <w:vertAlign w:val="superscript"/>
        </w:rPr>
        <w:footnoteReference w:id="6"/>
      </w:r>
    </w:p>
    <w:p w14:paraId="20C923C0" w14:textId="77777777" w:rsidR="00E75BBF" w:rsidRDefault="00316C4A">
      <w:pPr>
        <w:spacing w:before="240" w:after="240" w:line="480" w:lineRule="auto"/>
      </w:pPr>
      <w:r>
        <w:lastRenderedPageBreak/>
        <w:t xml:space="preserve">This could </w:t>
      </w:r>
      <w:proofErr w:type="gramStart"/>
      <w:r>
        <w:t>be seen as</w:t>
      </w:r>
      <w:proofErr w:type="gramEnd"/>
      <w:r>
        <w:t xml:space="preserve"> the buildings </w:t>
      </w:r>
      <w:r w:rsidR="0082086B">
        <w:t xml:space="preserve">being </w:t>
      </w:r>
      <w:r>
        <w:t>no longer being authentic, but as the practi</w:t>
      </w:r>
      <w:r w:rsidR="0082086B">
        <w:t>c</w:t>
      </w:r>
      <w:r>
        <w:t>e dates back centuries</w:t>
      </w:r>
      <w:r w:rsidR="0082086B">
        <w:t>,</w:t>
      </w:r>
      <w:r>
        <w:t xml:space="preserve"> the restoration of these buildings could be </w:t>
      </w:r>
      <w:r w:rsidR="0082086B">
        <w:t>considered</w:t>
      </w:r>
      <w:r>
        <w:t xml:space="preserve"> “authenticity of traditio</w:t>
      </w:r>
      <w:r>
        <w:t>n”</w:t>
      </w:r>
      <w:r>
        <w:rPr>
          <w:vertAlign w:val="superscript"/>
        </w:rPr>
        <w:footnoteReference w:id="7"/>
      </w:r>
      <w:r>
        <w:t xml:space="preserve">. The way that Japan maintains their temples led to the Nara </w:t>
      </w:r>
      <w:r w:rsidR="0082086B">
        <w:t>D</w:t>
      </w:r>
      <w:r>
        <w:t>ocument re</w:t>
      </w:r>
      <w:r w:rsidR="0082086B">
        <w:t>defining</w:t>
      </w:r>
      <w:r>
        <w:t xml:space="preserve"> authenticity and how it can “</w:t>
      </w:r>
      <w:r>
        <w:t>differ from culture to culture, and even within the same culture. It is thus not possible to base judgements of values and authenticity within</w:t>
      </w:r>
      <w:r>
        <w:t xml:space="preserve"> fixed criteria”.</w:t>
      </w:r>
      <w:r>
        <w:rPr>
          <w:vertAlign w:val="superscript"/>
        </w:rPr>
        <w:footnoteReference w:id="8"/>
      </w:r>
      <w:r>
        <w:t xml:space="preserve"> The Japanese temples and the way they are maintained by being reconstructed every twenty years can </w:t>
      </w:r>
      <w:r w:rsidR="0082086B">
        <w:t xml:space="preserve">still </w:t>
      </w:r>
      <w:r>
        <w:t>show authenticity because of the traditional and authentic methods used in the reconstruction. But the authenticity does not lie in the bu</w:t>
      </w:r>
      <w:r>
        <w:t>ildings but in the museum structures. This is because of the link between authority and authenticity and the fact that the curators reconstruct the temples so often which shows that the curators and the establishment see the temples as important.</w:t>
      </w:r>
    </w:p>
    <w:p w14:paraId="5F6D353F" w14:textId="77777777" w:rsidR="000E1477" w:rsidRDefault="00316C4A">
      <w:pPr>
        <w:spacing w:before="240" w:after="240" w:line="480" w:lineRule="auto"/>
      </w:pPr>
      <w:r>
        <w:t>Another f</w:t>
      </w:r>
      <w:r>
        <w:t xml:space="preserve">act to consider is the opposite of authentic which would be replicas or fakes. In the modern day </w:t>
      </w:r>
      <w:proofErr w:type="gramStart"/>
      <w:r>
        <w:t>even</w:t>
      </w:r>
      <w:proofErr w:type="gramEnd"/>
      <w:r>
        <w:t xml:space="preserve"> </w:t>
      </w:r>
      <w:r w:rsidR="0082086B">
        <w:t xml:space="preserve">some sort of </w:t>
      </w:r>
      <w:r>
        <w:t>restoration can be seen as fake.</w:t>
      </w:r>
      <w:r>
        <w:rPr>
          <w:vertAlign w:val="superscript"/>
        </w:rPr>
        <w:footnoteReference w:id="9"/>
      </w:r>
      <w:r>
        <w:t xml:space="preserve"> In the 18th century this was often not seen in the same way</w:t>
      </w:r>
      <w:r w:rsidR="0082086B">
        <w:t>.</w:t>
      </w:r>
      <w:r>
        <w:t xml:space="preserve"> </w:t>
      </w:r>
      <w:r w:rsidR="0082086B">
        <w:t>One example is</w:t>
      </w:r>
      <w:r>
        <w:t xml:space="preserve"> the way that someone replaced the</w:t>
      </w:r>
      <w:r>
        <w:t xml:space="preserve"> head </w:t>
      </w:r>
      <w:r w:rsidR="0082086B">
        <w:t xml:space="preserve">of </w:t>
      </w:r>
      <w:r>
        <w:t>an ancient classical sculpture and still claimed that the entire sculpture was authentic.</w:t>
      </w:r>
      <w:r>
        <w:rPr>
          <w:vertAlign w:val="superscript"/>
        </w:rPr>
        <w:footnoteReference w:id="10"/>
      </w:r>
      <w:r>
        <w:t xml:space="preserve"> But in the early nineteenth century the Elgin Marbles were not restored. This led to later generations believing that “the peak of beauty was to be found in th</w:t>
      </w:r>
      <w:r>
        <w:t>ese fragmentary examples of ancient sculpture previous attitudes to restoration seemed wrong”.</w:t>
      </w:r>
      <w:r>
        <w:rPr>
          <w:vertAlign w:val="superscript"/>
        </w:rPr>
        <w:footnoteReference w:id="11"/>
      </w:r>
      <w:r>
        <w:t xml:space="preserve"> Th</w:t>
      </w:r>
      <w:r w:rsidR="000E1477">
        <w:t>is</w:t>
      </w:r>
      <w:r>
        <w:t xml:space="preserve"> meant that </w:t>
      </w:r>
      <w:r w:rsidR="000E1477">
        <w:t>in those days</w:t>
      </w:r>
      <w:r>
        <w:t xml:space="preserve"> </w:t>
      </w:r>
      <w:r w:rsidR="000E1477">
        <w:t>it was</w:t>
      </w:r>
      <w:r>
        <w:t xml:space="preserve"> believed </w:t>
      </w:r>
      <w:r w:rsidR="000E1477">
        <w:t xml:space="preserve">that </w:t>
      </w:r>
      <w:r>
        <w:t>the</w:t>
      </w:r>
      <w:r w:rsidR="000E1477">
        <w:t xml:space="preserve"> previous</w:t>
      </w:r>
      <w:r>
        <w:t xml:space="preserve"> ideas </w:t>
      </w:r>
      <w:r w:rsidR="000E1477">
        <w:t xml:space="preserve">towards </w:t>
      </w:r>
      <w:r>
        <w:t>restoration and of “returning works of art to their original state so that they could be seen and appreciated i</w:t>
      </w:r>
      <w:r>
        <w:t xml:space="preserve">n as near as possible the form that they had had in classical time” was no longer </w:t>
      </w:r>
      <w:r w:rsidR="000E1477">
        <w:t>considered</w:t>
      </w:r>
      <w:r>
        <w:t xml:space="preserve"> authentic but deceptive. </w:t>
      </w:r>
      <w:r w:rsidR="000E1477">
        <w:t xml:space="preserve">Therefore, </w:t>
      </w:r>
      <w:r>
        <w:t>the contrast between the 18th century approach to restoration and authenticity and</w:t>
      </w:r>
      <w:r w:rsidR="000E1477">
        <w:t xml:space="preserve"> that of</w:t>
      </w:r>
      <w:r>
        <w:t xml:space="preserve"> the 19th </w:t>
      </w:r>
      <w:r>
        <w:lastRenderedPageBreak/>
        <w:t xml:space="preserve">century </w:t>
      </w:r>
      <w:proofErr w:type="gramStart"/>
      <w:r>
        <w:t>can be seen as</w:t>
      </w:r>
      <w:proofErr w:type="gramEnd"/>
      <w:r>
        <w:t xml:space="preserve"> extreme</w:t>
      </w:r>
      <w:r w:rsidR="000E1477">
        <w:t xml:space="preserve"> opposites</w:t>
      </w:r>
      <w:r>
        <w:t>. Thi</w:t>
      </w:r>
      <w:r>
        <w:t xml:space="preserve">s is because the approach to restoration went from complete restoration </w:t>
      </w:r>
      <w:r w:rsidR="000E1477">
        <w:t>aiming to make</w:t>
      </w:r>
      <w:r>
        <w:t xml:space="preserve"> the objects could look</w:t>
      </w:r>
      <w:r>
        <w:t xml:space="preserve"> </w:t>
      </w:r>
      <w:r w:rsidR="000E1477">
        <w:t>how they</w:t>
      </w:r>
      <w:r>
        <w:t xml:space="preserve"> would have </w:t>
      </w:r>
      <w:r w:rsidR="000E1477">
        <w:t xml:space="preserve">done </w:t>
      </w:r>
      <w:r>
        <w:t>originally, to not restoring the objects at all. In the modern day</w:t>
      </w:r>
      <w:r w:rsidR="000E1477">
        <w:t>,</w:t>
      </w:r>
      <w:r>
        <w:t xml:space="preserve"> however</w:t>
      </w:r>
      <w:r w:rsidR="000E1477">
        <w:t>,</w:t>
      </w:r>
      <w:r>
        <w:t xml:space="preserve"> the general view towards authenticity has changed because people u</w:t>
      </w:r>
      <w:r>
        <w:t xml:space="preserve">nderstand that </w:t>
      </w:r>
    </w:p>
    <w:p w14:paraId="7BA08A13" w14:textId="77777777" w:rsidR="000E1477" w:rsidRDefault="00316C4A" w:rsidP="000E1477">
      <w:pPr>
        <w:spacing w:before="240" w:after="240" w:line="480" w:lineRule="auto"/>
        <w:ind w:left="567" w:right="567"/>
      </w:pPr>
      <w:r>
        <w:t>objects have a continuing history, that they are damaged and repaired, cleaned and restored and that their present state records not only the moment of creation but also a whole subsequent sequence of events.</w:t>
      </w:r>
      <w:r>
        <w:rPr>
          <w:vertAlign w:val="superscript"/>
        </w:rPr>
        <w:footnoteReference w:id="12"/>
      </w:r>
      <w:r>
        <w:t xml:space="preserve"> </w:t>
      </w:r>
    </w:p>
    <w:p w14:paraId="58DDF316" w14:textId="77777777" w:rsidR="00E75BBF" w:rsidRDefault="00316C4A">
      <w:pPr>
        <w:spacing w:before="240" w:after="240" w:line="480" w:lineRule="auto"/>
      </w:pPr>
      <w:r>
        <w:t xml:space="preserve">This </w:t>
      </w:r>
      <w:r w:rsidR="00180061">
        <w:t>view demonstrates</w:t>
      </w:r>
      <w:r>
        <w:t xml:space="preserve"> that</w:t>
      </w:r>
      <w:r w:rsidR="00180061">
        <w:t xml:space="preserve"> </w:t>
      </w:r>
      <w:r>
        <w:t>au</w:t>
      </w:r>
      <w:r>
        <w:t>thenticity is important when it comes to the presentation of heritage in the modern day</w:t>
      </w:r>
      <w:r w:rsidR="00180061">
        <w:t>,</w:t>
      </w:r>
      <w:r>
        <w:t xml:space="preserve"> but restoration or repairing of the objects does not make the object any less authentic. It is also important to bear in mind as Jones </w:t>
      </w:r>
      <w:r w:rsidR="00180061">
        <w:t xml:space="preserve">asks </w:t>
      </w:r>
      <w:r>
        <w:t>that even if an object is not aut</w:t>
      </w:r>
      <w:r>
        <w:t>hentic but a replica then “</w:t>
      </w:r>
      <w:r>
        <w:t>if what we value from a work is the aesthetic pleasure to be gained from it is a successfully deceptive fake inferior to the real thing?”</w:t>
      </w:r>
      <w:r>
        <w:rPr>
          <w:vertAlign w:val="superscript"/>
        </w:rPr>
        <w:footnoteReference w:id="13"/>
      </w:r>
      <w:r w:rsidR="00180061">
        <w:t xml:space="preserve">. This view </w:t>
      </w:r>
      <w:r>
        <w:t>suggests that a replica can sometimes be just as informative or important as an aut</w:t>
      </w:r>
      <w:r>
        <w:t xml:space="preserve">hentic object. </w:t>
      </w:r>
    </w:p>
    <w:p w14:paraId="55C37A51" w14:textId="77777777" w:rsidR="00E75BBF" w:rsidRDefault="00316C4A">
      <w:pPr>
        <w:spacing w:before="240" w:after="240" w:line="480" w:lineRule="auto"/>
      </w:pPr>
      <w:r>
        <w:t>When Hampton Court was reinterpreted</w:t>
      </w:r>
      <w:r w:rsidR="00901806">
        <w:t>,</w:t>
      </w:r>
      <w:r>
        <w:t xml:space="preserve"> the curators </w:t>
      </w:r>
      <w:r w:rsidR="00901806">
        <w:t>considered questions</w:t>
      </w:r>
      <w:r>
        <w:t xml:space="preserve"> such as </w:t>
      </w:r>
      <w:r w:rsidR="00901806">
        <w:t xml:space="preserve">whether they </w:t>
      </w:r>
      <w:r>
        <w:t>can</w:t>
      </w:r>
      <w:r>
        <w:t xml:space="preserve"> “assert historical authenticity</w:t>
      </w:r>
      <w:r>
        <w:t>”</w:t>
      </w:r>
      <w:r>
        <w:rPr>
          <w:vertAlign w:val="superscript"/>
        </w:rPr>
        <w:footnoteReference w:id="14"/>
      </w:r>
      <w:r>
        <w:t xml:space="preserve"> and “Can historical spaces be used to explore historical truths that were true to the period if not to the space, if such </w:t>
      </w:r>
      <w:r>
        <w:t>explorations fulfill other important visitor need and expectations?”</w:t>
      </w:r>
      <w:r>
        <w:rPr>
          <w:vertAlign w:val="superscript"/>
        </w:rPr>
        <w:footnoteReference w:id="15"/>
      </w:r>
      <w:r w:rsidR="00901806">
        <w:t>. I</w:t>
      </w:r>
      <w:r>
        <w:t>n other words</w:t>
      </w:r>
      <w:r w:rsidR="00901806">
        <w:t>,</w:t>
      </w:r>
      <w:r>
        <w:t xml:space="preserve"> what is more important</w:t>
      </w:r>
      <w:r w:rsidR="00901806">
        <w:t>,</w:t>
      </w:r>
      <w:r>
        <w:t xml:space="preserve"> an authentic use of the space or an authentic experience for the visitor. Some of the areas being reinterpreted were areas where the curators were n</w:t>
      </w:r>
      <w:r>
        <w:t xml:space="preserve">ot sure what was there originally. This can be seen </w:t>
      </w:r>
      <w:r w:rsidR="00901806">
        <w:t>regarding</w:t>
      </w:r>
      <w:r>
        <w:t xml:space="preserve"> the garden because the curators “had limited records about how the chapel court might have been used during </w:t>
      </w:r>
      <w:r w:rsidR="00901806">
        <w:t>H</w:t>
      </w:r>
      <w:r>
        <w:t>enry VIII’s reign”.</w:t>
      </w:r>
      <w:r>
        <w:rPr>
          <w:vertAlign w:val="superscript"/>
        </w:rPr>
        <w:footnoteReference w:id="16"/>
      </w:r>
      <w:r>
        <w:t xml:space="preserve"> This led to it being difficult for them to recreate an </w:t>
      </w:r>
      <w:r>
        <w:lastRenderedPageBreak/>
        <w:t xml:space="preserve">authentic and </w:t>
      </w:r>
      <w:r>
        <w:t>realistic looking garden</w:t>
      </w:r>
      <w:r>
        <w:rPr>
          <w:color w:val="FF00FF"/>
        </w:rPr>
        <w:t xml:space="preserve"> </w:t>
      </w:r>
      <w:r>
        <w:t>“There was not enough coherent extant evidence to create a garden that authentically and genuinely recreated the original”</w:t>
      </w:r>
      <w:r w:rsidR="004B5BEE">
        <w:t>.</w:t>
      </w:r>
      <w:r w:rsidR="004B5BEE">
        <w:rPr>
          <w:rStyle w:val="FootnoteReference"/>
        </w:rPr>
        <w:footnoteReference w:id="17"/>
      </w:r>
      <w:r>
        <w:t xml:space="preserve"> </w:t>
      </w:r>
      <w:r w:rsidR="004B5BEE">
        <w:t xml:space="preserve"> The curators knew that trying to suggest that the garden might have looked like their reinterpretation would have been “</w:t>
      </w:r>
      <w:r>
        <w:t>academically inde</w:t>
      </w:r>
      <w:r>
        <w:t>fensible. Yet</w:t>
      </w:r>
      <w:r w:rsidR="004B5BEE">
        <w:t>,</w:t>
      </w:r>
      <w:r>
        <w:t xml:space="preserve"> neither was leaving a bare garden historically honest”.</w:t>
      </w:r>
      <w:r>
        <w:rPr>
          <w:vertAlign w:val="superscript"/>
        </w:rPr>
        <w:footnoteReference w:id="18"/>
      </w:r>
      <w:r>
        <w:t xml:space="preserve"> This</w:t>
      </w:r>
      <w:r w:rsidR="004B5BEE">
        <w:t xml:space="preserve"> example illustrates</w:t>
      </w:r>
      <w:r>
        <w:t xml:space="preserve"> the problem of </w:t>
      </w:r>
      <w:r>
        <w:t xml:space="preserve">reinterpretation because the </w:t>
      </w:r>
      <w:r w:rsidR="004B5BEE">
        <w:t>c</w:t>
      </w:r>
      <w:r>
        <w:t xml:space="preserve">urators cannot try to have </w:t>
      </w:r>
      <w:r w:rsidR="004B5BEE">
        <w:t>the garden</w:t>
      </w:r>
      <w:r>
        <w:t xml:space="preserve"> look as it did in Henry VII’s time and recreate the original because t</w:t>
      </w:r>
      <w:r w:rsidR="004B5BEE">
        <w:t>here is no evidence for</w:t>
      </w:r>
      <w:r>
        <w:t xml:space="preserve"> how it would </w:t>
      </w:r>
      <w:r>
        <w:t>have looked but they cannot leave it bear either because it would</w:t>
      </w:r>
      <w:r w:rsidR="004B5BEE">
        <w:t xml:space="preserve"> not </w:t>
      </w:r>
      <w:r>
        <w:t>be authentic. Therefore</w:t>
      </w:r>
      <w:r w:rsidR="004B5BEE">
        <w:t>,</w:t>
      </w:r>
      <w:r>
        <w:t xml:space="preserve"> the </w:t>
      </w:r>
      <w:r w:rsidR="004B5BEE">
        <w:t>c</w:t>
      </w:r>
      <w:r>
        <w:t>urators ha</w:t>
      </w:r>
      <w:r w:rsidR="00C976FE">
        <w:t>d</w:t>
      </w:r>
      <w:r>
        <w:t xml:space="preserve"> to try to find a compromise between the two. </w:t>
      </w:r>
    </w:p>
    <w:p w14:paraId="473861C6" w14:textId="77777777" w:rsidR="00E75BBF" w:rsidRDefault="00316C4A">
      <w:pPr>
        <w:spacing w:before="240" w:after="240" w:line="480" w:lineRule="auto"/>
      </w:pPr>
      <w:r>
        <w:t xml:space="preserve">Another </w:t>
      </w:r>
      <w:r w:rsidR="00DA0197">
        <w:t>area which was</w:t>
      </w:r>
      <w:r>
        <w:t xml:space="preserve"> reinterpreted was the courtyard which is now an </w:t>
      </w:r>
      <w:r w:rsidR="00DA0197">
        <w:t>a</w:t>
      </w:r>
      <w:r>
        <w:t>pothecary. This “provided a highly se</w:t>
      </w:r>
      <w:r>
        <w:t>nsory experience of discovery carrying the past into the present”</w:t>
      </w:r>
      <w:r>
        <w:rPr>
          <w:vertAlign w:val="superscript"/>
        </w:rPr>
        <w:footnoteReference w:id="19"/>
      </w:r>
      <w:r w:rsidR="00DA0197">
        <w:t>. H</w:t>
      </w:r>
      <w:r>
        <w:t>owever</w:t>
      </w:r>
      <w:r w:rsidR="00DA0197">
        <w:t>,</w:t>
      </w:r>
      <w:r>
        <w:t xml:space="preserve"> the curators knew that the courtyard was not originally used </w:t>
      </w:r>
      <w:r w:rsidR="00DA0197">
        <w:t>for</w:t>
      </w:r>
      <w:r>
        <w:t xml:space="preserve"> an </w:t>
      </w:r>
      <w:r w:rsidR="00DA0197">
        <w:t>a</w:t>
      </w:r>
      <w:r>
        <w:t xml:space="preserve">pothecary but more likely </w:t>
      </w:r>
      <w:r w:rsidR="00DA0197">
        <w:t xml:space="preserve">as </w:t>
      </w:r>
      <w:r>
        <w:t xml:space="preserve">a scullery. The question is </w:t>
      </w:r>
      <w:r w:rsidR="0084779A">
        <w:t xml:space="preserve">whether </w:t>
      </w:r>
      <w:r>
        <w:t xml:space="preserve">although the </w:t>
      </w:r>
      <w:r w:rsidR="00DA0197">
        <w:t>a</w:t>
      </w:r>
      <w:r>
        <w:t>pothecary allows the visitors to experience</w:t>
      </w:r>
      <w:r>
        <w:t xml:space="preserve"> the past “would deploying the space in this other way go against a sense of historical authenticity”.</w:t>
      </w:r>
      <w:r>
        <w:rPr>
          <w:vertAlign w:val="superscript"/>
        </w:rPr>
        <w:footnoteReference w:id="20"/>
      </w:r>
      <w:r>
        <w:t xml:space="preserve"> This means that although the </w:t>
      </w:r>
      <w:r w:rsidR="0084779A">
        <w:t>a</w:t>
      </w:r>
      <w:r>
        <w:t>pothecary may create an authentic experience of the past</w:t>
      </w:r>
      <w:r w:rsidR="0084779A">
        <w:t>,</w:t>
      </w:r>
      <w:r>
        <w:t xml:space="preserve"> it is not an authentic use of the space. </w:t>
      </w:r>
      <w:r w:rsidR="0084779A">
        <w:t>In the case of</w:t>
      </w:r>
      <w:r>
        <w:t xml:space="preserve"> the </w:t>
      </w:r>
      <w:r w:rsidR="0084779A">
        <w:t>a</w:t>
      </w:r>
      <w:r>
        <w:t xml:space="preserve">pothecary </w:t>
      </w:r>
      <w:r>
        <w:t xml:space="preserve">curators </w:t>
      </w:r>
      <w:r w:rsidR="0084779A">
        <w:t xml:space="preserve">can be seen </w:t>
      </w:r>
      <w:r>
        <w:t xml:space="preserve">using their authority rather than authenticity in them wanting to give the visitor a “highly sensory experience” by turning the courtyard into an </w:t>
      </w:r>
      <w:r w:rsidR="0084779A">
        <w:t>a</w:t>
      </w:r>
      <w:r>
        <w:t>pothecary.</w:t>
      </w:r>
    </w:p>
    <w:p w14:paraId="590BB56E" w14:textId="77777777" w:rsidR="00E75BBF" w:rsidRDefault="00316C4A">
      <w:pPr>
        <w:spacing w:before="240" w:after="240" w:line="480" w:lineRule="auto"/>
      </w:pPr>
      <w:r>
        <w:t>When Hampton Court Palace asked their visitors what they wanted out of a visi</w:t>
      </w:r>
      <w:r>
        <w:t>t mo</w:t>
      </w:r>
      <w:r w:rsidR="00C7391F">
        <w:t>s</w:t>
      </w:r>
      <w:r>
        <w:t xml:space="preserve">t people wanted an authentic experience such as </w:t>
      </w:r>
      <w:r w:rsidR="00C7391F">
        <w:t>experiencing</w:t>
      </w:r>
      <w:r>
        <w:t xml:space="preserve"> smells and noise in the kitchen</w:t>
      </w:r>
      <w:r w:rsidR="00C7391F">
        <w:t xml:space="preserve"> as one visitor said</w:t>
      </w:r>
      <w:r>
        <w:t xml:space="preserve"> “you’ve got to live the story haven</w:t>
      </w:r>
      <w:r w:rsidR="00C7391F">
        <w:t>’</w:t>
      </w:r>
      <w:r>
        <w:t>t you really to understand it properly”.</w:t>
      </w:r>
      <w:r>
        <w:rPr>
          <w:vertAlign w:val="superscript"/>
        </w:rPr>
        <w:footnoteReference w:id="21"/>
      </w:r>
      <w:r>
        <w:t xml:space="preserve"> This </w:t>
      </w:r>
      <w:r w:rsidR="00FA0602">
        <w:lastRenderedPageBreak/>
        <w:t xml:space="preserve">echoed </w:t>
      </w:r>
      <w:r>
        <w:t xml:space="preserve">when </w:t>
      </w:r>
      <w:proofErr w:type="spellStart"/>
      <w:r>
        <w:t>G.M.Trevelyan</w:t>
      </w:r>
      <w:proofErr w:type="spellEnd"/>
      <w:r>
        <w:t xml:space="preserve"> states</w:t>
      </w:r>
      <w:r w:rsidR="00FA0602">
        <w:t xml:space="preserve"> that</w:t>
      </w:r>
      <w:r>
        <w:t xml:space="preserve"> “for many people perhaps everyone to hav</w:t>
      </w:r>
      <w:r>
        <w:t>e an authentic encounter with the past it to experience it</w:t>
      </w:r>
      <w:r>
        <w:t>”.</w:t>
      </w:r>
      <w:r>
        <w:rPr>
          <w:vertAlign w:val="superscript"/>
        </w:rPr>
        <w:footnoteReference w:id="22"/>
      </w:r>
    </w:p>
    <w:p w14:paraId="313C2842" w14:textId="4BBC4370" w:rsidR="00E75BBF" w:rsidRDefault="00316C4A">
      <w:pPr>
        <w:spacing w:before="240" w:after="240" w:line="480" w:lineRule="auto"/>
      </w:pPr>
      <w:r>
        <w:t>With the evidence that the visiting public wanted a realistic experience</w:t>
      </w:r>
      <w:r w:rsidR="00FA13FE">
        <w:t>,</w:t>
      </w:r>
      <w:r>
        <w:t xml:space="preserve"> the curators tried to do create th</w:t>
      </w:r>
      <w:r>
        <w:t>is when reinterpreting the Palace. This mean</w:t>
      </w:r>
      <w:r w:rsidR="00FA13FE">
        <w:t>t</w:t>
      </w:r>
      <w:r>
        <w:t xml:space="preserve"> that the new interpretation was different from </w:t>
      </w:r>
      <w:r w:rsidR="00FA13FE">
        <w:t xml:space="preserve">the </w:t>
      </w:r>
      <w:r>
        <w:t>previous ones because the past reinterpretations had “focused on how to make the buildings look on the visual and physical manifestations of authenticity”</w:t>
      </w:r>
      <w:r>
        <w:rPr>
          <w:vertAlign w:val="superscript"/>
        </w:rPr>
        <w:footnoteReference w:id="23"/>
      </w:r>
      <w:r>
        <w:t xml:space="preserve"> </w:t>
      </w:r>
      <w:r w:rsidR="00FA13FE">
        <w:t xml:space="preserve">As a consequence of the survey, </w:t>
      </w:r>
      <w:r>
        <w:t xml:space="preserve"> the curators were now trying to create “something that is experientially authentic means that our interpretation needs to appeal to as many of the senses as possible”</w:t>
      </w:r>
      <w:r>
        <w:rPr>
          <w:vertAlign w:val="superscript"/>
        </w:rPr>
        <w:footnoteReference w:id="24"/>
      </w:r>
      <w:r>
        <w:t xml:space="preserve"> In other words</w:t>
      </w:r>
      <w:r w:rsidR="00FA13FE">
        <w:t>,</w:t>
      </w:r>
      <w:r>
        <w:t xml:space="preserve"> whereas in the past Hampton Court tried to make the buildings look authe</w:t>
      </w:r>
      <w:r>
        <w:t>ntic</w:t>
      </w:r>
      <w:r w:rsidR="00FA13FE">
        <w:t>,</w:t>
      </w:r>
      <w:r>
        <w:t xml:space="preserve"> the curators were now trying to make the visitors feel </w:t>
      </w:r>
      <w:r w:rsidR="00FA13FE">
        <w:t xml:space="preserve">as if </w:t>
      </w:r>
      <w:r>
        <w:t xml:space="preserve"> they were living in the past through an authentic experience. To do this they wanted to “remove the existing rope barriers and allow visitors to touch everything”</w:t>
      </w:r>
      <w:r>
        <w:rPr>
          <w:vertAlign w:val="superscript"/>
        </w:rPr>
        <w:footnoteReference w:id="25"/>
      </w:r>
      <w:r w:rsidR="00FA13FE">
        <w:t>.</w:t>
      </w:r>
      <w:r>
        <w:t xml:space="preserve"> </w:t>
      </w:r>
      <w:r w:rsidR="00FA13FE">
        <w:t>U</w:t>
      </w:r>
      <w:r>
        <w:t>nfortunately</w:t>
      </w:r>
      <w:r w:rsidR="00FA13FE">
        <w:t>,</w:t>
      </w:r>
      <w:r>
        <w:t xml:space="preserve"> this meant  “</w:t>
      </w:r>
      <w:r>
        <w:t xml:space="preserve">removing many </w:t>
      </w:r>
      <w:r w:rsidR="00FA13FE">
        <w:t>‘</w:t>
      </w:r>
      <w:r>
        <w:t>real</w:t>
      </w:r>
      <w:r w:rsidR="00FA13FE">
        <w:t>’</w:t>
      </w:r>
      <w:r>
        <w:t xml:space="preserve"> objects to display them elsewhere and replacing them with replica items”.</w:t>
      </w:r>
      <w:r>
        <w:rPr>
          <w:vertAlign w:val="superscript"/>
        </w:rPr>
        <w:footnoteReference w:id="26"/>
      </w:r>
      <w:r>
        <w:t xml:space="preserve"> This led to a popular hands on approach and was “specifically linked to creating an authentic experience in which visitors could easily imagine what the kitchen</w:t>
      </w:r>
      <w:r>
        <w:t>s might have been like during the reign of Henry VIII”.</w:t>
      </w:r>
      <w:r>
        <w:rPr>
          <w:vertAlign w:val="superscript"/>
        </w:rPr>
        <w:footnoteReference w:id="27"/>
      </w:r>
      <w:r>
        <w:t xml:space="preserve"> It also led to </w:t>
      </w:r>
      <w:r w:rsidR="00B21D8E">
        <w:t xml:space="preserve">the curators </w:t>
      </w:r>
      <w:proofErr w:type="spellStart"/>
      <w:r>
        <w:t>realising</w:t>
      </w:r>
      <w:proofErr w:type="spellEnd"/>
      <w:r>
        <w:t xml:space="preserve"> the gap between authenticity and the visitor experience.</w:t>
      </w:r>
      <w:r>
        <w:rPr>
          <w:vertAlign w:val="superscript"/>
        </w:rPr>
        <w:footnoteReference w:id="28"/>
      </w:r>
      <w:r>
        <w:t xml:space="preserve"> This was because </w:t>
      </w:r>
      <w:r w:rsidR="00FA13FE">
        <w:t xml:space="preserve">in order </w:t>
      </w:r>
      <w:r>
        <w:t>to create an authentic experience for the visitors</w:t>
      </w:r>
      <w:r w:rsidR="00B21D8E">
        <w:t>,</w:t>
      </w:r>
      <w:r>
        <w:t xml:space="preserve"> many of the actual authentic objects h</w:t>
      </w:r>
      <w:r>
        <w:t xml:space="preserve">ad to be replaced by replicas. </w:t>
      </w:r>
      <w:r>
        <w:t xml:space="preserve"> </w:t>
      </w:r>
      <w:r w:rsidR="00FA13FE">
        <w:t xml:space="preserve">As a </w:t>
      </w:r>
      <w:proofErr w:type="gramStart"/>
      <w:r w:rsidR="00FA13FE">
        <w:t xml:space="preserve">result, </w:t>
      </w:r>
      <w:r>
        <w:t xml:space="preserve"> authority</w:t>
      </w:r>
      <w:proofErr w:type="gramEnd"/>
      <w:r>
        <w:t xml:space="preserve"> </w:t>
      </w:r>
      <w:r w:rsidR="00FA13FE">
        <w:t xml:space="preserve">was given priority </w:t>
      </w:r>
      <w:r>
        <w:t>over authenticity because the curators</w:t>
      </w:r>
      <w:r w:rsidR="00FA13FE">
        <w:t>,</w:t>
      </w:r>
      <w:r>
        <w:t xml:space="preserve"> when reinterpreting Hampton Court Palace</w:t>
      </w:r>
      <w:r w:rsidR="00FA13FE">
        <w:t>,</w:t>
      </w:r>
      <w:r>
        <w:t xml:space="preserve"> </w:t>
      </w:r>
      <w:proofErr w:type="spellStart"/>
      <w:r>
        <w:t>realised</w:t>
      </w:r>
      <w:proofErr w:type="spellEnd"/>
      <w:r>
        <w:t xml:space="preserve"> an authentic experience was more important to the public than authentic objects. This is because if they are to giv</w:t>
      </w:r>
      <w:r>
        <w:t xml:space="preserve">e the public an authentic experience such as a real kitchen with food, they have to </w:t>
      </w:r>
      <w:proofErr w:type="gramStart"/>
      <w:r w:rsidR="00FA13FE">
        <w:lastRenderedPageBreak/>
        <w:t xml:space="preserve">replace </w:t>
      </w:r>
      <w:r>
        <w:t xml:space="preserve"> the</w:t>
      </w:r>
      <w:proofErr w:type="gramEnd"/>
      <w:r>
        <w:t xml:space="preserve"> genuine objects </w:t>
      </w:r>
      <w:r w:rsidR="00FA13FE">
        <w:t>with</w:t>
      </w:r>
      <w:r>
        <w:t xml:space="preserve"> replicas so that the authentic objects do</w:t>
      </w:r>
      <w:r w:rsidR="00FA13FE">
        <w:t xml:space="preserve"> not</w:t>
      </w:r>
      <w:r>
        <w:t xml:space="preserve"> get damaged. However</w:t>
      </w:r>
      <w:r w:rsidR="00FA13FE">
        <w:t>,</w:t>
      </w:r>
      <w:r>
        <w:t xml:space="preserve"> it does supply an authentic experience and the visitors feel</w:t>
      </w:r>
      <w:r>
        <w:t xml:space="preserve"> like they are in the Tudor period.</w:t>
      </w:r>
    </w:p>
    <w:p w14:paraId="6BE14A02" w14:textId="748BEEC1" w:rsidR="008119DD" w:rsidRDefault="00316C4A">
      <w:pPr>
        <w:spacing w:before="240" w:after="240" w:line="480" w:lineRule="auto"/>
      </w:pPr>
      <w:r>
        <w:t xml:space="preserve">Anthony Jackson and Helen Rees Leaky describe in their article an experiment to see </w:t>
      </w:r>
      <w:r w:rsidR="008119DD">
        <w:t>whether</w:t>
      </w:r>
      <w:r>
        <w:t xml:space="preserve"> </w:t>
      </w:r>
      <w:proofErr w:type="gramStart"/>
      <w:r w:rsidR="008119DD">
        <w:t>ten</w:t>
      </w:r>
      <w:r>
        <w:t xml:space="preserve"> year old</w:t>
      </w:r>
      <w:proofErr w:type="gramEnd"/>
      <w:r>
        <w:t xml:space="preserve"> children learn better from the traditional museum experience or from museum theatre in the museums of the Imperial War Mu</w:t>
      </w:r>
      <w:r>
        <w:t>seum London and the People’s History Museum</w:t>
      </w:r>
      <w:r w:rsidR="008119DD">
        <w:t xml:space="preserve"> in</w:t>
      </w:r>
      <w:r>
        <w:t xml:space="preserve"> Manchester</w:t>
      </w:r>
      <w:r w:rsidR="0038568E">
        <w:rPr>
          <w:rStyle w:val="FootnoteReference"/>
        </w:rPr>
        <w:footnoteReference w:id="29"/>
      </w:r>
      <w:r>
        <w:t xml:space="preserve">. In the UK the use of theatre in museums is not only </w:t>
      </w:r>
    </w:p>
    <w:p w14:paraId="3CE12D5B" w14:textId="1462B596" w:rsidR="008119DD" w:rsidRDefault="00316C4A" w:rsidP="00316C4A">
      <w:pPr>
        <w:spacing w:before="240" w:after="240" w:line="480" w:lineRule="auto"/>
        <w:ind w:left="567" w:right="567"/>
      </w:pPr>
      <w:r>
        <w:t xml:space="preserve">costly to produce and stage but many museum professionals also resist the use of what they regard as an inherently </w:t>
      </w:r>
      <w:proofErr w:type="spellStart"/>
      <w:r>
        <w:t>fictionalising</w:t>
      </w:r>
      <w:proofErr w:type="spellEnd"/>
      <w:r>
        <w:t xml:space="preserve"> medium of inter</w:t>
      </w:r>
      <w:r>
        <w:t>pretation of material evidence and towards performance and even entertainment</w:t>
      </w:r>
      <w:r>
        <w:t>.</w:t>
      </w:r>
      <w:r>
        <w:rPr>
          <w:vertAlign w:val="superscript"/>
        </w:rPr>
        <w:footnoteReference w:id="30"/>
      </w:r>
      <w:r>
        <w:t xml:space="preserve"> </w:t>
      </w:r>
    </w:p>
    <w:p w14:paraId="2595D500" w14:textId="1F51E908" w:rsidR="00E75BBF" w:rsidRDefault="00316C4A">
      <w:pPr>
        <w:spacing w:before="240" w:after="240" w:line="480" w:lineRule="auto"/>
      </w:pPr>
      <w:r>
        <w:t xml:space="preserve">Many of the children taking part in the experiment saw little or no difference between the “performance of a fictive monologue by an actor and the </w:t>
      </w:r>
      <w:r w:rsidR="008119DD">
        <w:t>‘</w:t>
      </w:r>
      <w:r>
        <w:t>facts</w:t>
      </w:r>
      <w:r w:rsidR="008119DD">
        <w:t>’</w:t>
      </w:r>
      <w:r>
        <w:t xml:space="preserve"> embodied in the muse</w:t>
      </w:r>
      <w:r>
        <w:t>ums objects and textual displays”.</w:t>
      </w:r>
      <w:r>
        <w:rPr>
          <w:vertAlign w:val="superscript"/>
        </w:rPr>
        <w:footnoteReference w:id="31"/>
      </w:r>
      <w:r>
        <w:t xml:space="preserve"> </w:t>
      </w:r>
    </w:p>
    <w:p w14:paraId="00192BC8" w14:textId="071AF667" w:rsidR="00E75BBF" w:rsidRDefault="00316C4A">
      <w:pPr>
        <w:spacing w:before="240" w:after="240" w:line="480" w:lineRule="auto"/>
      </w:pPr>
      <w:r>
        <w:t>The children from the theatre group tended to remember more than the children who had a traditional museum experience “Children responded to and had vivid recall of events, struggles and dilemmas presented to them in na</w:t>
      </w:r>
      <w:r>
        <w:t>rrative form”</w:t>
      </w:r>
      <w:r>
        <w:rPr>
          <w:vertAlign w:val="superscript"/>
        </w:rPr>
        <w:footnoteReference w:id="32"/>
      </w:r>
      <w:r>
        <w:t xml:space="preserve"> which is shown clearly in </w:t>
      </w:r>
      <w:proofErr w:type="gramStart"/>
      <w:r>
        <w:t>the majority of</w:t>
      </w:r>
      <w:proofErr w:type="gramEnd"/>
      <w:r>
        <w:t xml:space="preserve"> the theatre groups</w:t>
      </w:r>
      <w:r>
        <w:t xml:space="preserve">. </w:t>
      </w:r>
      <w:r w:rsidR="00A41CB5">
        <w:t>This</w:t>
      </w:r>
      <w:r>
        <w:t xml:space="preserve">  may be because the children felt more sympathy and understanding with the characters which is shown through the way that the pupils mention the “</w:t>
      </w:r>
      <w:r>
        <w:t>effective power of watching a</w:t>
      </w:r>
      <w:r>
        <w:t xml:space="preserve">nd </w:t>
      </w:r>
      <w:proofErr w:type="spellStart"/>
      <w:r>
        <w:t>em</w:t>
      </w:r>
      <w:r w:rsidR="0038568E">
        <w:t>pathising</w:t>
      </w:r>
      <w:proofErr w:type="spellEnd"/>
      <w:r w:rsidR="0038568E">
        <w:t xml:space="preserve"> </w:t>
      </w:r>
      <w:r>
        <w:t>with personal dilemmas relationships and painful consequences faced by believable human being acted out in front of them.”</w:t>
      </w:r>
      <w:r>
        <w:rPr>
          <w:vertAlign w:val="superscript"/>
        </w:rPr>
        <w:footnoteReference w:id="33"/>
      </w:r>
      <w:r>
        <w:t xml:space="preserve"> This shows that the pupils who </w:t>
      </w:r>
      <w:r>
        <w:lastRenderedPageBreak/>
        <w:t xml:space="preserve">took part in the theatre group remembered more than the </w:t>
      </w:r>
      <w:r w:rsidR="0038568E">
        <w:t>pupils</w:t>
      </w:r>
      <w:r>
        <w:t xml:space="preserve"> who were taken on a t</w:t>
      </w:r>
      <w:r>
        <w:t>our round the museum because they felt a deep connection with the characters and were more engaged. However, it is important to remember that the dramatic monologues being performed in the museum</w:t>
      </w:r>
      <w:r>
        <w:t>s were fictional and therefore not authentic.</w:t>
      </w:r>
    </w:p>
    <w:p w14:paraId="60B155C5" w14:textId="28AE570B" w:rsidR="00E75BBF" w:rsidRDefault="00316C4A">
      <w:pPr>
        <w:spacing w:before="240" w:after="240" w:line="480" w:lineRule="auto"/>
      </w:pPr>
      <w:r>
        <w:t>The theatrical</w:t>
      </w:r>
      <w:r>
        <w:t xml:space="preserve"> performance at the People’s History Museum was “</w:t>
      </w:r>
      <w:r>
        <w:t>woven almost seamlessly into the larger cultural from,</w:t>
      </w:r>
      <w:r>
        <w:t xml:space="preserve"> imbuing it with a similar ‘authenticity’ to that which resided in the collections and artefacts that the children encountered”.</w:t>
      </w:r>
      <w:r>
        <w:rPr>
          <w:vertAlign w:val="superscript"/>
        </w:rPr>
        <w:footnoteReference w:id="34"/>
      </w:r>
      <w:r>
        <w:t xml:space="preserve"> Therefore</w:t>
      </w:r>
      <w:r w:rsidR="001A7633">
        <w:t>,</w:t>
      </w:r>
      <w:r>
        <w:t xml:space="preserve"> </w:t>
      </w:r>
      <w:r>
        <w:t xml:space="preserve">Gabrielle's story was just as authentic and genuine </w:t>
      </w:r>
      <w:r w:rsidR="001A7633" w:rsidRPr="001A7633">
        <w:t xml:space="preserve">to the children </w:t>
      </w:r>
      <w:r>
        <w:t>as the rest of the artefacts in the museum but it was however fictional. As well as this</w:t>
      </w:r>
      <w:r w:rsidR="001A7633">
        <w:t>,</w:t>
      </w:r>
      <w:r>
        <w:t xml:space="preserve"> “the interpretation of past events through character-based narrative and emphatic charac</w:t>
      </w:r>
      <w:r>
        <w:t>ters did in some cases seem to limit the children's ability to make connections with the broader picture”.</w:t>
      </w:r>
      <w:r>
        <w:rPr>
          <w:vertAlign w:val="superscript"/>
        </w:rPr>
        <w:footnoteReference w:id="35"/>
      </w:r>
      <w:r w:rsidR="001A7633">
        <w:t xml:space="preserve"> </w:t>
      </w:r>
    </w:p>
    <w:p w14:paraId="0E3456AA" w14:textId="2289A56E" w:rsidR="00E75BBF" w:rsidRDefault="00316C4A">
      <w:pPr>
        <w:spacing w:before="240" w:after="240" w:line="480" w:lineRule="auto"/>
      </w:pPr>
      <w:r>
        <w:t xml:space="preserve">This unfortunately demonstrates how some of the </w:t>
      </w:r>
      <w:r w:rsidR="0038568E">
        <w:t>pupils</w:t>
      </w:r>
      <w:r>
        <w:t xml:space="preserve"> were not able to make the link between the authentic artefacts in the museum that the mono</w:t>
      </w:r>
      <w:r>
        <w:t>logues were based o</w:t>
      </w:r>
      <w:r w:rsidR="003D4E90">
        <w:t>n</w:t>
      </w:r>
      <w:r>
        <w:t xml:space="preserve"> and the actual performances. More evidence of this is </w:t>
      </w:r>
      <w:r w:rsidR="00A43417">
        <w:t>given</w:t>
      </w:r>
      <w:r>
        <w:t xml:space="preserve"> when the article mentions that “the events and dilemmas rated by the characters and the replicated locations visited by children were accepted as ‘real’”</w:t>
      </w:r>
      <w:r>
        <w:rPr>
          <w:vertAlign w:val="superscript"/>
        </w:rPr>
        <w:footnoteReference w:id="36"/>
      </w:r>
      <w:r>
        <w:t xml:space="preserve"> even though the chi</w:t>
      </w:r>
      <w:r>
        <w:t>ldren were told that they were actors and most of the children knew that the house was not real. Despite this fact</w:t>
      </w:r>
      <w:r w:rsidR="00A43417">
        <w:t>,</w:t>
      </w:r>
      <w:r>
        <w:t xml:space="preserve"> “the children however read the museum</w:t>
      </w:r>
      <w:r w:rsidR="0038568E">
        <w:t>’</w:t>
      </w:r>
      <w:r>
        <w:t>s</w:t>
      </w:r>
      <w:r>
        <w:t xml:space="preserve"> fictions as facts conflations present reality with historical authenticity”</w:t>
      </w:r>
      <w:r>
        <w:rPr>
          <w:vertAlign w:val="superscript"/>
        </w:rPr>
        <w:footnoteReference w:id="37"/>
      </w:r>
      <w:r>
        <w:t xml:space="preserve"> although the houses were </w:t>
      </w:r>
      <w:r>
        <w:t xml:space="preserve">reconstructions and the theatrical props were not authentic. </w:t>
      </w:r>
    </w:p>
    <w:p w14:paraId="08ED6EAF" w14:textId="6F283FBE" w:rsidR="00E75BBF" w:rsidRDefault="00316C4A">
      <w:pPr>
        <w:spacing w:before="240" w:after="240" w:line="480" w:lineRule="auto"/>
      </w:pPr>
      <w:r>
        <w:t xml:space="preserve">The main problem seems to be </w:t>
      </w:r>
      <w:r w:rsidR="00E41032">
        <w:t xml:space="preserve">how to </w:t>
      </w:r>
      <w:r>
        <w:t>creat</w:t>
      </w:r>
      <w:r w:rsidR="00E41032">
        <w:t>e</w:t>
      </w:r>
      <w:r>
        <w:t xml:space="preserve"> the distinction between “the children’s actual experience in the museum”</w:t>
      </w:r>
      <w:r>
        <w:rPr>
          <w:vertAlign w:val="superscript"/>
        </w:rPr>
        <w:footnoteReference w:id="38"/>
      </w:r>
      <w:r>
        <w:t xml:space="preserve"> and </w:t>
      </w:r>
      <w:r w:rsidR="00E41032">
        <w:t xml:space="preserve">the </w:t>
      </w:r>
      <w:r>
        <w:t xml:space="preserve">“authenticity that they attributed to the objects, </w:t>
      </w:r>
      <w:r>
        <w:lastRenderedPageBreak/>
        <w:t>interpretations and perform</w:t>
      </w:r>
      <w:r>
        <w:t>ances that they encountered including displays of actual objects from the past”.</w:t>
      </w:r>
      <w:r>
        <w:rPr>
          <w:vertAlign w:val="superscript"/>
        </w:rPr>
        <w:footnoteReference w:id="39"/>
      </w:r>
      <w:r>
        <w:t xml:space="preserve"> This is because to the children the characters</w:t>
      </w:r>
      <w:r w:rsidR="00E41032">
        <w:t>'</w:t>
      </w:r>
      <w:r>
        <w:t xml:space="preserve"> worlds</w:t>
      </w:r>
      <w:r w:rsidR="0038568E">
        <w:t>,</w:t>
      </w:r>
      <w:r>
        <w:t xml:space="preserve"> although they </w:t>
      </w:r>
      <w:r w:rsidR="00E41032">
        <w:t xml:space="preserve">were </w:t>
      </w:r>
      <w:r>
        <w:t>not</w:t>
      </w:r>
      <w:r>
        <w:t xml:space="preserve"> </w:t>
      </w:r>
      <w:r>
        <w:t>r</w:t>
      </w:r>
      <w:r>
        <w:t>e</w:t>
      </w:r>
      <w:r>
        <w:t>a</w:t>
      </w:r>
      <w:r>
        <w:t>l</w:t>
      </w:r>
      <w:r w:rsidR="0038568E">
        <w:t>,</w:t>
      </w:r>
      <w:r>
        <w:t xml:space="preserve"> </w:t>
      </w:r>
      <w:r w:rsidR="00E41032">
        <w:t xml:space="preserve">they </w:t>
      </w:r>
      <w:r>
        <w:t>seemed</w:t>
      </w:r>
      <w:r>
        <w:t xml:space="preserve"> real because they were placed within the museum.  While </w:t>
      </w:r>
      <w:r>
        <w:t xml:space="preserve">the </w:t>
      </w:r>
      <w:r w:rsidR="0038568E">
        <w:t>pupils</w:t>
      </w:r>
      <w:r>
        <w:t xml:space="preserve"> were in the museum t</w:t>
      </w:r>
      <w:r>
        <w:t>hey</w:t>
      </w:r>
      <w:r>
        <w:t xml:space="preserve"> “attributed authenticity to all of their experiences in the museum”</w:t>
      </w:r>
      <w:r>
        <w:rPr>
          <w:vertAlign w:val="superscript"/>
        </w:rPr>
        <w:footnoteReference w:id="40"/>
      </w:r>
      <w:r>
        <w:t xml:space="preserve"> because there were real objects present the pupils did not differentiate “between the diverse forms of interpretation (including theatre) that they encountered”.</w:t>
      </w:r>
      <w:r>
        <w:rPr>
          <w:vertAlign w:val="superscript"/>
        </w:rPr>
        <w:footnoteReference w:id="41"/>
      </w:r>
      <w:r>
        <w:t xml:space="preserve"> </w:t>
      </w:r>
    </w:p>
    <w:p w14:paraId="17BBE886" w14:textId="0910FB51" w:rsidR="00E75BBF" w:rsidRDefault="00316C4A">
      <w:pPr>
        <w:spacing w:before="240" w:after="240" w:line="480" w:lineRule="auto"/>
      </w:pPr>
      <w:r>
        <w:t>Museum theatre the</w:t>
      </w:r>
      <w:r>
        <w:t xml:space="preserve">refore may be more memorable than the usual museum tours for children because it is exciting and relatable as well as engaging. </w:t>
      </w:r>
      <w:r w:rsidR="00E41032">
        <w:t>However,</w:t>
      </w:r>
      <w:r>
        <w:t xml:space="preserve"> although it may be based around authentic objects in a museum</w:t>
      </w:r>
      <w:r w:rsidR="00E41032">
        <w:t>,</w:t>
      </w:r>
      <w:r>
        <w:t xml:space="preserve"> the monologues themselves are fictional. This presents a probl</w:t>
      </w:r>
      <w:r>
        <w:t xml:space="preserve">em because </w:t>
      </w:r>
      <w:r>
        <w:t>small children can</w:t>
      </w:r>
      <w:r>
        <w:t>not tell the difference between what is authentic or not because being in a museum</w:t>
      </w:r>
      <w:r w:rsidR="00E41032">
        <w:t>,</w:t>
      </w:r>
      <w:r>
        <w:t xml:space="preserve"> they presume that everything is authentic. Museum theatre then presents the problem of “a partial view of history and diverts attention fro</w:t>
      </w:r>
      <w:r>
        <w:t>m the authentic object/site”.</w:t>
      </w:r>
      <w:r>
        <w:rPr>
          <w:vertAlign w:val="superscript"/>
        </w:rPr>
        <w:footnoteReference w:id="42"/>
      </w:r>
      <w:r>
        <w:t xml:space="preserve"> </w:t>
      </w:r>
      <w:r w:rsidR="00F5290E">
        <w:t>However,</w:t>
      </w:r>
      <w:r>
        <w:t xml:space="preserve"> the </w:t>
      </w:r>
      <w:r w:rsidR="0038568E">
        <w:t>pupils</w:t>
      </w:r>
      <w:r>
        <w:t xml:space="preserve"> have still learnt something from the museum visit and it was </w:t>
      </w:r>
      <w:proofErr w:type="gramStart"/>
      <w:r>
        <w:t>engaging</w:t>
      </w:r>
      <w:proofErr w:type="gramEnd"/>
      <w:r>
        <w:t xml:space="preserve"> and the children felt sympathy with the characters.</w:t>
      </w:r>
    </w:p>
    <w:p w14:paraId="1ED411F5" w14:textId="427520D4" w:rsidR="00E75BBF" w:rsidRDefault="00316C4A">
      <w:pPr>
        <w:spacing w:before="240" w:after="240" w:line="480" w:lineRule="auto"/>
      </w:pPr>
      <w:r>
        <w:t xml:space="preserve">In conclusion, authenticity is important to the </w:t>
      </w:r>
      <w:proofErr w:type="gramStart"/>
      <w:r>
        <w:t>vi</w:t>
      </w:r>
      <w:r>
        <w:t>sitor</w:t>
      </w:r>
      <w:r w:rsidR="00F5290E">
        <w:t>s</w:t>
      </w:r>
      <w:proofErr w:type="gramEnd"/>
      <w:r>
        <w:t xml:space="preserve"> but they are usually looking f</w:t>
      </w:r>
      <w:r>
        <w:t>or an authentic experience. More important though is the effect of authority on authenticity. This can be shown</w:t>
      </w:r>
      <w:r>
        <w:t xml:space="preserve"> through the way that museums are sometimes run in the modern day. This is because curators often </w:t>
      </w:r>
      <w:r w:rsidR="00F5290E">
        <w:t>put</w:t>
      </w:r>
      <w:r>
        <w:t xml:space="preserve"> an authentic experience such as the Tudor K</w:t>
      </w:r>
      <w:r>
        <w:t xml:space="preserve">itchen at Hampton Court Palace or museum theatre before actual authenticity. An authentic experience can make the visitor feel </w:t>
      </w:r>
      <w:r w:rsidR="00F5290E">
        <w:t>as if</w:t>
      </w:r>
      <w:r>
        <w:t xml:space="preserve"> they are living in or experiencing the past whilst the props would be replicas</w:t>
      </w:r>
      <w:r w:rsidR="00F5290E">
        <w:t>.</w:t>
      </w:r>
      <w:r>
        <w:t xml:space="preserve"> </w:t>
      </w:r>
      <w:r w:rsidR="00F5290E">
        <w:t>T</w:t>
      </w:r>
      <w:r>
        <w:t>he stories being told in the dramatic mo</w:t>
      </w:r>
      <w:r>
        <w:t>nologues within museum theatre</w:t>
      </w:r>
      <w:r w:rsidR="00F5290E">
        <w:t>,</w:t>
      </w:r>
      <w:r>
        <w:t xml:space="preserve"> such as those seen at Imperial War Museum and the People's History Museum, are based on the authentic objects </w:t>
      </w:r>
      <w:r>
        <w:lastRenderedPageBreak/>
        <w:t xml:space="preserve">within the museum </w:t>
      </w:r>
      <w:r w:rsidR="00F5290E">
        <w:t xml:space="preserve">and </w:t>
      </w:r>
      <w:r>
        <w:t xml:space="preserve">are </w:t>
      </w:r>
      <w:proofErr w:type="gramStart"/>
      <w:r>
        <w:t>actually fictional</w:t>
      </w:r>
      <w:proofErr w:type="gramEnd"/>
      <w:r>
        <w:t>. This happens because usually tourists go to museums “with specific expect</w:t>
      </w:r>
      <w:r>
        <w:t>ations of the “authentic” experience that they would like to have, which often do not tally well with the recorded history of the site”</w:t>
      </w:r>
      <w:r>
        <w:rPr>
          <w:vertAlign w:val="superscript"/>
        </w:rPr>
        <w:footnoteReference w:id="43"/>
      </w:r>
      <w:r>
        <w:t xml:space="preserve"> Which is why museums can tend to focus on the authentic experience because that is often what the visitors want.</w:t>
      </w:r>
    </w:p>
    <w:p w14:paraId="48C19D19" w14:textId="4C46E627" w:rsidR="00E75BBF" w:rsidRDefault="00316C4A">
      <w:pPr>
        <w:spacing w:before="240" w:after="240" w:line="480" w:lineRule="auto"/>
      </w:pPr>
      <w:r>
        <w:t>In add</w:t>
      </w:r>
      <w:r>
        <w:t>ition</w:t>
      </w:r>
      <w:r w:rsidR="0046741A">
        <w:t>,</w:t>
      </w:r>
      <w:r>
        <w:t xml:space="preserve"> this essay has shown that “authenticity has different meanings in different cultural contexts”.</w:t>
      </w:r>
      <w:r>
        <w:rPr>
          <w:vertAlign w:val="superscript"/>
        </w:rPr>
        <w:footnoteReference w:id="44"/>
      </w:r>
      <w:r>
        <w:t xml:space="preserve"> This </w:t>
      </w:r>
      <w:r w:rsidR="0046741A">
        <w:t>can be seen</w:t>
      </w:r>
      <w:r>
        <w:t xml:space="preserve"> through the way </w:t>
      </w:r>
      <w:r w:rsidR="0046741A">
        <w:t>how</w:t>
      </w:r>
      <w:r>
        <w:t xml:space="preserve"> in Japan</w:t>
      </w:r>
      <w:r>
        <w:t xml:space="preserve"> temples </w:t>
      </w:r>
      <w:r w:rsidR="0046741A">
        <w:t xml:space="preserve">are restored </w:t>
      </w:r>
      <w:r>
        <w:t xml:space="preserve">every twenty years. These buildings could be </w:t>
      </w:r>
      <w:r w:rsidR="00054E08">
        <w:t>considered</w:t>
      </w:r>
      <w:r>
        <w:t xml:space="preserve"> as no longer being </w:t>
      </w:r>
      <w:proofErr w:type="gramStart"/>
      <w:r>
        <w:t>authentic</w:t>
      </w:r>
      <w:proofErr w:type="gramEnd"/>
      <w:r>
        <w:t xml:space="preserve"> but</w:t>
      </w:r>
      <w:r>
        <w:t xml:space="preserve"> they use traditional methods for restoring the buildings which is why they are still seen as being authentic.</w:t>
      </w:r>
    </w:p>
    <w:p w14:paraId="46B4B1A8" w14:textId="37DB79DC" w:rsidR="00E75BBF" w:rsidRDefault="00054E08">
      <w:pPr>
        <w:spacing w:before="240" w:after="240" w:line="480" w:lineRule="auto"/>
      </w:pPr>
      <w:r>
        <w:t>T</w:t>
      </w:r>
      <w:r w:rsidR="00316C4A">
        <w:t>he concept of authenticity is important in the concept of heritage in modern society. We may not have the early 19th century view towards res</w:t>
      </w:r>
      <w:r w:rsidR="00316C4A">
        <w:t>toration whe</w:t>
      </w:r>
      <w:r w:rsidR="0038568E">
        <w:t>n</w:t>
      </w:r>
      <w:r w:rsidR="00316C4A">
        <w:t xml:space="preserve"> </w:t>
      </w:r>
      <w:r>
        <w:t>it was</w:t>
      </w:r>
      <w:r w:rsidR="00316C4A">
        <w:t xml:space="preserve"> thought </w:t>
      </w:r>
      <w:r>
        <w:t>to be</w:t>
      </w:r>
      <w:r w:rsidR="00316C4A">
        <w:t xml:space="preserve"> better not to restore objects at all. This was because</w:t>
      </w:r>
      <w:r w:rsidR="00316C4A">
        <w:t xml:space="preserve"> restoration </w:t>
      </w:r>
      <w:proofErr w:type="gramStart"/>
      <w:r>
        <w:t xml:space="preserve">was seen </w:t>
      </w:r>
      <w:r w:rsidR="00316C4A">
        <w:t>as</w:t>
      </w:r>
      <w:proofErr w:type="gramEnd"/>
      <w:r w:rsidR="00316C4A">
        <w:t xml:space="preserve"> deceptive. </w:t>
      </w:r>
      <w:r>
        <w:t>I</w:t>
      </w:r>
      <w:r w:rsidR="00316C4A">
        <w:t>n the modern day</w:t>
      </w:r>
      <w:r>
        <w:t>,</w:t>
      </w:r>
      <w:r w:rsidR="00316C4A">
        <w:t xml:space="preserve"> </w:t>
      </w:r>
      <w:r>
        <w:t xml:space="preserve">however, </w:t>
      </w:r>
      <w:r w:rsidR="00316C4A">
        <w:t xml:space="preserve">the new concept of authenticity is that if an object is restored or cleaned it does not make it any less </w:t>
      </w:r>
      <w:r w:rsidR="00316C4A">
        <w:t>authentic</w:t>
      </w:r>
      <w:r w:rsidR="00316C4A">
        <w:rPr>
          <w:vertAlign w:val="superscript"/>
        </w:rPr>
        <w:footnoteReference w:id="45"/>
      </w:r>
      <w:r w:rsidR="00316C4A">
        <w:t xml:space="preserve"> or a replica.</w:t>
      </w:r>
    </w:p>
    <w:p w14:paraId="1D105140" w14:textId="1FE0823B" w:rsidR="00E75BBF" w:rsidRDefault="00316C4A">
      <w:pPr>
        <w:spacing w:before="240" w:after="240" w:line="480" w:lineRule="auto"/>
      </w:pPr>
      <w:r>
        <w:t xml:space="preserve">Museums and </w:t>
      </w:r>
      <w:r w:rsidR="00BA1AE2">
        <w:t>their</w:t>
      </w:r>
      <w:r>
        <w:t xml:space="preserve"> curators and establishment</w:t>
      </w:r>
      <w:r w:rsidR="00BA1AE2">
        <w:t>s</w:t>
      </w:r>
      <w:r>
        <w:t xml:space="preserve"> surrounding </w:t>
      </w:r>
      <w:r w:rsidR="00BA1AE2">
        <w:t>them</w:t>
      </w:r>
      <w:r>
        <w:t xml:space="preserve"> have the authority to decide what to display or show. M</w:t>
      </w:r>
      <w:r>
        <w:t xml:space="preserve">useums seem </w:t>
      </w:r>
      <w:r>
        <w:t xml:space="preserve">now to be </w:t>
      </w:r>
      <w:r>
        <w:t>using the authentic or immersive experience to draw in the public and tourists because they</w:t>
      </w:r>
      <w:r>
        <w:t xml:space="preserve"> </w:t>
      </w:r>
      <w:proofErr w:type="gramStart"/>
      <w:r>
        <w:t>ca</w:t>
      </w:r>
      <w:r>
        <w:t>n be seen as</w:t>
      </w:r>
      <w:proofErr w:type="gramEnd"/>
      <w:r>
        <w:t xml:space="preserve"> being more memorable and exciting than a regular exhibit in a museum. T</w:t>
      </w:r>
      <w:r>
        <w:t>he general public assume that everything is authentic just because they are in a museum o</w:t>
      </w:r>
      <w:r>
        <w:t>r a heritage site although a lot of what is involved in</w:t>
      </w:r>
      <w:r>
        <w:t xml:space="preserve"> an immersive experience is reconstructed or </w:t>
      </w:r>
      <w:r w:rsidR="00BA1AE2">
        <w:t xml:space="preserve">are </w:t>
      </w:r>
      <w:r>
        <w:t xml:space="preserve">replicas. This shows that the </w:t>
      </w:r>
      <w:proofErr w:type="gramStart"/>
      <w:r>
        <w:t>modern day</w:t>
      </w:r>
      <w:proofErr w:type="gramEnd"/>
      <w:r>
        <w:t xml:space="preserve"> public do value authenticity at museums or heritage sites so that they can feel like they are experiencing the past.  </w:t>
      </w:r>
    </w:p>
    <w:p w14:paraId="1609C836" w14:textId="77777777" w:rsidR="00E75BBF" w:rsidRDefault="00E75BBF">
      <w:pPr>
        <w:spacing w:before="240" w:after="240" w:line="480" w:lineRule="auto"/>
      </w:pPr>
    </w:p>
    <w:p w14:paraId="10528FCB" w14:textId="77777777" w:rsidR="00E75BBF" w:rsidRDefault="00E75BBF">
      <w:pPr>
        <w:spacing w:before="240" w:after="240" w:line="480" w:lineRule="auto"/>
      </w:pPr>
    </w:p>
    <w:p w14:paraId="4A631FDC" w14:textId="77777777" w:rsidR="00E75BBF" w:rsidRDefault="00E75BBF">
      <w:pPr>
        <w:spacing w:before="240" w:after="240" w:line="480" w:lineRule="auto"/>
      </w:pPr>
    </w:p>
    <w:p w14:paraId="57CA0ED7" w14:textId="77777777" w:rsidR="00E75BBF" w:rsidRDefault="00E75BBF">
      <w:pPr>
        <w:spacing w:before="240" w:after="240" w:line="480" w:lineRule="auto"/>
      </w:pPr>
    </w:p>
    <w:p w14:paraId="7DA838BA" w14:textId="77777777" w:rsidR="00E75BBF" w:rsidRDefault="00E75BBF">
      <w:pPr>
        <w:spacing w:before="240" w:after="240" w:line="480" w:lineRule="auto"/>
      </w:pPr>
    </w:p>
    <w:p w14:paraId="3995239E" w14:textId="77777777" w:rsidR="00E75BBF" w:rsidRDefault="00E75BBF">
      <w:pPr>
        <w:spacing w:before="240" w:after="240" w:line="480" w:lineRule="auto"/>
      </w:pPr>
    </w:p>
    <w:p w14:paraId="29843B8B" w14:textId="77777777" w:rsidR="00E75BBF" w:rsidRDefault="00316C4A">
      <w:pPr>
        <w:spacing w:before="240" w:after="240" w:line="480" w:lineRule="auto"/>
      </w:pPr>
      <w:r>
        <w:br w:type="page"/>
      </w:r>
    </w:p>
    <w:p w14:paraId="50ED007D" w14:textId="77777777" w:rsidR="00E75BBF" w:rsidRDefault="00316C4A">
      <w:pPr>
        <w:spacing w:before="240" w:after="240" w:line="480" w:lineRule="auto"/>
      </w:pPr>
      <w:r>
        <w:lastRenderedPageBreak/>
        <w:t>Please note this essay uses the Harvard ref</w:t>
      </w:r>
      <w:r>
        <w:t>erencing system along with footnotes</w:t>
      </w:r>
    </w:p>
    <w:p w14:paraId="2F388FB5" w14:textId="77777777" w:rsidR="00E75BBF" w:rsidRDefault="00316C4A">
      <w:pPr>
        <w:spacing w:before="240" w:after="240" w:line="480" w:lineRule="auto"/>
        <w:rPr>
          <w:u w:val="single"/>
        </w:rPr>
      </w:pPr>
      <w:r>
        <w:rPr>
          <w:u w:val="single"/>
        </w:rPr>
        <w:t>Bibliography-</w:t>
      </w:r>
    </w:p>
    <w:p w14:paraId="27EDD37E" w14:textId="77777777" w:rsidR="00E75BBF" w:rsidRDefault="00316C4A">
      <w:pPr>
        <w:spacing w:before="240" w:after="240" w:line="480" w:lineRule="auto"/>
      </w:pPr>
      <w:r>
        <w:t>ICOMOS 1994 The Nara Document on Authenticity. Available: http://www.international.icomos.org/charters/nara_e.htm, accessed 18th December 2018</w:t>
      </w:r>
      <w:bookmarkStart w:id="2" w:name="_GoBack"/>
      <w:bookmarkEnd w:id="2"/>
    </w:p>
    <w:p w14:paraId="69D76036" w14:textId="77777777" w:rsidR="00E75BBF" w:rsidRDefault="00316C4A">
      <w:pPr>
        <w:spacing w:before="240" w:after="240" w:line="480" w:lineRule="auto"/>
        <w:rPr>
          <w:sz w:val="21"/>
          <w:szCs w:val="21"/>
        </w:rPr>
      </w:pPr>
      <w:r>
        <w:rPr>
          <w:sz w:val="21"/>
          <w:szCs w:val="21"/>
        </w:rPr>
        <w:t>Chhabra, Deepak. "Positioning museums on an authenticity continuum."</w:t>
      </w:r>
      <w:r>
        <w:rPr>
          <w:i/>
          <w:sz w:val="21"/>
          <w:szCs w:val="21"/>
        </w:rPr>
        <w:t xml:space="preserve"> Annals of Tourism Research</w:t>
      </w:r>
      <w:r>
        <w:rPr>
          <w:sz w:val="21"/>
          <w:szCs w:val="21"/>
        </w:rPr>
        <w:t xml:space="preserve"> 35 </w:t>
      </w:r>
      <w:proofErr w:type="gramStart"/>
      <w:r>
        <w:rPr>
          <w:sz w:val="21"/>
          <w:szCs w:val="21"/>
        </w:rPr>
        <w:t>( Apr</w:t>
      </w:r>
      <w:proofErr w:type="gramEnd"/>
      <w:r>
        <w:rPr>
          <w:sz w:val="21"/>
          <w:szCs w:val="21"/>
        </w:rPr>
        <w:t xml:space="preserve"> 2008): 4</w:t>
      </w:r>
      <w:r>
        <w:rPr>
          <w:sz w:val="21"/>
          <w:szCs w:val="21"/>
        </w:rPr>
        <w:t xml:space="preserve">27-447, </w:t>
      </w:r>
      <w:proofErr w:type="spellStart"/>
      <w:r>
        <w:rPr>
          <w:sz w:val="21"/>
          <w:szCs w:val="21"/>
        </w:rPr>
        <w:t>CrossRef</w:t>
      </w:r>
      <w:proofErr w:type="spellEnd"/>
      <w:r>
        <w:rPr>
          <w:sz w:val="21"/>
          <w:szCs w:val="21"/>
        </w:rPr>
        <w:t>, accessed December 12th 2018.</w:t>
      </w:r>
    </w:p>
    <w:p w14:paraId="0692F6D9" w14:textId="77777777" w:rsidR="00E75BBF" w:rsidRDefault="00316C4A">
      <w:pPr>
        <w:spacing w:before="240" w:after="240" w:line="480" w:lineRule="auto"/>
        <w:rPr>
          <w:sz w:val="21"/>
          <w:szCs w:val="21"/>
        </w:rPr>
      </w:pPr>
      <w:r>
        <w:rPr>
          <w:sz w:val="21"/>
          <w:szCs w:val="21"/>
        </w:rPr>
        <w:t>Heike C. Alberts and Helen D. Hazen. "Maintaining authenticity and integrity at cultural world heritage sites."</w:t>
      </w:r>
      <w:r>
        <w:rPr>
          <w:i/>
          <w:sz w:val="21"/>
          <w:szCs w:val="21"/>
        </w:rPr>
        <w:t xml:space="preserve"> Geographical Review</w:t>
      </w:r>
      <w:r>
        <w:rPr>
          <w:sz w:val="21"/>
          <w:szCs w:val="21"/>
        </w:rPr>
        <w:t xml:space="preserve"> 100 </w:t>
      </w:r>
      <w:proofErr w:type="gramStart"/>
      <w:r>
        <w:rPr>
          <w:sz w:val="21"/>
          <w:szCs w:val="21"/>
        </w:rPr>
        <w:t>( Jan</w:t>
      </w:r>
      <w:proofErr w:type="gramEnd"/>
      <w:r>
        <w:rPr>
          <w:sz w:val="21"/>
          <w:szCs w:val="21"/>
        </w:rPr>
        <w:t xml:space="preserve"> 1, 2010): 56-73, </w:t>
      </w:r>
      <w:proofErr w:type="spellStart"/>
      <w:r>
        <w:rPr>
          <w:sz w:val="21"/>
          <w:szCs w:val="21"/>
        </w:rPr>
        <w:t>CrossRef</w:t>
      </w:r>
      <w:proofErr w:type="spellEnd"/>
      <w:r>
        <w:rPr>
          <w:sz w:val="21"/>
          <w:szCs w:val="21"/>
        </w:rPr>
        <w:t>, accessed December 12th 2018.</w:t>
      </w:r>
    </w:p>
    <w:p w14:paraId="4F14A6A4" w14:textId="77777777" w:rsidR="00E75BBF" w:rsidRDefault="00316C4A">
      <w:pPr>
        <w:shd w:val="clear" w:color="auto" w:fill="FFFFFF"/>
        <w:spacing w:after="180" w:line="240" w:lineRule="auto"/>
        <w:rPr>
          <w:sz w:val="21"/>
          <w:szCs w:val="21"/>
        </w:rPr>
      </w:pPr>
      <w:r>
        <w:rPr>
          <w:sz w:val="21"/>
          <w:szCs w:val="21"/>
        </w:rPr>
        <w:t>Jackson, An</w:t>
      </w:r>
      <w:r>
        <w:rPr>
          <w:sz w:val="21"/>
          <w:szCs w:val="21"/>
        </w:rPr>
        <w:t>thony and Rees Helen. "‘Seeing it for real …?’—Authenticity, theatre and learning in museums."</w:t>
      </w:r>
      <w:r>
        <w:rPr>
          <w:i/>
          <w:sz w:val="21"/>
          <w:szCs w:val="21"/>
        </w:rPr>
        <w:t xml:space="preserve"> Research in Drama Education</w:t>
      </w:r>
      <w:r>
        <w:rPr>
          <w:sz w:val="21"/>
          <w:szCs w:val="21"/>
        </w:rPr>
        <w:t xml:space="preserve"> 10 </w:t>
      </w:r>
      <w:proofErr w:type="gramStart"/>
      <w:r>
        <w:rPr>
          <w:sz w:val="21"/>
          <w:szCs w:val="21"/>
        </w:rPr>
        <w:t>( November</w:t>
      </w:r>
      <w:proofErr w:type="gramEnd"/>
      <w:r>
        <w:rPr>
          <w:sz w:val="21"/>
          <w:szCs w:val="21"/>
        </w:rPr>
        <w:t xml:space="preserve"> 2005): 303-325, accessed December 12th 2018.</w:t>
      </w:r>
    </w:p>
    <w:p w14:paraId="6649CA2D" w14:textId="77777777" w:rsidR="00E75BBF" w:rsidRDefault="00316C4A">
      <w:pPr>
        <w:shd w:val="clear" w:color="auto" w:fill="FFFFFF"/>
        <w:spacing w:after="180" w:line="240" w:lineRule="auto"/>
        <w:rPr>
          <w:sz w:val="21"/>
          <w:szCs w:val="21"/>
        </w:rPr>
      </w:pPr>
      <w:r>
        <w:rPr>
          <w:sz w:val="21"/>
          <w:szCs w:val="21"/>
        </w:rPr>
        <w:t>Jerome, Pamela. "An Introduction to Authenticity in Preservation."</w:t>
      </w:r>
      <w:r>
        <w:rPr>
          <w:i/>
          <w:sz w:val="21"/>
          <w:szCs w:val="21"/>
        </w:rPr>
        <w:t xml:space="preserve"> APT Bul</w:t>
      </w:r>
      <w:r>
        <w:rPr>
          <w:i/>
          <w:sz w:val="21"/>
          <w:szCs w:val="21"/>
        </w:rPr>
        <w:t>letin: The Journal of Preservation Technology</w:t>
      </w:r>
      <w:r>
        <w:rPr>
          <w:sz w:val="21"/>
          <w:szCs w:val="21"/>
        </w:rPr>
        <w:t xml:space="preserve"> 39 (2008): 3-7, accessed December 12th</w:t>
      </w:r>
      <w:proofErr w:type="gramStart"/>
      <w:r>
        <w:rPr>
          <w:sz w:val="21"/>
          <w:szCs w:val="21"/>
        </w:rPr>
        <w:t xml:space="preserve"> 2018</w:t>
      </w:r>
      <w:proofErr w:type="gramEnd"/>
      <w:r>
        <w:rPr>
          <w:sz w:val="21"/>
          <w:szCs w:val="21"/>
        </w:rPr>
        <w:t>.</w:t>
      </w:r>
    </w:p>
    <w:p w14:paraId="37DE1011" w14:textId="77777777" w:rsidR="00E75BBF" w:rsidRDefault="00316C4A">
      <w:pPr>
        <w:shd w:val="clear" w:color="auto" w:fill="FFFFFF"/>
        <w:spacing w:after="180" w:line="240" w:lineRule="auto"/>
        <w:rPr>
          <w:sz w:val="21"/>
          <w:szCs w:val="21"/>
        </w:rPr>
      </w:pPr>
      <w:r>
        <w:rPr>
          <w:sz w:val="21"/>
          <w:szCs w:val="21"/>
        </w:rPr>
        <w:t xml:space="preserve">Jones, Mark. "Why fakes?" In </w:t>
      </w:r>
      <w:r>
        <w:rPr>
          <w:i/>
          <w:sz w:val="21"/>
          <w:szCs w:val="21"/>
        </w:rPr>
        <w:t>Interpreting Objects and Collections</w:t>
      </w:r>
      <w:r>
        <w:rPr>
          <w:sz w:val="21"/>
          <w:szCs w:val="21"/>
        </w:rPr>
        <w:t>, edited by S. M. Pearce. London: Routledge, 1994.</w:t>
      </w:r>
    </w:p>
    <w:p w14:paraId="5D1B2F58" w14:textId="77777777" w:rsidR="00E75BBF" w:rsidRDefault="00316C4A">
      <w:pPr>
        <w:shd w:val="clear" w:color="auto" w:fill="FFFFFF"/>
        <w:spacing w:after="180" w:line="240" w:lineRule="auto"/>
        <w:rPr>
          <w:sz w:val="21"/>
          <w:szCs w:val="21"/>
        </w:rPr>
      </w:pPr>
      <w:r>
        <w:rPr>
          <w:sz w:val="21"/>
          <w:szCs w:val="21"/>
        </w:rPr>
        <w:t xml:space="preserve">Jones, </w:t>
      </w:r>
      <w:proofErr w:type="spellStart"/>
      <w:r>
        <w:rPr>
          <w:sz w:val="21"/>
          <w:szCs w:val="21"/>
        </w:rPr>
        <w:t>Siân</w:t>
      </w:r>
      <w:proofErr w:type="spellEnd"/>
      <w:r>
        <w:rPr>
          <w:sz w:val="21"/>
          <w:szCs w:val="21"/>
        </w:rPr>
        <w:t>. "Experiencing Authenticity at Herita</w:t>
      </w:r>
      <w:r>
        <w:rPr>
          <w:sz w:val="21"/>
          <w:szCs w:val="21"/>
        </w:rPr>
        <w:t>ge Sites: Some Implications for Heritage Management and Conservation."</w:t>
      </w:r>
      <w:r>
        <w:rPr>
          <w:i/>
          <w:sz w:val="21"/>
          <w:szCs w:val="21"/>
        </w:rPr>
        <w:t xml:space="preserve"> Conservation and Management of Archaeological Sites</w:t>
      </w:r>
      <w:r>
        <w:rPr>
          <w:sz w:val="21"/>
          <w:szCs w:val="21"/>
        </w:rPr>
        <w:t xml:space="preserve"> 11 </w:t>
      </w:r>
      <w:proofErr w:type="gramStart"/>
      <w:r>
        <w:rPr>
          <w:sz w:val="21"/>
          <w:szCs w:val="21"/>
        </w:rPr>
        <w:t>( May</w:t>
      </w:r>
      <w:proofErr w:type="gramEnd"/>
      <w:r>
        <w:rPr>
          <w:sz w:val="21"/>
          <w:szCs w:val="21"/>
        </w:rPr>
        <w:t xml:space="preserve"> 2009): 133-147, </w:t>
      </w:r>
      <w:proofErr w:type="spellStart"/>
      <w:r>
        <w:rPr>
          <w:sz w:val="21"/>
          <w:szCs w:val="21"/>
        </w:rPr>
        <w:t>CrossRef</w:t>
      </w:r>
      <w:proofErr w:type="spellEnd"/>
      <w:r>
        <w:rPr>
          <w:sz w:val="21"/>
          <w:szCs w:val="21"/>
        </w:rPr>
        <w:t>, accessed December 12th 2018.</w:t>
      </w:r>
    </w:p>
    <w:p w14:paraId="76F434A2" w14:textId="77777777" w:rsidR="00E75BBF" w:rsidRDefault="00316C4A">
      <w:pPr>
        <w:shd w:val="clear" w:color="auto" w:fill="FFFFFF"/>
        <w:spacing w:after="180" w:line="240" w:lineRule="auto"/>
        <w:rPr>
          <w:sz w:val="21"/>
          <w:szCs w:val="21"/>
        </w:rPr>
      </w:pPr>
      <w:r>
        <w:rPr>
          <w:sz w:val="21"/>
          <w:szCs w:val="21"/>
        </w:rPr>
        <w:t>Lipscomb, Suzannah. "Historical Authenticity and Interpretive Strateg</w:t>
      </w:r>
      <w:r>
        <w:rPr>
          <w:sz w:val="21"/>
          <w:szCs w:val="21"/>
        </w:rPr>
        <w:t>y at Hampton Court Palace."</w:t>
      </w:r>
      <w:r>
        <w:rPr>
          <w:i/>
          <w:sz w:val="21"/>
          <w:szCs w:val="21"/>
        </w:rPr>
        <w:t xml:space="preserve"> The Public Historian</w:t>
      </w:r>
      <w:r>
        <w:rPr>
          <w:sz w:val="21"/>
          <w:szCs w:val="21"/>
        </w:rPr>
        <w:t xml:space="preserve"> 32 </w:t>
      </w:r>
      <w:proofErr w:type="gramStart"/>
      <w:r>
        <w:rPr>
          <w:sz w:val="21"/>
          <w:szCs w:val="21"/>
        </w:rPr>
        <w:t>( Summer</w:t>
      </w:r>
      <w:proofErr w:type="gramEnd"/>
      <w:r>
        <w:rPr>
          <w:sz w:val="21"/>
          <w:szCs w:val="21"/>
        </w:rPr>
        <w:t xml:space="preserve"> 2010): 98-119, accessed December 12th 2018.</w:t>
      </w:r>
    </w:p>
    <w:p w14:paraId="119419C0" w14:textId="77777777" w:rsidR="00E75BBF" w:rsidRDefault="00316C4A">
      <w:pPr>
        <w:spacing w:before="240" w:after="240" w:line="480" w:lineRule="auto"/>
      </w:pPr>
      <w:r>
        <w:t>Spencer R. Crew &amp; James E. Sims, ’Locating Authenticity’ (1991)</w:t>
      </w:r>
    </w:p>
    <w:p w14:paraId="79AC87A1" w14:textId="77777777" w:rsidR="00E75BBF" w:rsidRDefault="00E75BBF">
      <w:pPr>
        <w:spacing w:before="240" w:after="240" w:line="480" w:lineRule="auto"/>
      </w:pPr>
    </w:p>
    <w:sectPr w:rsidR="00E75BBF">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549A91" w14:textId="77777777" w:rsidR="00000000" w:rsidRDefault="00316C4A">
      <w:pPr>
        <w:spacing w:line="240" w:lineRule="auto"/>
      </w:pPr>
      <w:r>
        <w:separator/>
      </w:r>
    </w:p>
  </w:endnote>
  <w:endnote w:type="continuationSeparator" w:id="0">
    <w:p w14:paraId="78130952" w14:textId="77777777" w:rsidR="00000000" w:rsidRDefault="00316C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20002A87" w:usb1="00000000" w:usb2="00000000"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5AA1D" w14:textId="77777777" w:rsidR="00000000" w:rsidRDefault="00316C4A">
      <w:pPr>
        <w:spacing w:line="240" w:lineRule="auto"/>
      </w:pPr>
      <w:r>
        <w:separator/>
      </w:r>
    </w:p>
  </w:footnote>
  <w:footnote w:type="continuationSeparator" w:id="0">
    <w:p w14:paraId="7B760728" w14:textId="77777777" w:rsidR="00000000" w:rsidRDefault="00316C4A">
      <w:pPr>
        <w:spacing w:line="240" w:lineRule="auto"/>
      </w:pPr>
      <w:r>
        <w:continuationSeparator/>
      </w:r>
    </w:p>
  </w:footnote>
  <w:footnote w:id="1">
    <w:p w14:paraId="3B12BCE3" w14:textId="77777777" w:rsidR="00E75BBF" w:rsidRDefault="00316C4A">
      <w:pPr>
        <w:spacing w:line="240" w:lineRule="auto"/>
        <w:rPr>
          <w:sz w:val="20"/>
          <w:szCs w:val="20"/>
        </w:rPr>
      </w:pPr>
      <w:r>
        <w:rPr>
          <w:vertAlign w:val="superscript"/>
        </w:rPr>
        <w:footnoteRef/>
      </w:r>
      <w:r>
        <w:rPr>
          <w:sz w:val="20"/>
          <w:szCs w:val="20"/>
        </w:rPr>
        <w:t xml:space="preserve"> Crew. R, </w:t>
      </w:r>
      <w:proofErr w:type="spellStart"/>
      <w:r>
        <w:rPr>
          <w:sz w:val="20"/>
          <w:szCs w:val="20"/>
        </w:rPr>
        <w:t>Sims.J</w:t>
      </w:r>
      <w:proofErr w:type="spellEnd"/>
      <w:r>
        <w:rPr>
          <w:sz w:val="20"/>
          <w:szCs w:val="20"/>
        </w:rPr>
        <w:t xml:space="preserve"> 1991</w:t>
      </w:r>
    </w:p>
  </w:footnote>
  <w:footnote w:id="2">
    <w:p w14:paraId="58E512A0" w14:textId="77777777" w:rsidR="00E75BBF" w:rsidRPr="009657A4" w:rsidRDefault="00316C4A">
      <w:pPr>
        <w:spacing w:line="240" w:lineRule="auto"/>
        <w:rPr>
          <w:sz w:val="20"/>
          <w:szCs w:val="20"/>
          <w:lang w:val="de-DE"/>
        </w:rPr>
      </w:pPr>
      <w:r>
        <w:rPr>
          <w:vertAlign w:val="superscript"/>
        </w:rPr>
        <w:footnoteRef/>
      </w:r>
      <w:r>
        <w:rPr>
          <w:sz w:val="20"/>
          <w:szCs w:val="20"/>
        </w:rPr>
        <w:t xml:space="preserve"> Crew. </w:t>
      </w:r>
      <w:r w:rsidRPr="009657A4">
        <w:rPr>
          <w:sz w:val="20"/>
          <w:szCs w:val="20"/>
          <w:lang w:val="de-DE"/>
        </w:rPr>
        <w:t>R, Sims.J 1991</w:t>
      </w:r>
    </w:p>
  </w:footnote>
  <w:footnote w:id="3">
    <w:p w14:paraId="67086CDF" w14:textId="77777777" w:rsidR="00E75BBF" w:rsidRPr="009657A4" w:rsidRDefault="00316C4A">
      <w:pPr>
        <w:spacing w:line="240" w:lineRule="auto"/>
        <w:rPr>
          <w:sz w:val="20"/>
          <w:szCs w:val="20"/>
          <w:lang w:val="de-DE"/>
        </w:rPr>
      </w:pPr>
      <w:r>
        <w:rPr>
          <w:vertAlign w:val="superscript"/>
        </w:rPr>
        <w:footnoteRef/>
      </w:r>
      <w:r w:rsidRPr="009657A4">
        <w:rPr>
          <w:sz w:val="20"/>
          <w:szCs w:val="20"/>
          <w:lang w:val="de-DE"/>
        </w:rPr>
        <w:t xml:space="preserve"> </w:t>
      </w:r>
      <w:r w:rsidRPr="009657A4">
        <w:rPr>
          <w:sz w:val="20"/>
          <w:szCs w:val="20"/>
          <w:lang w:val="de-DE"/>
        </w:rPr>
        <w:t>Alberts. H, Hazen. H, pg. 60</w:t>
      </w:r>
    </w:p>
  </w:footnote>
  <w:footnote w:id="4">
    <w:p w14:paraId="4945A4AB" w14:textId="77777777" w:rsidR="00E75BBF" w:rsidRDefault="00316C4A">
      <w:pPr>
        <w:spacing w:line="240" w:lineRule="auto"/>
        <w:rPr>
          <w:sz w:val="20"/>
          <w:szCs w:val="20"/>
        </w:rPr>
      </w:pPr>
      <w:r>
        <w:rPr>
          <w:vertAlign w:val="superscript"/>
        </w:rPr>
        <w:footnoteRef/>
      </w:r>
      <w:r w:rsidRPr="009657A4">
        <w:rPr>
          <w:sz w:val="20"/>
          <w:szCs w:val="20"/>
          <w:lang w:val="de-DE"/>
        </w:rPr>
        <w:t xml:space="preserve"> </w:t>
      </w:r>
      <w:r w:rsidRPr="009657A4">
        <w:rPr>
          <w:sz w:val="20"/>
          <w:szCs w:val="20"/>
          <w:lang w:val="de-DE"/>
        </w:rPr>
        <w:t xml:space="preserve">Alberts. </w:t>
      </w:r>
      <w:r>
        <w:rPr>
          <w:sz w:val="20"/>
          <w:szCs w:val="20"/>
        </w:rPr>
        <w:t xml:space="preserve">H, Hazen. H, </w:t>
      </w:r>
      <w:proofErr w:type="spellStart"/>
      <w:r>
        <w:rPr>
          <w:sz w:val="20"/>
          <w:szCs w:val="20"/>
        </w:rPr>
        <w:t>pg</w:t>
      </w:r>
      <w:proofErr w:type="spellEnd"/>
      <w:r>
        <w:rPr>
          <w:sz w:val="20"/>
          <w:szCs w:val="20"/>
        </w:rPr>
        <w:t xml:space="preserve"> 60-1</w:t>
      </w:r>
    </w:p>
  </w:footnote>
  <w:footnote w:id="5">
    <w:p w14:paraId="0FCAFF0D" w14:textId="77777777" w:rsidR="00E75BBF" w:rsidRPr="009657A4" w:rsidRDefault="00316C4A">
      <w:pPr>
        <w:spacing w:line="240" w:lineRule="auto"/>
        <w:rPr>
          <w:sz w:val="20"/>
          <w:szCs w:val="20"/>
          <w:lang w:val="de-DE"/>
        </w:rPr>
      </w:pPr>
      <w:r>
        <w:rPr>
          <w:vertAlign w:val="superscript"/>
        </w:rPr>
        <w:footnoteRef/>
      </w:r>
      <w:r>
        <w:rPr>
          <w:sz w:val="20"/>
          <w:szCs w:val="20"/>
        </w:rPr>
        <w:t xml:space="preserve"> Jerome. </w:t>
      </w:r>
      <w:r w:rsidRPr="009657A4">
        <w:rPr>
          <w:sz w:val="20"/>
          <w:szCs w:val="20"/>
          <w:lang w:val="de-DE"/>
        </w:rPr>
        <w:t>P, pg. 4</w:t>
      </w:r>
    </w:p>
  </w:footnote>
  <w:footnote w:id="6">
    <w:p w14:paraId="79A761C6" w14:textId="77777777" w:rsidR="00E75BBF" w:rsidRDefault="00316C4A">
      <w:pPr>
        <w:spacing w:line="240" w:lineRule="auto"/>
        <w:rPr>
          <w:sz w:val="20"/>
          <w:szCs w:val="20"/>
        </w:rPr>
      </w:pPr>
      <w:r>
        <w:rPr>
          <w:vertAlign w:val="superscript"/>
        </w:rPr>
        <w:footnoteRef/>
      </w:r>
      <w:r w:rsidRPr="009657A4">
        <w:rPr>
          <w:sz w:val="20"/>
          <w:szCs w:val="20"/>
          <w:lang w:val="de-DE"/>
        </w:rPr>
        <w:t xml:space="preserve"> </w:t>
      </w:r>
      <w:r w:rsidRPr="009657A4">
        <w:rPr>
          <w:sz w:val="20"/>
          <w:szCs w:val="20"/>
          <w:lang w:val="de-DE"/>
        </w:rPr>
        <w:t xml:space="preserve">Alberts. H, Hazen . </w:t>
      </w:r>
      <w:r>
        <w:rPr>
          <w:sz w:val="20"/>
          <w:szCs w:val="20"/>
        </w:rPr>
        <w:t xml:space="preserve">H, </w:t>
      </w:r>
      <w:proofErr w:type="spellStart"/>
      <w:r>
        <w:rPr>
          <w:sz w:val="20"/>
          <w:szCs w:val="20"/>
        </w:rPr>
        <w:t>pg</w:t>
      </w:r>
      <w:proofErr w:type="spellEnd"/>
      <w:r>
        <w:rPr>
          <w:sz w:val="20"/>
          <w:szCs w:val="20"/>
        </w:rPr>
        <w:t xml:space="preserve"> 60-1</w:t>
      </w:r>
    </w:p>
  </w:footnote>
  <w:footnote w:id="7">
    <w:p w14:paraId="255ED0C8" w14:textId="77777777" w:rsidR="00E75BBF" w:rsidRDefault="00316C4A">
      <w:pPr>
        <w:spacing w:line="240" w:lineRule="auto"/>
        <w:rPr>
          <w:sz w:val="20"/>
          <w:szCs w:val="20"/>
        </w:rPr>
      </w:pPr>
      <w:r>
        <w:rPr>
          <w:vertAlign w:val="superscript"/>
        </w:rPr>
        <w:footnoteRef/>
      </w:r>
      <w:r>
        <w:rPr>
          <w:sz w:val="20"/>
          <w:szCs w:val="20"/>
        </w:rPr>
        <w:t xml:space="preserve"> Jerome. P, pg. 4</w:t>
      </w:r>
    </w:p>
  </w:footnote>
  <w:footnote w:id="8">
    <w:p w14:paraId="417C5934" w14:textId="77777777" w:rsidR="00E75BBF" w:rsidRDefault="00316C4A">
      <w:pPr>
        <w:spacing w:line="240" w:lineRule="auto"/>
        <w:rPr>
          <w:sz w:val="20"/>
          <w:szCs w:val="20"/>
        </w:rPr>
      </w:pPr>
      <w:r>
        <w:rPr>
          <w:vertAlign w:val="superscript"/>
        </w:rPr>
        <w:footnoteRef/>
      </w:r>
      <w:r>
        <w:rPr>
          <w:sz w:val="20"/>
          <w:szCs w:val="20"/>
        </w:rPr>
        <w:t xml:space="preserve"> </w:t>
      </w:r>
      <w:r>
        <w:t>ICOMOS 1994, Article 11</w:t>
      </w:r>
    </w:p>
  </w:footnote>
  <w:footnote w:id="9">
    <w:p w14:paraId="5A7703D8" w14:textId="77777777" w:rsidR="00E75BBF" w:rsidRDefault="00316C4A">
      <w:pPr>
        <w:spacing w:line="240" w:lineRule="auto"/>
        <w:rPr>
          <w:sz w:val="20"/>
          <w:szCs w:val="20"/>
        </w:rPr>
      </w:pPr>
      <w:r>
        <w:rPr>
          <w:vertAlign w:val="superscript"/>
        </w:rPr>
        <w:footnoteRef/>
      </w:r>
      <w:proofErr w:type="spellStart"/>
      <w:r>
        <w:rPr>
          <w:sz w:val="20"/>
          <w:szCs w:val="20"/>
        </w:rPr>
        <w:t>Jones.M</w:t>
      </w:r>
      <w:proofErr w:type="spellEnd"/>
      <w:r>
        <w:rPr>
          <w:sz w:val="20"/>
          <w:szCs w:val="20"/>
        </w:rPr>
        <w:t>, pg. 95</w:t>
      </w:r>
    </w:p>
  </w:footnote>
  <w:footnote w:id="10">
    <w:p w14:paraId="22DB5B26"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Jones.M</w:t>
      </w:r>
      <w:proofErr w:type="spellEnd"/>
      <w:r>
        <w:rPr>
          <w:sz w:val="20"/>
          <w:szCs w:val="20"/>
        </w:rPr>
        <w:t>, pg.95</w:t>
      </w:r>
    </w:p>
  </w:footnote>
  <w:footnote w:id="11">
    <w:p w14:paraId="544486F0"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Jones.M</w:t>
      </w:r>
      <w:proofErr w:type="spellEnd"/>
      <w:r>
        <w:rPr>
          <w:sz w:val="20"/>
          <w:szCs w:val="20"/>
        </w:rPr>
        <w:t>, pg.95</w:t>
      </w:r>
    </w:p>
  </w:footnote>
  <w:footnote w:id="12">
    <w:p w14:paraId="63F97FA0"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Jones.M</w:t>
      </w:r>
      <w:proofErr w:type="spellEnd"/>
      <w:r>
        <w:rPr>
          <w:sz w:val="20"/>
          <w:szCs w:val="20"/>
        </w:rPr>
        <w:t>, pg.95</w:t>
      </w:r>
    </w:p>
  </w:footnote>
  <w:footnote w:id="13">
    <w:p w14:paraId="75A2002D" w14:textId="77777777" w:rsidR="00E75BBF" w:rsidRDefault="00316C4A">
      <w:pPr>
        <w:spacing w:line="240" w:lineRule="auto"/>
        <w:rPr>
          <w:sz w:val="20"/>
          <w:szCs w:val="20"/>
        </w:rPr>
      </w:pPr>
      <w:r>
        <w:rPr>
          <w:vertAlign w:val="superscript"/>
        </w:rPr>
        <w:footnoteRef/>
      </w:r>
      <w:r>
        <w:rPr>
          <w:sz w:val="20"/>
          <w:szCs w:val="20"/>
        </w:rPr>
        <w:t xml:space="preserve"> Jones. M, pg. 95</w:t>
      </w:r>
    </w:p>
  </w:footnote>
  <w:footnote w:id="14">
    <w:p w14:paraId="62EDC37E"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w:t>
      </w:r>
      <w:r>
        <w:rPr>
          <w:sz w:val="20"/>
          <w:szCs w:val="20"/>
        </w:rPr>
        <w:t>.S</w:t>
      </w:r>
      <w:proofErr w:type="spellEnd"/>
      <w:r>
        <w:rPr>
          <w:sz w:val="20"/>
          <w:szCs w:val="20"/>
        </w:rPr>
        <w:t>, pg. 101</w:t>
      </w:r>
    </w:p>
  </w:footnote>
  <w:footnote w:id="15">
    <w:p w14:paraId="5671B06F"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pg.101</w:t>
      </w:r>
    </w:p>
  </w:footnote>
  <w:footnote w:id="16">
    <w:p w14:paraId="628A6F3C"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 99</w:t>
      </w:r>
    </w:p>
  </w:footnote>
  <w:footnote w:id="17">
    <w:p w14:paraId="73DA33A0" w14:textId="77777777" w:rsidR="004B5BEE" w:rsidRPr="004B5BEE" w:rsidRDefault="004B5BEE">
      <w:pPr>
        <w:pStyle w:val="FootnoteText"/>
        <w:rPr>
          <w:lang w:val="en-GB"/>
        </w:rPr>
      </w:pPr>
      <w:r>
        <w:rPr>
          <w:rStyle w:val="FootnoteReference"/>
        </w:rPr>
        <w:footnoteRef/>
      </w:r>
      <w:r>
        <w:t xml:space="preserve"> </w:t>
      </w:r>
      <w:proofErr w:type="spellStart"/>
      <w:r>
        <w:t>Lipscomb.S</w:t>
      </w:r>
      <w:proofErr w:type="spellEnd"/>
      <w:r>
        <w:t>, pg.99</w:t>
      </w:r>
    </w:p>
  </w:footnote>
  <w:footnote w:id="18">
    <w:p w14:paraId="14FB715F" w14:textId="77777777" w:rsidR="00E75BBF" w:rsidRDefault="00316C4A">
      <w:pPr>
        <w:spacing w:line="240" w:lineRule="auto"/>
        <w:rPr>
          <w:sz w:val="20"/>
          <w:szCs w:val="20"/>
        </w:rPr>
      </w:pPr>
      <w:r>
        <w:rPr>
          <w:vertAlign w:val="superscript"/>
        </w:rPr>
        <w:footnoteRef/>
      </w:r>
      <w:r>
        <w:rPr>
          <w:sz w:val="20"/>
          <w:szCs w:val="20"/>
        </w:rPr>
        <w:t xml:space="preserve"> </w:t>
      </w:r>
      <w:bookmarkStart w:id="0" w:name="_Hlk533083007"/>
      <w:proofErr w:type="spellStart"/>
      <w:r>
        <w:rPr>
          <w:sz w:val="20"/>
          <w:szCs w:val="20"/>
        </w:rPr>
        <w:t>Lipscomb.S</w:t>
      </w:r>
      <w:proofErr w:type="spellEnd"/>
      <w:r>
        <w:rPr>
          <w:sz w:val="20"/>
          <w:szCs w:val="20"/>
        </w:rPr>
        <w:t>, pg.99</w:t>
      </w:r>
      <w:bookmarkEnd w:id="0"/>
    </w:p>
  </w:footnote>
  <w:footnote w:id="19">
    <w:p w14:paraId="0D3900E3"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 106-7</w:t>
      </w:r>
    </w:p>
  </w:footnote>
  <w:footnote w:id="20">
    <w:p w14:paraId="5EE3C0DB"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 106-7</w:t>
      </w:r>
    </w:p>
  </w:footnote>
  <w:footnote w:id="21">
    <w:p w14:paraId="626A7AD5"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 111</w:t>
      </w:r>
    </w:p>
  </w:footnote>
  <w:footnote w:id="22">
    <w:p w14:paraId="29F71F16"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 111</w:t>
      </w:r>
    </w:p>
  </w:footnote>
  <w:footnote w:id="23">
    <w:p w14:paraId="08706371"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pg.111</w:t>
      </w:r>
    </w:p>
  </w:footnote>
  <w:footnote w:id="24">
    <w:p w14:paraId="5AA38E5C" w14:textId="77777777" w:rsidR="00E75BBF" w:rsidRDefault="00316C4A">
      <w:pPr>
        <w:spacing w:line="240" w:lineRule="auto"/>
        <w:rPr>
          <w:sz w:val="20"/>
          <w:szCs w:val="20"/>
        </w:rPr>
      </w:pPr>
      <w:r>
        <w:rPr>
          <w:vertAlign w:val="superscript"/>
        </w:rPr>
        <w:footnoteRef/>
      </w:r>
      <w:proofErr w:type="spellStart"/>
      <w:r>
        <w:rPr>
          <w:sz w:val="20"/>
          <w:szCs w:val="20"/>
        </w:rPr>
        <w:t>Lipscomb.S</w:t>
      </w:r>
      <w:proofErr w:type="spellEnd"/>
      <w:r>
        <w:rPr>
          <w:sz w:val="20"/>
          <w:szCs w:val="20"/>
        </w:rPr>
        <w:t>, pg. 111</w:t>
      </w:r>
    </w:p>
  </w:footnote>
  <w:footnote w:id="25">
    <w:p w14:paraId="4F9954FC" w14:textId="77777777" w:rsidR="00E75BBF" w:rsidRDefault="00316C4A">
      <w:pPr>
        <w:spacing w:line="240" w:lineRule="auto"/>
        <w:rPr>
          <w:sz w:val="20"/>
          <w:szCs w:val="20"/>
        </w:rPr>
      </w:pPr>
      <w:r>
        <w:rPr>
          <w:vertAlign w:val="superscript"/>
        </w:rPr>
        <w:footnoteRef/>
      </w:r>
      <w:proofErr w:type="spellStart"/>
      <w:r>
        <w:rPr>
          <w:sz w:val="20"/>
          <w:szCs w:val="20"/>
        </w:rPr>
        <w:t>Lipscomb.S</w:t>
      </w:r>
      <w:proofErr w:type="spellEnd"/>
      <w:r>
        <w:rPr>
          <w:sz w:val="20"/>
          <w:szCs w:val="20"/>
        </w:rPr>
        <w:t>, pg. 111</w:t>
      </w:r>
    </w:p>
  </w:footnote>
  <w:footnote w:id="26">
    <w:p w14:paraId="485E2129"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 111</w:t>
      </w:r>
    </w:p>
  </w:footnote>
  <w:footnote w:id="27">
    <w:p w14:paraId="5E2B0506"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Lipscomb.S</w:t>
      </w:r>
      <w:proofErr w:type="spellEnd"/>
      <w:r>
        <w:rPr>
          <w:sz w:val="20"/>
          <w:szCs w:val="20"/>
        </w:rPr>
        <w:t>, pg.111</w:t>
      </w:r>
    </w:p>
  </w:footnote>
  <w:footnote w:id="28">
    <w:p w14:paraId="336C9CEF" w14:textId="77777777" w:rsidR="00E75BBF" w:rsidRDefault="00316C4A">
      <w:pPr>
        <w:spacing w:line="240" w:lineRule="auto"/>
        <w:rPr>
          <w:sz w:val="20"/>
          <w:szCs w:val="20"/>
        </w:rPr>
      </w:pPr>
      <w:r>
        <w:rPr>
          <w:vertAlign w:val="superscript"/>
        </w:rPr>
        <w:footnoteRef/>
      </w:r>
      <w:r>
        <w:rPr>
          <w:sz w:val="20"/>
          <w:szCs w:val="20"/>
        </w:rPr>
        <w:t xml:space="preserve"> </w:t>
      </w:r>
      <w:proofErr w:type="spellStart"/>
      <w:proofErr w:type="gramStart"/>
      <w:r>
        <w:rPr>
          <w:sz w:val="20"/>
          <w:szCs w:val="20"/>
        </w:rPr>
        <w:t>Lipscomb,S</w:t>
      </w:r>
      <w:proofErr w:type="spellEnd"/>
      <w:proofErr w:type="gramEnd"/>
      <w:r>
        <w:rPr>
          <w:sz w:val="20"/>
          <w:szCs w:val="20"/>
        </w:rPr>
        <w:t xml:space="preserve">, pg.111 </w:t>
      </w:r>
    </w:p>
  </w:footnote>
  <w:footnote w:id="29">
    <w:p w14:paraId="3D5699C0" w14:textId="2DCDBCB4" w:rsidR="0038568E" w:rsidRPr="00316C4A" w:rsidRDefault="0038568E">
      <w:pPr>
        <w:pStyle w:val="FootnoteText"/>
        <w:rPr>
          <w:lang w:val="en-GB"/>
        </w:rPr>
      </w:pPr>
      <w:r>
        <w:rPr>
          <w:rStyle w:val="FootnoteReference"/>
        </w:rPr>
        <w:footnoteRef/>
      </w:r>
      <w:r>
        <w:t xml:space="preserve"> </w:t>
      </w:r>
      <w:proofErr w:type="spellStart"/>
      <w:r>
        <w:t>Jackson.A</w:t>
      </w:r>
      <w:proofErr w:type="spellEnd"/>
      <w:r>
        <w:t xml:space="preserve">, Rees Leaky. H, </w:t>
      </w:r>
      <w:proofErr w:type="spellStart"/>
      <w:r>
        <w:t>pg</w:t>
      </w:r>
      <w:proofErr w:type="spellEnd"/>
      <w:r>
        <w:t xml:space="preserve"> 30</w:t>
      </w:r>
      <w:r>
        <w:t>3-25</w:t>
      </w:r>
    </w:p>
  </w:footnote>
  <w:footnote w:id="30">
    <w:p w14:paraId="68CD49EC" w14:textId="77777777" w:rsidR="00E75BBF" w:rsidRDefault="00316C4A">
      <w:pPr>
        <w:spacing w:line="240" w:lineRule="auto"/>
        <w:rPr>
          <w:sz w:val="20"/>
          <w:szCs w:val="20"/>
        </w:rPr>
      </w:pPr>
      <w:r>
        <w:rPr>
          <w:vertAlign w:val="superscript"/>
        </w:rPr>
        <w:footnoteRef/>
      </w:r>
      <w:r>
        <w:rPr>
          <w:sz w:val="20"/>
          <w:szCs w:val="20"/>
        </w:rPr>
        <w:t xml:space="preserve"> </w:t>
      </w:r>
      <w:bookmarkStart w:id="1" w:name="_Hlk533093305"/>
      <w:proofErr w:type="spellStart"/>
      <w:r>
        <w:rPr>
          <w:sz w:val="20"/>
          <w:szCs w:val="20"/>
        </w:rPr>
        <w:t>Jackson.A</w:t>
      </w:r>
      <w:proofErr w:type="spellEnd"/>
      <w:r>
        <w:rPr>
          <w:sz w:val="20"/>
          <w:szCs w:val="20"/>
        </w:rPr>
        <w:t xml:space="preserve">, Rees Leaky. H, </w:t>
      </w:r>
      <w:proofErr w:type="spellStart"/>
      <w:r>
        <w:rPr>
          <w:sz w:val="20"/>
          <w:szCs w:val="20"/>
        </w:rPr>
        <w:t>pg</w:t>
      </w:r>
      <w:proofErr w:type="spellEnd"/>
      <w:r>
        <w:rPr>
          <w:sz w:val="20"/>
          <w:szCs w:val="20"/>
        </w:rPr>
        <w:t xml:space="preserve"> 305 </w:t>
      </w:r>
      <w:bookmarkEnd w:id="1"/>
    </w:p>
  </w:footnote>
  <w:footnote w:id="31">
    <w:p w14:paraId="2699DF6B"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Leaky. H, </w:t>
      </w:r>
      <w:proofErr w:type="spellStart"/>
      <w:r>
        <w:rPr>
          <w:sz w:val="20"/>
          <w:szCs w:val="20"/>
        </w:rPr>
        <w:t>pg</w:t>
      </w:r>
      <w:proofErr w:type="spellEnd"/>
      <w:r>
        <w:rPr>
          <w:sz w:val="20"/>
          <w:szCs w:val="20"/>
        </w:rPr>
        <w:t xml:space="preserve"> 304</w:t>
      </w:r>
    </w:p>
  </w:footnote>
  <w:footnote w:id="32">
    <w:p w14:paraId="781CC8EF"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Leaky. H, </w:t>
      </w:r>
      <w:proofErr w:type="spellStart"/>
      <w:r>
        <w:rPr>
          <w:sz w:val="20"/>
          <w:szCs w:val="20"/>
        </w:rPr>
        <w:t>pg</w:t>
      </w:r>
      <w:proofErr w:type="spellEnd"/>
      <w:r>
        <w:rPr>
          <w:sz w:val="20"/>
          <w:szCs w:val="20"/>
        </w:rPr>
        <w:t xml:space="preserve"> 314</w:t>
      </w:r>
    </w:p>
  </w:footnote>
  <w:footnote w:id="33">
    <w:p w14:paraId="03557A74"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Leaky, H, </w:t>
      </w:r>
      <w:proofErr w:type="spellStart"/>
      <w:r>
        <w:rPr>
          <w:sz w:val="20"/>
          <w:szCs w:val="20"/>
        </w:rPr>
        <w:t>pg</w:t>
      </w:r>
      <w:proofErr w:type="spellEnd"/>
      <w:r>
        <w:rPr>
          <w:sz w:val="20"/>
          <w:szCs w:val="20"/>
        </w:rPr>
        <w:t xml:space="preserve"> 315-6</w:t>
      </w:r>
    </w:p>
  </w:footnote>
  <w:footnote w:id="34">
    <w:p w14:paraId="014770E9"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310-11</w:t>
      </w:r>
    </w:p>
  </w:footnote>
  <w:footnote w:id="35">
    <w:p w14:paraId="2CC35A09"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317</w:t>
      </w:r>
    </w:p>
  </w:footnote>
  <w:footnote w:id="36">
    <w:p w14:paraId="5D61D85F"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318</w:t>
      </w:r>
    </w:p>
  </w:footnote>
  <w:footnote w:id="37">
    <w:p w14:paraId="0DB69656"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319</w:t>
      </w:r>
    </w:p>
  </w:footnote>
  <w:footnote w:id="38">
    <w:p w14:paraId="30B2068F"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319</w:t>
      </w:r>
    </w:p>
  </w:footnote>
  <w:footnote w:id="39">
    <w:p w14:paraId="38B260F5"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319</w:t>
      </w:r>
    </w:p>
  </w:footnote>
  <w:footnote w:id="40">
    <w:p w14:paraId="2E3E7C02"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319</w:t>
      </w:r>
    </w:p>
  </w:footnote>
  <w:footnote w:id="41">
    <w:p w14:paraId="2E282CDF"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Leaky.H</w:t>
      </w:r>
      <w:proofErr w:type="spellEnd"/>
      <w:r>
        <w:rPr>
          <w:sz w:val="20"/>
          <w:szCs w:val="20"/>
        </w:rPr>
        <w:t xml:space="preserve">, </w:t>
      </w:r>
      <w:proofErr w:type="spellStart"/>
      <w:r>
        <w:rPr>
          <w:sz w:val="20"/>
          <w:szCs w:val="20"/>
        </w:rPr>
        <w:t>pg</w:t>
      </w:r>
      <w:proofErr w:type="spellEnd"/>
      <w:r>
        <w:rPr>
          <w:sz w:val="20"/>
          <w:szCs w:val="20"/>
        </w:rPr>
        <w:t xml:space="preserve"> 319</w:t>
      </w:r>
    </w:p>
  </w:footnote>
  <w:footnote w:id="42">
    <w:p w14:paraId="564E402D" w14:textId="77777777" w:rsidR="00E75BBF" w:rsidRDefault="00316C4A">
      <w:pPr>
        <w:spacing w:line="240" w:lineRule="auto"/>
        <w:rPr>
          <w:sz w:val="20"/>
          <w:szCs w:val="20"/>
        </w:rPr>
      </w:pPr>
      <w:r>
        <w:rPr>
          <w:vertAlign w:val="superscript"/>
        </w:rPr>
        <w:footnoteRef/>
      </w:r>
      <w:r>
        <w:rPr>
          <w:sz w:val="20"/>
          <w:szCs w:val="20"/>
        </w:rPr>
        <w:t xml:space="preserve"> </w:t>
      </w:r>
      <w:proofErr w:type="spellStart"/>
      <w:r>
        <w:rPr>
          <w:sz w:val="20"/>
          <w:szCs w:val="20"/>
        </w:rPr>
        <w:t>Jackson.A</w:t>
      </w:r>
      <w:proofErr w:type="spellEnd"/>
      <w:r>
        <w:rPr>
          <w:sz w:val="20"/>
          <w:szCs w:val="20"/>
        </w:rPr>
        <w:t xml:space="preserve">, Rees </w:t>
      </w:r>
      <w:proofErr w:type="spellStart"/>
      <w:r>
        <w:rPr>
          <w:sz w:val="20"/>
          <w:szCs w:val="20"/>
        </w:rPr>
        <w:t>L</w:t>
      </w:r>
      <w:r>
        <w:rPr>
          <w:sz w:val="20"/>
          <w:szCs w:val="20"/>
        </w:rPr>
        <w:t>eaky.H</w:t>
      </w:r>
      <w:proofErr w:type="spellEnd"/>
      <w:r>
        <w:rPr>
          <w:sz w:val="20"/>
          <w:szCs w:val="20"/>
        </w:rPr>
        <w:t xml:space="preserve">, </w:t>
      </w:r>
      <w:proofErr w:type="spellStart"/>
      <w:r>
        <w:rPr>
          <w:sz w:val="20"/>
          <w:szCs w:val="20"/>
        </w:rPr>
        <w:t>pg</w:t>
      </w:r>
      <w:proofErr w:type="spellEnd"/>
      <w:r>
        <w:rPr>
          <w:sz w:val="20"/>
          <w:szCs w:val="20"/>
        </w:rPr>
        <w:t xml:space="preserve"> 320</w:t>
      </w:r>
    </w:p>
  </w:footnote>
  <w:footnote w:id="43">
    <w:p w14:paraId="1300DE09" w14:textId="77777777" w:rsidR="00E75BBF" w:rsidRPr="009657A4" w:rsidRDefault="00316C4A">
      <w:pPr>
        <w:spacing w:line="240" w:lineRule="auto"/>
        <w:rPr>
          <w:sz w:val="20"/>
          <w:szCs w:val="20"/>
          <w:lang w:val="de-DE"/>
        </w:rPr>
      </w:pPr>
      <w:r>
        <w:rPr>
          <w:vertAlign w:val="superscript"/>
        </w:rPr>
        <w:footnoteRef/>
      </w:r>
      <w:r w:rsidRPr="009657A4">
        <w:rPr>
          <w:sz w:val="20"/>
          <w:szCs w:val="20"/>
          <w:lang w:val="de-DE"/>
        </w:rPr>
        <w:t>Alberts. H, Hazen. H, pg. 70-1</w:t>
      </w:r>
    </w:p>
  </w:footnote>
  <w:footnote w:id="44">
    <w:p w14:paraId="2352B106" w14:textId="77777777" w:rsidR="00E75BBF" w:rsidRPr="009657A4" w:rsidRDefault="00316C4A">
      <w:pPr>
        <w:spacing w:line="240" w:lineRule="auto"/>
        <w:rPr>
          <w:sz w:val="20"/>
          <w:szCs w:val="20"/>
          <w:lang w:val="de-DE"/>
        </w:rPr>
      </w:pPr>
      <w:r>
        <w:rPr>
          <w:vertAlign w:val="superscript"/>
        </w:rPr>
        <w:footnoteRef/>
      </w:r>
      <w:r w:rsidRPr="009657A4">
        <w:rPr>
          <w:sz w:val="20"/>
          <w:szCs w:val="20"/>
          <w:lang w:val="de-DE"/>
        </w:rPr>
        <w:t>Alberts. H, Hazen. H, pg. 70-1</w:t>
      </w:r>
    </w:p>
  </w:footnote>
  <w:footnote w:id="45">
    <w:p w14:paraId="365DFE09" w14:textId="77777777" w:rsidR="00E75BBF" w:rsidRDefault="00316C4A">
      <w:pPr>
        <w:spacing w:line="240" w:lineRule="auto"/>
        <w:rPr>
          <w:sz w:val="20"/>
          <w:szCs w:val="20"/>
        </w:rPr>
      </w:pPr>
      <w:r>
        <w:rPr>
          <w:vertAlign w:val="superscript"/>
        </w:rPr>
        <w:footnoteRef/>
      </w:r>
      <w:proofErr w:type="spellStart"/>
      <w:r>
        <w:rPr>
          <w:sz w:val="20"/>
          <w:szCs w:val="20"/>
        </w:rPr>
        <w:t>Jones.M</w:t>
      </w:r>
      <w:proofErr w:type="spellEnd"/>
      <w:r>
        <w:rPr>
          <w:sz w:val="20"/>
          <w:szCs w:val="20"/>
        </w:rPr>
        <w:t>, pg.95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BBF"/>
    <w:rsid w:val="00054E08"/>
    <w:rsid w:val="000E1477"/>
    <w:rsid w:val="00180061"/>
    <w:rsid w:val="001A7633"/>
    <w:rsid w:val="00316C4A"/>
    <w:rsid w:val="0038568E"/>
    <w:rsid w:val="003D4E90"/>
    <w:rsid w:val="0046741A"/>
    <w:rsid w:val="004B5BEE"/>
    <w:rsid w:val="008119DD"/>
    <w:rsid w:val="0082086B"/>
    <w:rsid w:val="0084779A"/>
    <w:rsid w:val="00901806"/>
    <w:rsid w:val="009657A4"/>
    <w:rsid w:val="00A41CB5"/>
    <w:rsid w:val="00A43417"/>
    <w:rsid w:val="00B21D8E"/>
    <w:rsid w:val="00BA1AE2"/>
    <w:rsid w:val="00C141CA"/>
    <w:rsid w:val="00C7391F"/>
    <w:rsid w:val="00C976FE"/>
    <w:rsid w:val="00DA0197"/>
    <w:rsid w:val="00E41032"/>
    <w:rsid w:val="00E75BBF"/>
    <w:rsid w:val="00EE7269"/>
    <w:rsid w:val="00F5290E"/>
    <w:rsid w:val="00FA0602"/>
    <w:rsid w:val="00FA1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928E4"/>
  <w15:docId w15:val="{48D24EC6-1C41-4F20-ADB7-027E689F9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FootnoteText">
    <w:name w:val="footnote text"/>
    <w:basedOn w:val="Normal"/>
    <w:link w:val="FootnoteTextChar"/>
    <w:uiPriority w:val="99"/>
    <w:semiHidden/>
    <w:unhideWhenUsed/>
    <w:rsid w:val="004B5BEE"/>
    <w:pPr>
      <w:spacing w:line="240" w:lineRule="auto"/>
    </w:pPr>
    <w:rPr>
      <w:sz w:val="20"/>
      <w:szCs w:val="20"/>
    </w:rPr>
  </w:style>
  <w:style w:type="character" w:customStyle="1" w:styleId="FootnoteTextChar">
    <w:name w:val="Footnote Text Char"/>
    <w:basedOn w:val="DefaultParagraphFont"/>
    <w:link w:val="FootnoteText"/>
    <w:uiPriority w:val="99"/>
    <w:semiHidden/>
    <w:rsid w:val="004B5BEE"/>
    <w:rPr>
      <w:sz w:val="20"/>
      <w:szCs w:val="20"/>
    </w:rPr>
  </w:style>
  <w:style w:type="character" w:styleId="FootnoteReference">
    <w:name w:val="footnote reference"/>
    <w:basedOn w:val="DefaultParagraphFont"/>
    <w:uiPriority w:val="99"/>
    <w:semiHidden/>
    <w:unhideWhenUsed/>
    <w:rsid w:val="004B5BEE"/>
    <w:rPr>
      <w:vertAlign w:val="superscript"/>
    </w:rPr>
  </w:style>
  <w:style w:type="character" w:styleId="CommentReference">
    <w:name w:val="annotation reference"/>
    <w:basedOn w:val="DefaultParagraphFont"/>
    <w:uiPriority w:val="99"/>
    <w:semiHidden/>
    <w:unhideWhenUsed/>
    <w:rsid w:val="00FA13FE"/>
    <w:rPr>
      <w:sz w:val="16"/>
      <w:szCs w:val="16"/>
    </w:rPr>
  </w:style>
  <w:style w:type="paragraph" w:styleId="CommentText">
    <w:name w:val="annotation text"/>
    <w:basedOn w:val="Normal"/>
    <w:link w:val="CommentTextChar"/>
    <w:uiPriority w:val="99"/>
    <w:semiHidden/>
    <w:unhideWhenUsed/>
    <w:rsid w:val="00FA13FE"/>
    <w:pPr>
      <w:spacing w:line="240" w:lineRule="auto"/>
    </w:pPr>
    <w:rPr>
      <w:sz w:val="20"/>
      <w:szCs w:val="20"/>
    </w:rPr>
  </w:style>
  <w:style w:type="character" w:customStyle="1" w:styleId="CommentTextChar">
    <w:name w:val="Comment Text Char"/>
    <w:basedOn w:val="DefaultParagraphFont"/>
    <w:link w:val="CommentText"/>
    <w:uiPriority w:val="99"/>
    <w:semiHidden/>
    <w:rsid w:val="00FA13FE"/>
    <w:rPr>
      <w:sz w:val="20"/>
      <w:szCs w:val="20"/>
    </w:rPr>
  </w:style>
  <w:style w:type="paragraph" w:styleId="CommentSubject">
    <w:name w:val="annotation subject"/>
    <w:basedOn w:val="CommentText"/>
    <w:next w:val="CommentText"/>
    <w:link w:val="CommentSubjectChar"/>
    <w:uiPriority w:val="99"/>
    <w:semiHidden/>
    <w:unhideWhenUsed/>
    <w:rsid w:val="00FA13FE"/>
    <w:rPr>
      <w:b/>
      <w:bCs/>
    </w:rPr>
  </w:style>
  <w:style w:type="character" w:customStyle="1" w:styleId="CommentSubjectChar">
    <w:name w:val="Comment Subject Char"/>
    <w:basedOn w:val="CommentTextChar"/>
    <w:link w:val="CommentSubject"/>
    <w:uiPriority w:val="99"/>
    <w:semiHidden/>
    <w:rsid w:val="00FA13FE"/>
    <w:rPr>
      <w:b/>
      <w:bCs/>
      <w:sz w:val="20"/>
      <w:szCs w:val="20"/>
    </w:rPr>
  </w:style>
  <w:style w:type="paragraph" w:styleId="BalloonText">
    <w:name w:val="Balloon Text"/>
    <w:basedOn w:val="Normal"/>
    <w:link w:val="BalloonTextChar"/>
    <w:uiPriority w:val="99"/>
    <w:semiHidden/>
    <w:unhideWhenUsed/>
    <w:rsid w:val="00FA13F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13FE"/>
    <w:rPr>
      <w:rFonts w:ascii="Segoe UI" w:hAnsi="Segoe UI" w:cs="Segoe UI"/>
      <w:sz w:val="18"/>
      <w:szCs w:val="18"/>
    </w:rPr>
  </w:style>
  <w:style w:type="paragraph" w:styleId="Revision">
    <w:name w:val="Revision"/>
    <w:hidden/>
    <w:uiPriority w:val="99"/>
    <w:semiHidden/>
    <w:rsid w:val="00B21D8E"/>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4DAD414-9807-4D03-98C7-C4C8E5894E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11</Pages>
  <Words>2711</Words>
  <Characters>15454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Ute</dc:creator>
  <cp:lastModifiedBy>Ute Beaton</cp:lastModifiedBy>
  <cp:revision>15</cp:revision>
  <dcterms:created xsi:type="dcterms:W3CDTF">2018-12-20T14:58:00Z</dcterms:created>
  <dcterms:modified xsi:type="dcterms:W3CDTF">2018-12-20T18:30:00Z</dcterms:modified>
</cp:coreProperties>
</file>