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082DB2">
      <w:pPr>
        <w:spacing w:line="360" w:lineRule="auto"/>
        <w:jc w:val="center"/>
        <w:rPr>
          <w:rFonts w:ascii="Times New Roman" w:eastAsia="Times New Roman" w:hAnsi="Times New Roman" w:cs="Times New Roman"/>
          <w:b/>
          <w:sz w:val="32"/>
          <w:szCs w:val="32"/>
        </w:rPr>
      </w:pPr>
    </w:p>
    <w:p w:rsidR="00082DB2" w:rsidRPr="00165B25" w:rsidRDefault="003D06A1">
      <w:pPr>
        <w:spacing w:line="360" w:lineRule="auto"/>
        <w:jc w:val="center"/>
        <w:rPr>
          <w:rFonts w:ascii="Times New Roman" w:eastAsia="Times New Roman" w:hAnsi="Times New Roman" w:cs="Times New Roman"/>
          <w:b/>
          <w:sz w:val="32"/>
          <w:szCs w:val="32"/>
        </w:rPr>
      </w:pPr>
      <w:r w:rsidRPr="00165B25">
        <w:rPr>
          <w:rFonts w:ascii="Times New Roman" w:eastAsia="Times New Roman" w:hAnsi="Times New Roman" w:cs="Times New Roman"/>
          <w:b/>
          <w:sz w:val="32"/>
          <w:szCs w:val="32"/>
        </w:rPr>
        <w:t>Academic Skills</w:t>
      </w:r>
    </w:p>
    <w:p w:rsidR="00082DB2" w:rsidRPr="00165B25" w:rsidRDefault="003D06A1">
      <w:pPr>
        <w:spacing w:line="360" w:lineRule="auto"/>
        <w:jc w:val="center"/>
        <w:rPr>
          <w:rFonts w:ascii="Times New Roman" w:eastAsia="Times New Roman" w:hAnsi="Times New Roman" w:cs="Times New Roman"/>
          <w:sz w:val="24"/>
          <w:szCs w:val="24"/>
        </w:rPr>
      </w:pPr>
      <w:r w:rsidRPr="00165B25">
        <w:rPr>
          <w:rFonts w:ascii="Times New Roman" w:eastAsia="Times New Roman" w:hAnsi="Times New Roman" w:cs="Times New Roman"/>
          <w:b/>
          <w:sz w:val="32"/>
          <w:szCs w:val="32"/>
        </w:rPr>
        <w:t>Assignment 1</w:t>
      </w:r>
      <w:r w:rsidRPr="00165B25">
        <w:br w:type="page"/>
      </w:r>
    </w:p>
    <w:p w:rsidR="00082DB2" w:rsidRPr="00165B25" w:rsidRDefault="003D06A1">
      <w:pP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lastRenderedPageBreak/>
        <w:t>Table of contents</w:t>
      </w:r>
    </w:p>
    <w:sdt>
      <w:sdtPr>
        <w:id w:val="1782458413"/>
        <w:docPartObj>
          <w:docPartGallery w:val="Table of Contents"/>
          <w:docPartUnique/>
        </w:docPartObj>
      </w:sdtPr>
      <w:sdtEndPr/>
      <w:sdtContent>
        <w:p w:rsidR="00082DB2" w:rsidRPr="00165B25" w:rsidRDefault="003D06A1">
          <w:pPr>
            <w:tabs>
              <w:tab w:val="right" w:pos="9025"/>
            </w:tabs>
            <w:spacing w:before="80" w:line="360" w:lineRule="auto"/>
            <w:rPr>
              <w:rFonts w:ascii="Times New Roman" w:eastAsia="Times New Roman" w:hAnsi="Times New Roman" w:cs="Times New Roman"/>
              <w:sz w:val="24"/>
              <w:szCs w:val="24"/>
            </w:rPr>
          </w:pPr>
          <w:r w:rsidRPr="00165B25">
            <w:fldChar w:fldCharType="begin"/>
          </w:r>
          <w:r w:rsidRPr="00165B25">
            <w:instrText xml:space="preserve"> TOC \h \u \z </w:instrText>
          </w:r>
          <w:r w:rsidRPr="00165B25">
            <w:fldChar w:fldCharType="separate"/>
          </w:r>
          <w:hyperlink w:anchor="_681554rime0o">
            <w:r w:rsidRPr="00165B25">
              <w:rPr>
                <w:rFonts w:ascii="Times New Roman" w:eastAsia="Times New Roman" w:hAnsi="Times New Roman" w:cs="Times New Roman"/>
                <w:sz w:val="24"/>
                <w:szCs w:val="24"/>
              </w:rPr>
              <w:t>Introduction</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_681554rime0o \h </w:instrText>
          </w:r>
          <w:r w:rsidRPr="00165B25">
            <w:fldChar w:fldCharType="separate"/>
          </w:r>
          <w:r w:rsidRPr="00165B25">
            <w:rPr>
              <w:rFonts w:ascii="Times New Roman" w:eastAsia="Times New Roman" w:hAnsi="Times New Roman" w:cs="Times New Roman"/>
              <w:sz w:val="24"/>
              <w:szCs w:val="24"/>
            </w:rPr>
            <w:t>3</w:t>
          </w:r>
          <w:r w:rsidRPr="00165B25">
            <w:fldChar w:fldCharType="end"/>
          </w:r>
        </w:p>
        <w:p w:rsidR="00082DB2" w:rsidRPr="00165B25" w:rsidRDefault="003D06A1">
          <w:pPr>
            <w:tabs>
              <w:tab w:val="right" w:pos="9025"/>
            </w:tabs>
            <w:spacing w:before="200" w:line="360" w:lineRule="auto"/>
            <w:rPr>
              <w:rFonts w:ascii="Times New Roman" w:eastAsia="Times New Roman" w:hAnsi="Times New Roman" w:cs="Times New Roman"/>
              <w:sz w:val="24"/>
              <w:szCs w:val="24"/>
            </w:rPr>
          </w:pPr>
          <w:hyperlink w:anchor="_bl6l659m2hzi">
            <w:r w:rsidRPr="00165B25">
              <w:rPr>
                <w:rFonts w:ascii="Times New Roman" w:eastAsia="Times New Roman" w:hAnsi="Times New Roman" w:cs="Times New Roman"/>
                <w:sz w:val="24"/>
                <w:szCs w:val="24"/>
              </w:rPr>
              <w:t>Logical section</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_bl6l659m2hzi \h </w:instrText>
          </w:r>
          <w:r w:rsidRPr="00165B25">
            <w:fldChar w:fldCharType="separate"/>
          </w:r>
          <w:r w:rsidRPr="00165B25">
            <w:rPr>
              <w:rFonts w:ascii="Times New Roman" w:eastAsia="Times New Roman" w:hAnsi="Times New Roman" w:cs="Times New Roman"/>
              <w:sz w:val="24"/>
              <w:szCs w:val="24"/>
            </w:rPr>
            <w:t>3</w:t>
          </w:r>
          <w:r w:rsidRPr="00165B25">
            <w:fldChar w:fldCharType="end"/>
          </w:r>
        </w:p>
        <w:p w:rsidR="00082DB2" w:rsidRPr="00165B25" w:rsidRDefault="003D06A1">
          <w:pPr>
            <w:tabs>
              <w:tab w:val="right" w:pos="9025"/>
            </w:tabs>
            <w:spacing w:before="60" w:line="360" w:lineRule="auto"/>
            <w:ind w:left="360"/>
            <w:rPr>
              <w:rFonts w:ascii="Times New Roman" w:eastAsia="Times New Roman" w:hAnsi="Times New Roman" w:cs="Times New Roman"/>
              <w:sz w:val="24"/>
              <w:szCs w:val="24"/>
            </w:rPr>
          </w:pPr>
          <w:hyperlink w:anchor="_lts9uzvxpzur">
            <w:r w:rsidRPr="00165B25">
              <w:rPr>
                <w:rFonts w:ascii="Times New Roman" w:eastAsia="Times New Roman" w:hAnsi="Times New Roman" w:cs="Times New Roman"/>
                <w:sz w:val="24"/>
                <w:szCs w:val="24"/>
              </w:rPr>
              <w:t>SWOT an</w:t>
            </w:r>
            <w:r w:rsidRPr="00165B25">
              <w:rPr>
                <w:rFonts w:ascii="Times New Roman" w:eastAsia="Times New Roman" w:hAnsi="Times New Roman" w:cs="Times New Roman"/>
                <w:sz w:val="24"/>
                <w:szCs w:val="24"/>
              </w:rPr>
              <w:t>alysis</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_lts9uzvxpzur \h </w:instrText>
          </w:r>
          <w:r w:rsidRPr="00165B25">
            <w:fldChar w:fldCharType="separate"/>
          </w:r>
          <w:r w:rsidRPr="00165B25">
            <w:rPr>
              <w:rFonts w:ascii="Times New Roman" w:eastAsia="Times New Roman" w:hAnsi="Times New Roman" w:cs="Times New Roman"/>
              <w:sz w:val="24"/>
              <w:szCs w:val="24"/>
            </w:rPr>
            <w:t>3</w:t>
          </w:r>
          <w:r w:rsidRPr="00165B25">
            <w:fldChar w:fldCharType="end"/>
          </w:r>
        </w:p>
        <w:p w:rsidR="00082DB2" w:rsidRPr="00165B25" w:rsidRDefault="003D06A1">
          <w:pPr>
            <w:tabs>
              <w:tab w:val="right" w:pos="9025"/>
            </w:tabs>
            <w:spacing w:before="60" w:line="360" w:lineRule="auto"/>
            <w:ind w:left="360"/>
            <w:rPr>
              <w:rFonts w:ascii="Times New Roman" w:eastAsia="Times New Roman" w:hAnsi="Times New Roman" w:cs="Times New Roman"/>
              <w:sz w:val="24"/>
              <w:szCs w:val="24"/>
            </w:rPr>
          </w:pPr>
          <w:hyperlink w:anchor="_r1cp417qwjb8">
            <w:r w:rsidRPr="00165B25">
              <w:rPr>
                <w:rFonts w:ascii="Times New Roman" w:eastAsia="Times New Roman" w:hAnsi="Times New Roman" w:cs="Times New Roman"/>
                <w:sz w:val="24"/>
                <w:szCs w:val="24"/>
              </w:rPr>
              <w:t>“Summary of the discussion in source”</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_r1cp417qwjb8 \h </w:instrText>
          </w:r>
          <w:r w:rsidRPr="00165B25">
            <w:fldChar w:fldCharType="separate"/>
          </w:r>
          <w:r w:rsidRPr="00165B25">
            <w:rPr>
              <w:rFonts w:ascii="Times New Roman" w:eastAsia="Times New Roman" w:hAnsi="Times New Roman" w:cs="Times New Roman"/>
              <w:sz w:val="24"/>
              <w:szCs w:val="24"/>
            </w:rPr>
            <w:t>4</w:t>
          </w:r>
          <w:r w:rsidRPr="00165B25">
            <w:fldChar w:fldCharType="end"/>
          </w:r>
        </w:p>
        <w:p w:rsidR="00082DB2" w:rsidRPr="00165B25" w:rsidRDefault="003D06A1">
          <w:pPr>
            <w:tabs>
              <w:tab w:val="right" w:pos="9025"/>
            </w:tabs>
            <w:spacing w:before="60" w:line="360" w:lineRule="auto"/>
            <w:ind w:left="360"/>
            <w:rPr>
              <w:rFonts w:ascii="Times New Roman" w:eastAsia="Times New Roman" w:hAnsi="Times New Roman" w:cs="Times New Roman"/>
              <w:sz w:val="24"/>
              <w:szCs w:val="24"/>
            </w:rPr>
          </w:pPr>
          <w:hyperlink w:anchor="_ts6uxk9e5wzs">
            <w:r w:rsidRPr="00165B25">
              <w:rPr>
                <w:rFonts w:ascii="Times New Roman" w:eastAsia="Times New Roman" w:hAnsi="Times New Roman" w:cs="Times New Roman"/>
                <w:sz w:val="24"/>
                <w:szCs w:val="24"/>
              </w:rPr>
              <w:t>“Analyse how you can use this to improve your own skills”</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_ts6uxk9e5wzs \h </w:instrText>
          </w:r>
          <w:r w:rsidRPr="00165B25">
            <w:fldChar w:fldCharType="separate"/>
          </w:r>
          <w:r w:rsidRPr="00165B25">
            <w:rPr>
              <w:rFonts w:ascii="Times New Roman" w:eastAsia="Times New Roman" w:hAnsi="Times New Roman" w:cs="Times New Roman"/>
              <w:sz w:val="24"/>
              <w:szCs w:val="24"/>
            </w:rPr>
            <w:t>4</w:t>
          </w:r>
          <w:r w:rsidRPr="00165B25">
            <w:fldChar w:fldCharType="end"/>
          </w:r>
        </w:p>
        <w:p w:rsidR="00082DB2" w:rsidRPr="00165B25" w:rsidRDefault="003D06A1">
          <w:pPr>
            <w:tabs>
              <w:tab w:val="right" w:pos="9025"/>
            </w:tabs>
            <w:spacing w:before="60" w:line="360" w:lineRule="auto"/>
            <w:ind w:left="360"/>
            <w:rPr>
              <w:rFonts w:ascii="Times New Roman" w:eastAsia="Times New Roman" w:hAnsi="Times New Roman" w:cs="Times New Roman"/>
              <w:sz w:val="24"/>
              <w:szCs w:val="24"/>
            </w:rPr>
          </w:pPr>
          <w:hyperlink w:anchor="_jtswqmt8o3vn">
            <w:r w:rsidRPr="00165B25">
              <w:rPr>
                <w:rFonts w:ascii="Times New Roman" w:eastAsia="Times New Roman" w:hAnsi="Times New Roman" w:cs="Times New Roman"/>
                <w:sz w:val="24"/>
                <w:szCs w:val="24"/>
              </w:rPr>
              <w:t>“Evaluate what you have learnt from this source”</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_jtswqmt8o3vn \h </w:instrText>
          </w:r>
          <w:r w:rsidRPr="00165B25">
            <w:fldChar w:fldCharType="separate"/>
          </w:r>
          <w:r w:rsidRPr="00165B25">
            <w:rPr>
              <w:rFonts w:ascii="Times New Roman" w:eastAsia="Times New Roman" w:hAnsi="Times New Roman" w:cs="Times New Roman"/>
              <w:sz w:val="24"/>
              <w:szCs w:val="24"/>
            </w:rPr>
            <w:t>5</w:t>
          </w:r>
          <w:r w:rsidRPr="00165B25">
            <w:fldChar w:fldCharType="end"/>
          </w:r>
        </w:p>
        <w:p w:rsidR="00082DB2" w:rsidRPr="00165B25" w:rsidRDefault="003D06A1">
          <w:pPr>
            <w:tabs>
              <w:tab w:val="right" w:pos="9025"/>
            </w:tabs>
            <w:spacing w:before="200" w:line="360" w:lineRule="auto"/>
            <w:rPr>
              <w:rFonts w:ascii="Times New Roman" w:eastAsia="Times New Roman" w:hAnsi="Times New Roman" w:cs="Times New Roman"/>
              <w:sz w:val="24"/>
              <w:szCs w:val="24"/>
            </w:rPr>
          </w:pPr>
          <w:hyperlink w:anchor="_3u63q5kss3dc">
            <w:r w:rsidRPr="00165B25">
              <w:rPr>
                <w:rFonts w:ascii="Times New Roman" w:eastAsia="Times New Roman" w:hAnsi="Times New Roman" w:cs="Times New Roman"/>
                <w:sz w:val="24"/>
                <w:szCs w:val="24"/>
              </w:rPr>
              <w:t>Conclusion</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_3u63q5kss3dc \h </w:instrText>
          </w:r>
          <w:r w:rsidRPr="00165B25">
            <w:fldChar w:fldCharType="separate"/>
          </w:r>
          <w:r w:rsidRPr="00165B25">
            <w:rPr>
              <w:rFonts w:ascii="Times New Roman" w:eastAsia="Times New Roman" w:hAnsi="Times New Roman" w:cs="Times New Roman"/>
              <w:sz w:val="24"/>
              <w:szCs w:val="24"/>
            </w:rPr>
            <w:t>6</w:t>
          </w:r>
          <w:r w:rsidRPr="00165B25">
            <w:fldChar w:fldCharType="end"/>
          </w:r>
        </w:p>
        <w:p w:rsidR="00082DB2" w:rsidRPr="00165B25" w:rsidRDefault="003D06A1">
          <w:pPr>
            <w:tabs>
              <w:tab w:val="right" w:pos="9025"/>
            </w:tabs>
            <w:spacing w:before="200" w:after="80" w:line="360" w:lineRule="auto"/>
            <w:rPr>
              <w:rFonts w:ascii="Times New Roman" w:eastAsia="Times New Roman" w:hAnsi="Times New Roman" w:cs="Times New Roman"/>
              <w:sz w:val="24"/>
              <w:szCs w:val="24"/>
            </w:rPr>
          </w:pPr>
          <w:hyperlink w:anchor="_eqbj68aygpkv">
            <w:r w:rsidRPr="00165B25">
              <w:rPr>
                <w:rFonts w:ascii="Times New Roman" w:eastAsia="Times New Roman" w:hAnsi="Times New Roman" w:cs="Times New Roman"/>
                <w:sz w:val="24"/>
                <w:szCs w:val="24"/>
              </w:rPr>
              <w:t>Reference list</w:t>
            </w:r>
          </w:hyperlink>
          <w:r w:rsidRPr="00165B25">
            <w:rPr>
              <w:rFonts w:ascii="Times New Roman" w:eastAsia="Times New Roman" w:hAnsi="Times New Roman" w:cs="Times New Roman"/>
              <w:sz w:val="24"/>
              <w:szCs w:val="24"/>
            </w:rPr>
            <w:tab/>
          </w:r>
          <w:r w:rsidRPr="00165B25">
            <w:fldChar w:fldCharType="begin"/>
          </w:r>
          <w:r w:rsidRPr="00165B25">
            <w:instrText xml:space="preserve"> PAGEREF _eqbj68aygpkv \h </w:instrText>
          </w:r>
          <w:r w:rsidRPr="00165B25">
            <w:fldChar w:fldCharType="separate"/>
          </w:r>
          <w:r w:rsidRPr="00165B25">
            <w:rPr>
              <w:rFonts w:ascii="Times New Roman" w:eastAsia="Times New Roman" w:hAnsi="Times New Roman" w:cs="Times New Roman"/>
              <w:sz w:val="24"/>
              <w:szCs w:val="24"/>
            </w:rPr>
            <w:t>7</w:t>
          </w:r>
          <w:r w:rsidRPr="00165B25">
            <w:fldChar w:fldCharType="end"/>
          </w:r>
          <w:r w:rsidRPr="00165B25">
            <w:fldChar w:fldCharType="end"/>
          </w:r>
        </w:p>
      </w:sdtContent>
    </w:sdt>
    <w:p w:rsidR="00082DB2" w:rsidRPr="00165B25" w:rsidRDefault="00082DB2">
      <w:pPr>
        <w:rPr>
          <w:rFonts w:ascii="Times New Roman" w:eastAsia="Times New Roman" w:hAnsi="Times New Roman" w:cs="Times New Roman"/>
          <w:sz w:val="24"/>
          <w:szCs w:val="24"/>
        </w:rPr>
      </w:pPr>
    </w:p>
    <w:p w:rsidR="00082DB2" w:rsidRPr="00165B25" w:rsidRDefault="003D06A1">
      <w:pPr>
        <w:spacing w:line="360" w:lineRule="auto"/>
        <w:jc w:val="both"/>
        <w:rPr>
          <w:rFonts w:ascii="Times New Roman" w:eastAsia="Times New Roman" w:hAnsi="Times New Roman" w:cs="Times New Roman"/>
          <w:sz w:val="24"/>
          <w:szCs w:val="24"/>
        </w:rPr>
      </w:pPr>
      <w:r w:rsidRPr="00165B25">
        <w:br w:type="page"/>
      </w:r>
    </w:p>
    <w:p w:rsidR="00082DB2" w:rsidRPr="00165B25" w:rsidRDefault="003D06A1">
      <w:pPr>
        <w:pStyle w:val="Heading1"/>
      </w:pPr>
      <w:bookmarkStart w:id="0" w:name="_681554rime0o" w:colFirst="0" w:colLast="0"/>
      <w:bookmarkEnd w:id="0"/>
      <w:r w:rsidRPr="00165B25">
        <w:lastRenderedPageBreak/>
        <w:t>Introduction</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The abilities and strategies that are helpful in accomplishing improvement of academic performance can be regarded as academic skills. Many skills come under the category of academic skills. The study aims to analyse academic skills discussed in “The Study</w:t>
      </w:r>
      <w:r w:rsidRPr="00165B25">
        <w:rPr>
          <w:rFonts w:ascii="Times New Roman" w:eastAsia="Times New Roman" w:hAnsi="Times New Roman" w:cs="Times New Roman"/>
          <w:sz w:val="24"/>
          <w:szCs w:val="24"/>
        </w:rPr>
        <w:t xml:space="preserve"> Skills Handbook” by Stella Cottrell. A summary of the discussed section will be covered. The scope of using the skills for personal development will also be analysed. Moreover, the study will also present an evaluation of the learnings from the source men</w:t>
      </w:r>
      <w:r w:rsidRPr="00165B25">
        <w:rPr>
          <w:rFonts w:ascii="Times New Roman" w:eastAsia="Times New Roman" w:hAnsi="Times New Roman" w:cs="Times New Roman"/>
          <w:sz w:val="24"/>
          <w:szCs w:val="24"/>
        </w:rPr>
        <w:t xml:space="preserve">tioned above. </w:t>
      </w:r>
    </w:p>
    <w:p w:rsidR="00082DB2" w:rsidRPr="00165B25" w:rsidRDefault="003D06A1">
      <w:pPr>
        <w:pStyle w:val="Heading1"/>
      </w:pPr>
      <w:bookmarkStart w:id="1" w:name="_bl6l659m2hzi" w:colFirst="0" w:colLast="0"/>
      <w:bookmarkEnd w:id="1"/>
      <w:r w:rsidRPr="00165B25">
        <w:t>Logical section</w:t>
      </w:r>
    </w:p>
    <w:p w:rsidR="00082DB2" w:rsidRPr="00165B25" w:rsidRDefault="003D06A1">
      <w:pPr>
        <w:pStyle w:val="Heading2"/>
      </w:pPr>
      <w:bookmarkStart w:id="2" w:name="_lts9uzvxpzur" w:colFirst="0" w:colLast="0"/>
      <w:bookmarkEnd w:id="2"/>
      <w:r w:rsidRPr="00165B25">
        <w:t>SWOT analysis</w:t>
      </w:r>
    </w:p>
    <w:p w:rsidR="00082DB2" w:rsidRPr="00165B25" w:rsidRDefault="003D06A1">
      <w:pPr>
        <w:spacing w:line="360" w:lineRule="auto"/>
        <w:jc w:val="both"/>
        <w:rPr>
          <w:rFonts w:ascii="Times New Roman" w:eastAsia="Times New Roman" w:hAnsi="Times New Roman" w:cs="Times New Roman"/>
          <w:b/>
          <w:sz w:val="24"/>
          <w:szCs w:val="24"/>
        </w:rPr>
      </w:pPr>
      <w:r w:rsidRPr="00165B25">
        <w:rPr>
          <w:rFonts w:ascii="Times New Roman" w:eastAsia="Times New Roman" w:hAnsi="Times New Roman" w:cs="Times New Roman"/>
          <w:sz w:val="24"/>
          <w:szCs w:val="24"/>
        </w:rPr>
        <w:t>SWOT is a framework for the analysis and identification of the “strengths, weaknesses, opportunities and threats” (</w:t>
      </w:r>
      <w:proofErr w:type="spellStart"/>
      <w:r w:rsidRPr="00165B25">
        <w:rPr>
          <w:rFonts w:ascii="Times New Roman" w:eastAsia="Times New Roman" w:hAnsi="Times New Roman" w:cs="Times New Roman"/>
          <w:color w:val="222222"/>
          <w:sz w:val="24"/>
          <w:szCs w:val="24"/>
          <w:highlight w:val="white"/>
        </w:rPr>
        <w:t>Teoli</w:t>
      </w:r>
      <w:proofErr w:type="spellEnd"/>
      <w:r w:rsidRPr="00165B25">
        <w:rPr>
          <w:rFonts w:ascii="Times New Roman" w:eastAsia="Times New Roman" w:hAnsi="Times New Roman" w:cs="Times New Roman"/>
          <w:color w:val="222222"/>
          <w:sz w:val="24"/>
          <w:szCs w:val="24"/>
          <w:highlight w:val="white"/>
        </w:rPr>
        <w:t xml:space="preserve"> </w:t>
      </w:r>
      <w:r w:rsidRPr="00165B25">
        <w:rPr>
          <w:rFonts w:ascii="Times New Roman" w:eastAsia="Times New Roman" w:hAnsi="Times New Roman" w:cs="Times New Roman"/>
          <w:i/>
          <w:color w:val="222222"/>
          <w:sz w:val="24"/>
          <w:szCs w:val="24"/>
          <w:highlight w:val="white"/>
        </w:rPr>
        <w:t xml:space="preserve">et al., </w:t>
      </w:r>
      <w:r w:rsidRPr="00165B25">
        <w:rPr>
          <w:rFonts w:ascii="Times New Roman" w:eastAsia="Times New Roman" w:hAnsi="Times New Roman" w:cs="Times New Roman"/>
          <w:color w:val="222222"/>
          <w:sz w:val="24"/>
          <w:szCs w:val="24"/>
          <w:highlight w:val="white"/>
        </w:rPr>
        <w:t>2019</w:t>
      </w:r>
      <w:r w:rsidRPr="00165B25">
        <w:rPr>
          <w:rFonts w:ascii="Times New Roman" w:eastAsia="Times New Roman" w:hAnsi="Times New Roman" w:cs="Times New Roman"/>
          <w:sz w:val="24"/>
          <w:szCs w:val="24"/>
        </w:rPr>
        <w:t>). It can be done in both personal and organisational contexts. The application of the framework can be represented as follows.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82DB2" w:rsidRPr="00165B25">
        <w:tc>
          <w:tcPr>
            <w:tcW w:w="4514" w:type="dxa"/>
            <w:shd w:val="clear" w:color="auto" w:fill="auto"/>
            <w:tcMar>
              <w:top w:w="100" w:type="dxa"/>
              <w:left w:w="100" w:type="dxa"/>
              <w:bottom w:w="100" w:type="dxa"/>
              <w:right w:w="100" w:type="dxa"/>
            </w:tcMar>
          </w:tcPr>
          <w:p w:rsidR="00082DB2" w:rsidRPr="00165B25" w:rsidRDefault="003D06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t>Strength</w:t>
            </w:r>
          </w:p>
        </w:tc>
        <w:tc>
          <w:tcPr>
            <w:tcW w:w="4514" w:type="dxa"/>
            <w:shd w:val="clear" w:color="auto" w:fill="auto"/>
            <w:tcMar>
              <w:top w:w="100" w:type="dxa"/>
              <w:left w:w="100" w:type="dxa"/>
              <w:bottom w:w="100" w:type="dxa"/>
              <w:right w:w="100" w:type="dxa"/>
            </w:tcMar>
          </w:tcPr>
          <w:p w:rsidR="00082DB2" w:rsidRPr="00165B25" w:rsidRDefault="003D06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t>Weaknesses</w:t>
            </w:r>
          </w:p>
        </w:tc>
      </w:tr>
      <w:tr w:rsidR="00082DB2" w:rsidRPr="00165B25">
        <w:tc>
          <w:tcPr>
            <w:tcW w:w="4514" w:type="dxa"/>
            <w:shd w:val="clear" w:color="auto" w:fill="auto"/>
            <w:tcMar>
              <w:top w:w="100" w:type="dxa"/>
              <w:left w:w="100" w:type="dxa"/>
              <w:bottom w:w="100" w:type="dxa"/>
              <w:right w:w="100" w:type="dxa"/>
            </w:tcMar>
          </w:tcPr>
          <w:p w:rsidR="00082DB2" w:rsidRPr="00165B25" w:rsidRDefault="003D06A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Quick learning ability: I can learn things rapidly.</w:t>
            </w:r>
          </w:p>
          <w:p w:rsidR="00082DB2" w:rsidRPr="00165B25" w:rsidRDefault="003D06A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Effective communication skills</w:t>
            </w:r>
          </w:p>
          <w:p w:rsidR="00082DB2" w:rsidRPr="00165B25" w:rsidRDefault="003D06A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Academic writing skills</w:t>
            </w:r>
          </w:p>
          <w:p w:rsidR="00082DB2" w:rsidRPr="00165B25" w:rsidRDefault="003D06A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Team playing skills</w:t>
            </w:r>
          </w:p>
        </w:tc>
        <w:tc>
          <w:tcPr>
            <w:tcW w:w="4514" w:type="dxa"/>
            <w:shd w:val="clear" w:color="auto" w:fill="auto"/>
            <w:tcMar>
              <w:top w:w="100" w:type="dxa"/>
              <w:left w:w="100" w:type="dxa"/>
              <w:bottom w:w="100" w:type="dxa"/>
              <w:right w:w="100" w:type="dxa"/>
            </w:tcMar>
          </w:tcPr>
          <w:p w:rsidR="00082DB2" w:rsidRPr="00165B25" w:rsidRDefault="003D06A1">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Poor time management skills.</w:t>
            </w:r>
          </w:p>
          <w:p w:rsidR="00082DB2" w:rsidRPr="00165B25" w:rsidRDefault="003D06A1">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Underdeveloped critical thinking skills.</w:t>
            </w:r>
          </w:p>
          <w:p w:rsidR="00082DB2" w:rsidRPr="00165B25" w:rsidRDefault="003D06A1">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Lack of leadership skills</w:t>
            </w:r>
          </w:p>
          <w:p w:rsidR="00082DB2" w:rsidRPr="00165B25" w:rsidRDefault="00082DB2">
            <w:pPr>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tc>
      </w:tr>
      <w:tr w:rsidR="00082DB2" w:rsidRPr="00165B25">
        <w:tc>
          <w:tcPr>
            <w:tcW w:w="4514" w:type="dxa"/>
            <w:shd w:val="clear" w:color="auto" w:fill="auto"/>
            <w:tcMar>
              <w:top w:w="100" w:type="dxa"/>
              <w:left w:w="100" w:type="dxa"/>
              <w:bottom w:w="100" w:type="dxa"/>
              <w:right w:w="100" w:type="dxa"/>
            </w:tcMar>
          </w:tcPr>
          <w:p w:rsidR="00082DB2" w:rsidRPr="00165B25" w:rsidRDefault="003D06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t>Opportunities</w:t>
            </w:r>
          </w:p>
        </w:tc>
        <w:tc>
          <w:tcPr>
            <w:tcW w:w="4514" w:type="dxa"/>
            <w:shd w:val="clear" w:color="auto" w:fill="auto"/>
            <w:tcMar>
              <w:top w:w="100" w:type="dxa"/>
              <w:left w:w="100" w:type="dxa"/>
              <w:bottom w:w="100" w:type="dxa"/>
              <w:right w:w="100" w:type="dxa"/>
            </w:tcMar>
          </w:tcPr>
          <w:p w:rsidR="00082DB2" w:rsidRPr="00165B25" w:rsidRDefault="003D06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t>Threat</w:t>
            </w:r>
          </w:p>
        </w:tc>
      </w:tr>
      <w:tr w:rsidR="00082DB2" w:rsidRPr="00165B25">
        <w:tc>
          <w:tcPr>
            <w:tcW w:w="4514" w:type="dxa"/>
            <w:shd w:val="clear" w:color="auto" w:fill="auto"/>
            <w:tcMar>
              <w:top w:w="100" w:type="dxa"/>
              <w:left w:w="100" w:type="dxa"/>
              <w:bottom w:w="100" w:type="dxa"/>
              <w:right w:w="100" w:type="dxa"/>
            </w:tcMar>
          </w:tcPr>
          <w:p w:rsidR="00082DB2" w:rsidRPr="00165B25" w:rsidRDefault="003D06A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Increasing demand for business professionals.</w:t>
            </w:r>
          </w:p>
          <w:p w:rsidR="00082DB2" w:rsidRPr="00165B25" w:rsidRDefault="003D06A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Sound academic knowledge.</w:t>
            </w:r>
          </w:p>
          <w:p w:rsidR="00082DB2" w:rsidRPr="00165B25" w:rsidRDefault="003D06A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Practical experience of internship.</w:t>
            </w:r>
          </w:p>
          <w:p w:rsidR="00082DB2" w:rsidRPr="00165B25" w:rsidRDefault="003D06A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Utilisation of the developed skills as strengths.</w:t>
            </w:r>
          </w:p>
        </w:tc>
        <w:tc>
          <w:tcPr>
            <w:tcW w:w="4514" w:type="dxa"/>
            <w:shd w:val="clear" w:color="auto" w:fill="auto"/>
            <w:tcMar>
              <w:top w:w="100" w:type="dxa"/>
              <w:left w:w="100" w:type="dxa"/>
              <w:bottom w:w="100" w:type="dxa"/>
              <w:right w:w="100" w:type="dxa"/>
            </w:tcMar>
          </w:tcPr>
          <w:p w:rsidR="00082DB2" w:rsidRPr="00165B25" w:rsidRDefault="003D06A1">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The increasing number of competitors in the field of business.</w:t>
            </w:r>
          </w:p>
          <w:p w:rsidR="00082DB2" w:rsidRPr="00165B25" w:rsidRDefault="003D06A1">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Rapid progress of the global market towards saturation.</w:t>
            </w:r>
          </w:p>
        </w:tc>
      </w:tr>
    </w:tbl>
    <w:p w:rsidR="00082DB2" w:rsidRPr="00165B25" w:rsidRDefault="003D06A1">
      <w:pPr>
        <w:spacing w:line="360" w:lineRule="auto"/>
        <w:jc w:val="center"/>
        <w:rPr>
          <w:rFonts w:ascii="Times New Roman" w:eastAsia="Times New Roman" w:hAnsi="Times New Roman" w:cs="Times New Roman"/>
          <w:b/>
          <w:sz w:val="24"/>
          <w:szCs w:val="24"/>
        </w:rPr>
      </w:pPr>
      <w:r w:rsidRPr="00165B25">
        <w:rPr>
          <w:rFonts w:ascii="Times New Roman" w:eastAsia="Times New Roman" w:hAnsi="Times New Roman" w:cs="Times New Roman"/>
          <w:b/>
          <w:sz w:val="24"/>
          <w:szCs w:val="24"/>
        </w:rPr>
        <w:t>Table 1: SWOT analysis</w:t>
      </w:r>
    </w:p>
    <w:p w:rsidR="00082DB2" w:rsidRPr="00165B25" w:rsidRDefault="003D06A1">
      <w:pPr>
        <w:spacing w:line="360" w:lineRule="auto"/>
        <w:jc w:val="center"/>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(Source: created by the learner)</w:t>
      </w:r>
    </w:p>
    <w:p w:rsidR="00082DB2" w:rsidRPr="00165B25" w:rsidRDefault="003D06A1">
      <w:pPr>
        <w:pStyle w:val="Heading2"/>
      </w:pPr>
      <w:bookmarkStart w:id="3" w:name="_r1cp417qwjb8" w:colFirst="0" w:colLast="0"/>
      <w:bookmarkEnd w:id="3"/>
      <w:r w:rsidRPr="00165B25">
        <w:lastRenderedPageBreak/>
        <w:t>“Summary of the discussion in source”</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 xml:space="preserve">The </w:t>
      </w:r>
      <w:r w:rsidRPr="00165B25">
        <w:rPr>
          <w:rFonts w:ascii="Times New Roman" w:eastAsia="Times New Roman" w:hAnsi="Times New Roman" w:cs="Times New Roman"/>
          <w:b/>
          <w:i/>
          <w:sz w:val="24"/>
          <w:szCs w:val="24"/>
        </w:rPr>
        <w:t>“Study Skills Handbook”</w:t>
      </w:r>
      <w:r w:rsidRPr="00165B25">
        <w:rPr>
          <w:rFonts w:ascii="Times New Roman" w:eastAsia="Times New Roman" w:hAnsi="Times New Roman" w:cs="Times New Roman"/>
          <w:sz w:val="24"/>
          <w:szCs w:val="24"/>
        </w:rPr>
        <w:t xml:space="preserve"> has described the various skills in two sections. The first one is “self-efficacy” and the second is “academic, people and task management skills”. In this study, the focus will be on the sections where the author has discussed </w:t>
      </w:r>
      <w:r w:rsidRPr="00165B25">
        <w:rPr>
          <w:rFonts w:ascii="Times New Roman" w:eastAsia="Times New Roman" w:hAnsi="Times New Roman" w:cs="Times New Roman"/>
          <w:b/>
          <w:i/>
          <w:sz w:val="24"/>
          <w:szCs w:val="24"/>
        </w:rPr>
        <w:t>“critical thinking”</w:t>
      </w:r>
      <w:r w:rsidRPr="00165B25">
        <w:rPr>
          <w:rFonts w:ascii="Times New Roman" w:eastAsia="Times New Roman" w:hAnsi="Times New Roman" w:cs="Times New Roman"/>
          <w:sz w:val="24"/>
          <w:szCs w:val="24"/>
        </w:rPr>
        <w:t xml:space="preserve"> and </w:t>
      </w:r>
      <w:r w:rsidRPr="00165B25">
        <w:rPr>
          <w:rFonts w:ascii="Times New Roman" w:eastAsia="Times New Roman" w:hAnsi="Times New Roman" w:cs="Times New Roman"/>
          <w:b/>
          <w:i/>
          <w:sz w:val="24"/>
          <w:szCs w:val="24"/>
        </w:rPr>
        <w:t>“ti</w:t>
      </w:r>
      <w:r w:rsidRPr="00165B25">
        <w:rPr>
          <w:rFonts w:ascii="Times New Roman" w:eastAsia="Times New Roman" w:hAnsi="Times New Roman" w:cs="Times New Roman"/>
          <w:b/>
          <w:i/>
          <w:sz w:val="24"/>
          <w:szCs w:val="24"/>
        </w:rPr>
        <w:t>me management”</w:t>
      </w:r>
      <w:r w:rsidRPr="00165B25">
        <w:rPr>
          <w:rFonts w:ascii="Times New Roman" w:eastAsia="Times New Roman" w:hAnsi="Times New Roman" w:cs="Times New Roman"/>
          <w:sz w:val="24"/>
          <w:szCs w:val="24"/>
        </w:rPr>
        <w:t xml:space="preserve"> as part of essential academic skills. The author has introduced time management skills and the importance of this skill in the context of academics. Moreover, the strategies, tools and approaches regarding time management that are essential </w:t>
      </w:r>
      <w:r w:rsidRPr="00165B25">
        <w:rPr>
          <w:rFonts w:ascii="Times New Roman" w:eastAsia="Times New Roman" w:hAnsi="Times New Roman" w:cs="Times New Roman"/>
          <w:sz w:val="24"/>
          <w:szCs w:val="24"/>
        </w:rPr>
        <w:t>for academic improvement have also been discussed by the author (Cottrell, 2019). The author has investigated the significance of time management and mentioned that time management is essential for success in the study. Spending more time in an effective m</w:t>
      </w:r>
      <w:r w:rsidRPr="00165B25">
        <w:rPr>
          <w:rFonts w:ascii="Times New Roman" w:eastAsia="Times New Roman" w:hAnsi="Times New Roman" w:cs="Times New Roman"/>
          <w:sz w:val="24"/>
          <w:szCs w:val="24"/>
        </w:rPr>
        <w:t>anner has been concentrated on by the author from a student perspective. In the proceeding sections, the author has discussed the steps for effective time management. Specifically, ten ways of managing time effectively have been presented. In this section,</w:t>
      </w:r>
      <w:r w:rsidRPr="00165B25">
        <w:rPr>
          <w:rFonts w:ascii="Times New Roman" w:eastAsia="Times New Roman" w:hAnsi="Times New Roman" w:cs="Times New Roman"/>
          <w:sz w:val="24"/>
          <w:szCs w:val="24"/>
        </w:rPr>
        <w:t xml:space="preserve"> strategies for saving time in everyday academic life have also been suggested along with ways to eliminate distractions. </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In the portion where critical thinking has been discussed by the author, different aspects of critical thinking have been analysed in</w:t>
      </w:r>
      <w:r w:rsidRPr="00165B25">
        <w:rPr>
          <w:rFonts w:ascii="Times New Roman" w:eastAsia="Times New Roman" w:hAnsi="Times New Roman" w:cs="Times New Roman"/>
          <w:sz w:val="24"/>
          <w:szCs w:val="24"/>
        </w:rPr>
        <w:t xml:space="preserve"> the context of academics. The author has discussed the importance of critical thinking and the significance of critical thinking abilities in practice. The characteristics of critical thinking have been mentioned</w:t>
      </w:r>
      <w:bookmarkStart w:id="4" w:name="_GoBack"/>
      <w:bookmarkEnd w:id="4"/>
      <w:r w:rsidRPr="00165B25">
        <w:rPr>
          <w:rFonts w:ascii="Times New Roman" w:eastAsia="Times New Roman" w:hAnsi="Times New Roman" w:cs="Times New Roman"/>
          <w:sz w:val="24"/>
          <w:szCs w:val="24"/>
        </w:rPr>
        <w:t xml:space="preserve"> in the source (Cottrell, 2019). In this co</w:t>
      </w:r>
      <w:r w:rsidRPr="00165B25">
        <w:rPr>
          <w:rFonts w:ascii="Times New Roman" w:eastAsia="Times New Roman" w:hAnsi="Times New Roman" w:cs="Times New Roman"/>
          <w:sz w:val="24"/>
          <w:szCs w:val="24"/>
        </w:rPr>
        <w:t>ntext, critical analytical abilities and critical self-awareness have been described. The author has also discussed the strategies to develop critical thinking skills along with the impact of statistics as a tool for critical thinking has been analysed. In</w:t>
      </w:r>
      <w:r w:rsidRPr="00165B25">
        <w:rPr>
          <w:rFonts w:ascii="Times New Roman" w:eastAsia="Times New Roman" w:hAnsi="Times New Roman" w:cs="Times New Roman"/>
          <w:sz w:val="24"/>
          <w:szCs w:val="24"/>
        </w:rPr>
        <w:t xml:space="preserve"> the source, the ways of improvement of critical thinking during reading, writing, and listening as essential parts of academics have been suggested by the author. </w:t>
      </w:r>
    </w:p>
    <w:p w:rsidR="00082DB2" w:rsidRPr="00165B25" w:rsidRDefault="003D06A1">
      <w:pPr>
        <w:pStyle w:val="Heading2"/>
      </w:pPr>
      <w:bookmarkStart w:id="5" w:name="_ts6uxk9e5wzs" w:colFirst="0" w:colLast="0"/>
      <w:bookmarkEnd w:id="5"/>
      <w:r w:rsidRPr="00165B25">
        <w:t>“Analyse how you can use this to improve your own skills”</w:t>
      </w:r>
    </w:p>
    <w:p w:rsidR="00082DB2" w:rsidRPr="00165B25" w:rsidRDefault="003D06A1">
      <w:pPr>
        <w:numPr>
          <w:ilvl w:val="0"/>
          <w:numId w:val="2"/>
        </w:num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b/>
          <w:i/>
          <w:sz w:val="24"/>
          <w:szCs w:val="24"/>
        </w:rPr>
        <w:t>Time management skills</w:t>
      </w:r>
      <w:r w:rsidRPr="00165B25">
        <w:rPr>
          <w:rFonts w:ascii="Times New Roman" w:eastAsia="Times New Roman" w:hAnsi="Times New Roman" w:cs="Times New Roman"/>
          <w:sz w:val="24"/>
          <w:szCs w:val="24"/>
        </w:rPr>
        <w:t>: As mentio</w:t>
      </w:r>
      <w:r w:rsidRPr="00165B25">
        <w:rPr>
          <w:rFonts w:ascii="Times New Roman" w:eastAsia="Times New Roman" w:hAnsi="Times New Roman" w:cs="Times New Roman"/>
          <w:sz w:val="24"/>
          <w:szCs w:val="24"/>
        </w:rPr>
        <w:t>ned by the author of “The Study Skills Handbook”, effective utilisation of time in academics is essential for achieving excellence. The author has proposed ten steps for “good time management”. I as a student, shall be able to improve my time management ab</w:t>
      </w:r>
      <w:r w:rsidRPr="00165B25">
        <w:rPr>
          <w:rFonts w:ascii="Times New Roman" w:eastAsia="Times New Roman" w:hAnsi="Times New Roman" w:cs="Times New Roman"/>
          <w:sz w:val="24"/>
          <w:szCs w:val="24"/>
        </w:rPr>
        <w:t>ilities by practising these ten steps. As a student, in my academics, efficiently managing time will let me choose the account where to spend more time and where not. At present, it will be extremely beneficial to improve my academic performance (</w:t>
      </w:r>
      <w:r w:rsidRPr="00165B25">
        <w:rPr>
          <w:rFonts w:ascii="Times New Roman" w:eastAsia="Times New Roman" w:hAnsi="Times New Roman" w:cs="Times New Roman"/>
          <w:color w:val="222222"/>
          <w:sz w:val="24"/>
          <w:szCs w:val="24"/>
          <w:highlight w:val="white"/>
        </w:rPr>
        <w:t xml:space="preserve">Hensley </w:t>
      </w:r>
      <w:r w:rsidRPr="00165B25">
        <w:rPr>
          <w:rFonts w:ascii="Times New Roman" w:eastAsia="Times New Roman" w:hAnsi="Times New Roman" w:cs="Times New Roman"/>
          <w:i/>
          <w:color w:val="222222"/>
          <w:sz w:val="24"/>
          <w:szCs w:val="24"/>
          <w:highlight w:val="white"/>
        </w:rPr>
        <w:t>e</w:t>
      </w:r>
      <w:r w:rsidRPr="00165B25">
        <w:rPr>
          <w:rFonts w:ascii="Times New Roman" w:eastAsia="Times New Roman" w:hAnsi="Times New Roman" w:cs="Times New Roman"/>
          <w:i/>
          <w:color w:val="222222"/>
          <w:sz w:val="24"/>
          <w:szCs w:val="24"/>
          <w:highlight w:val="white"/>
        </w:rPr>
        <w:t xml:space="preserve">t al., </w:t>
      </w:r>
      <w:r w:rsidRPr="00165B25">
        <w:rPr>
          <w:rFonts w:ascii="Times New Roman" w:eastAsia="Times New Roman" w:hAnsi="Times New Roman" w:cs="Times New Roman"/>
          <w:color w:val="222222"/>
          <w:sz w:val="24"/>
          <w:szCs w:val="24"/>
          <w:highlight w:val="white"/>
        </w:rPr>
        <w:t>2018</w:t>
      </w:r>
      <w:r w:rsidRPr="00165B25">
        <w:rPr>
          <w:rFonts w:ascii="Times New Roman" w:eastAsia="Times New Roman" w:hAnsi="Times New Roman" w:cs="Times New Roman"/>
          <w:sz w:val="24"/>
          <w:szCs w:val="24"/>
        </w:rPr>
        <w:t xml:space="preserve">). As a business management student, in future, I shall pursue a career as a business management professional. Effective </w:t>
      </w:r>
      <w:r w:rsidRPr="00165B25">
        <w:rPr>
          <w:rFonts w:ascii="Times New Roman" w:eastAsia="Times New Roman" w:hAnsi="Times New Roman" w:cs="Times New Roman"/>
          <w:sz w:val="24"/>
          <w:szCs w:val="24"/>
        </w:rPr>
        <w:lastRenderedPageBreak/>
        <w:t>decision-making is an essential part of a business. Properly developed time management skills will help me in improving my d</w:t>
      </w:r>
      <w:r w:rsidRPr="00165B25">
        <w:rPr>
          <w:rFonts w:ascii="Times New Roman" w:eastAsia="Times New Roman" w:hAnsi="Times New Roman" w:cs="Times New Roman"/>
          <w:sz w:val="24"/>
          <w:szCs w:val="24"/>
        </w:rPr>
        <w:t xml:space="preserve">ecision-making skills also. </w:t>
      </w:r>
    </w:p>
    <w:p w:rsidR="00082DB2" w:rsidRPr="00165B25" w:rsidRDefault="003D06A1">
      <w:pPr>
        <w:numPr>
          <w:ilvl w:val="0"/>
          <w:numId w:val="2"/>
        </w:num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b/>
          <w:i/>
          <w:sz w:val="24"/>
          <w:szCs w:val="24"/>
        </w:rPr>
        <w:t>Critical thinking skills</w:t>
      </w:r>
      <w:r w:rsidRPr="00165B25">
        <w:rPr>
          <w:rFonts w:ascii="Times New Roman" w:eastAsia="Times New Roman" w:hAnsi="Times New Roman" w:cs="Times New Roman"/>
          <w:sz w:val="24"/>
          <w:szCs w:val="24"/>
        </w:rPr>
        <w:t>: As mentioned earlier in the selected source “The Study Skills Handbook” by Cottrell, the importance of critical thinking has been discussed in various contexts. Critical thinking abilities facilitate t</w:t>
      </w:r>
      <w:r w:rsidRPr="00165B25">
        <w:rPr>
          <w:rFonts w:ascii="Times New Roman" w:eastAsia="Times New Roman" w:hAnsi="Times New Roman" w:cs="Times New Roman"/>
          <w:sz w:val="24"/>
          <w:szCs w:val="24"/>
        </w:rPr>
        <w:t>he investigation of the actual reasons or concepts lying behind any incident (Haber, 2020). I as a student will be able to analyse my academics in a more critical way by improving these skills. Hence, critical thinking skills will help me in developing eff</w:t>
      </w:r>
      <w:r w:rsidRPr="00165B25">
        <w:rPr>
          <w:rFonts w:ascii="Times New Roman" w:eastAsia="Times New Roman" w:hAnsi="Times New Roman" w:cs="Times New Roman"/>
          <w:sz w:val="24"/>
          <w:szCs w:val="24"/>
        </w:rPr>
        <w:t>icient analytical skills. It has also been mentioned by the author that critical thinking abilities are essential for developing the capabilities for effectively choosing the cases to take shortcuts. As a business management professional in future, efficie</w:t>
      </w:r>
      <w:r w:rsidRPr="00165B25">
        <w:rPr>
          <w:rFonts w:ascii="Times New Roman" w:eastAsia="Times New Roman" w:hAnsi="Times New Roman" w:cs="Times New Roman"/>
          <w:sz w:val="24"/>
          <w:szCs w:val="24"/>
        </w:rPr>
        <w:t>nt critical thinking ability will also help me in appropriately performing analytical tasks related to business.</w:t>
      </w:r>
    </w:p>
    <w:p w:rsidR="00082DB2" w:rsidRPr="00165B25" w:rsidRDefault="003D06A1">
      <w:pPr>
        <w:pStyle w:val="Heading2"/>
      </w:pPr>
      <w:bookmarkStart w:id="6" w:name="_jtswqmt8o3vn" w:colFirst="0" w:colLast="0"/>
      <w:bookmarkEnd w:id="6"/>
      <w:r w:rsidRPr="00165B25">
        <w:t>“Evaluate what you have learnt from this source”</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As mentioned earlier in “The Study Skills Handbook”, Cottrell (2019) has described the various</w:t>
      </w:r>
      <w:r w:rsidRPr="00165B25">
        <w:rPr>
          <w:rFonts w:ascii="Times New Roman" w:eastAsia="Times New Roman" w:hAnsi="Times New Roman" w:cs="Times New Roman"/>
          <w:sz w:val="24"/>
          <w:szCs w:val="24"/>
        </w:rPr>
        <w:t xml:space="preserve"> aspects of time management as well as critical thinking ability. The author has proposed ten effective steps to appropriately manage time. A systematic approach, time requirements, prioritisation of tasks, effective planning, maintaining consistency and o</w:t>
      </w:r>
      <w:r w:rsidRPr="00165B25">
        <w:rPr>
          <w:rFonts w:ascii="Times New Roman" w:eastAsia="Times New Roman" w:hAnsi="Times New Roman" w:cs="Times New Roman"/>
          <w:sz w:val="24"/>
          <w:szCs w:val="24"/>
        </w:rPr>
        <w:t>thers are involved in this context. All the steps will be effective in facilitating improved time management skills also. On the other hand, for monitoring the actual progress of the formulated plans many strategies have been mentioned. It is justified bec</w:t>
      </w:r>
      <w:r w:rsidRPr="00165B25">
        <w:rPr>
          <w:rFonts w:ascii="Times New Roman" w:eastAsia="Times New Roman" w:hAnsi="Times New Roman" w:cs="Times New Roman"/>
          <w:sz w:val="24"/>
          <w:szCs w:val="24"/>
        </w:rPr>
        <w:t xml:space="preserve">ause time management skills in practice enable taking the right decision at the right time. </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However, although the steps have been formulated for improving the skills, the efficiency of the steps may not be applicable in every situation. For example, any u</w:t>
      </w:r>
      <w:r w:rsidRPr="00165B25">
        <w:rPr>
          <w:rFonts w:ascii="Times New Roman" w:eastAsia="Times New Roman" w:hAnsi="Times New Roman" w:cs="Times New Roman"/>
          <w:sz w:val="24"/>
          <w:szCs w:val="24"/>
        </w:rPr>
        <w:t>nprecedented event may hamper the set time schedule. In this context, damage to the rhythm of one step of the time management strategy may get cumulated. It will ultimately cause harm to the overall efficiency of the outcome. On the other hand, too much se</w:t>
      </w:r>
      <w:r w:rsidRPr="00165B25">
        <w:rPr>
          <w:rFonts w:ascii="Times New Roman" w:eastAsia="Times New Roman" w:hAnsi="Times New Roman" w:cs="Times New Roman"/>
          <w:sz w:val="24"/>
          <w:szCs w:val="24"/>
        </w:rPr>
        <w:t>lf-consistency in monitoring the progress of the plan may be one of the indirect reasons for the actual task being neglected (</w:t>
      </w:r>
      <w:proofErr w:type="spellStart"/>
      <w:r w:rsidRPr="00165B25">
        <w:rPr>
          <w:rFonts w:ascii="Times New Roman" w:eastAsia="Times New Roman" w:hAnsi="Times New Roman" w:cs="Times New Roman"/>
          <w:color w:val="222222"/>
          <w:sz w:val="24"/>
          <w:szCs w:val="24"/>
          <w:highlight w:val="white"/>
        </w:rPr>
        <w:t>Golestaneh</w:t>
      </w:r>
      <w:proofErr w:type="spellEnd"/>
      <w:r w:rsidRPr="00165B25">
        <w:rPr>
          <w:rFonts w:ascii="Times New Roman" w:eastAsia="Times New Roman" w:hAnsi="Times New Roman" w:cs="Times New Roman"/>
          <w:color w:val="222222"/>
          <w:sz w:val="24"/>
          <w:szCs w:val="24"/>
          <w:highlight w:val="white"/>
        </w:rPr>
        <w:t xml:space="preserve"> and </w:t>
      </w:r>
      <w:proofErr w:type="spellStart"/>
      <w:r w:rsidRPr="00165B25">
        <w:rPr>
          <w:rFonts w:ascii="Times New Roman" w:eastAsia="Times New Roman" w:hAnsi="Times New Roman" w:cs="Times New Roman"/>
          <w:color w:val="222222"/>
          <w:sz w:val="24"/>
          <w:szCs w:val="24"/>
          <w:highlight w:val="white"/>
        </w:rPr>
        <w:t>Kitani</w:t>
      </w:r>
      <w:proofErr w:type="spellEnd"/>
      <w:r w:rsidRPr="00165B25">
        <w:rPr>
          <w:rFonts w:ascii="Times New Roman" w:eastAsia="Times New Roman" w:hAnsi="Times New Roman" w:cs="Times New Roman"/>
          <w:color w:val="222222"/>
          <w:sz w:val="24"/>
          <w:szCs w:val="24"/>
          <w:highlight w:val="white"/>
        </w:rPr>
        <w:t>, 2020</w:t>
      </w:r>
      <w:r w:rsidRPr="00165B25">
        <w:rPr>
          <w:rFonts w:ascii="Times New Roman" w:eastAsia="Times New Roman" w:hAnsi="Times New Roman" w:cs="Times New Roman"/>
          <w:sz w:val="24"/>
          <w:szCs w:val="24"/>
        </w:rPr>
        <w:t>). Hence, though effective time management skills are extremely beneficial in academics, the strategies</w:t>
      </w:r>
      <w:r w:rsidRPr="00165B25">
        <w:rPr>
          <w:rFonts w:ascii="Times New Roman" w:eastAsia="Times New Roman" w:hAnsi="Times New Roman" w:cs="Times New Roman"/>
          <w:sz w:val="24"/>
          <w:szCs w:val="24"/>
        </w:rPr>
        <w:t xml:space="preserve"> are not very easy to implement.</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Critical thinking has been stated to be “analytical, reflective and creative”. Critical thinking skills facilitate effective self-understanding (</w:t>
      </w:r>
      <w:r w:rsidRPr="00165B25">
        <w:rPr>
          <w:rFonts w:ascii="Times New Roman" w:eastAsia="Times New Roman" w:hAnsi="Times New Roman" w:cs="Times New Roman"/>
          <w:color w:val="222222"/>
          <w:sz w:val="24"/>
          <w:szCs w:val="24"/>
          <w:highlight w:val="white"/>
        </w:rPr>
        <w:t>Conklin, 2018)</w:t>
      </w:r>
      <w:r w:rsidRPr="00165B25">
        <w:rPr>
          <w:rFonts w:ascii="Times New Roman" w:eastAsia="Times New Roman" w:hAnsi="Times New Roman" w:cs="Times New Roman"/>
          <w:sz w:val="24"/>
          <w:szCs w:val="24"/>
        </w:rPr>
        <w:t>. Hence, it may be appropriate in a personal context and signifi</w:t>
      </w:r>
      <w:r w:rsidRPr="00165B25">
        <w:rPr>
          <w:rFonts w:ascii="Times New Roman" w:eastAsia="Times New Roman" w:hAnsi="Times New Roman" w:cs="Times New Roman"/>
          <w:sz w:val="24"/>
          <w:szCs w:val="24"/>
        </w:rPr>
        <w:t xml:space="preserve">es the “reflective” nature. It is also essential in perfectly analysing individual goals and motivation. On the other hand, the evaluation of any subject matter is </w:t>
      </w:r>
      <w:r w:rsidRPr="00165B25">
        <w:rPr>
          <w:rFonts w:ascii="Times New Roman" w:eastAsia="Times New Roman" w:hAnsi="Times New Roman" w:cs="Times New Roman"/>
          <w:sz w:val="24"/>
          <w:szCs w:val="24"/>
        </w:rPr>
        <w:lastRenderedPageBreak/>
        <w:t>effectively done by applying critical analytical abilities. For example, the international a</w:t>
      </w:r>
      <w:r w:rsidRPr="00165B25">
        <w:rPr>
          <w:rFonts w:ascii="Times New Roman" w:eastAsia="Times New Roman" w:hAnsi="Times New Roman" w:cs="Times New Roman"/>
          <w:sz w:val="24"/>
          <w:szCs w:val="24"/>
        </w:rPr>
        <w:t>nd diplomatic decisions and outcomes of the decisions can be considered. Hence, the “analytical” nature of critical thinking. Moreover, in-depth critical analysis is essential for fostering innovative ideas (</w:t>
      </w:r>
      <w:r w:rsidRPr="00165B25">
        <w:rPr>
          <w:rFonts w:ascii="Times New Roman" w:eastAsia="Times New Roman" w:hAnsi="Times New Roman" w:cs="Times New Roman"/>
          <w:color w:val="222222"/>
          <w:sz w:val="24"/>
          <w:szCs w:val="24"/>
          <w:highlight w:val="white"/>
        </w:rPr>
        <w:t xml:space="preserve">Hecker </w:t>
      </w:r>
      <w:r w:rsidRPr="00165B25">
        <w:rPr>
          <w:rFonts w:ascii="Times New Roman" w:eastAsia="Times New Roman" w:hAnsi="Times New Roman" w:cs="Times New Roman"/>
          <w:i/>
          <w:color w:val="222222"/>
          <w:sz w:val="24"/>
          <w:szCs w:val="24"/>
          <w:highlight w:val="white"/>
        </w:rPr>
        <w:t xml:space="preserve">et al., </w:t>
      </w:r>
      <w:r w:rsidRPr="00165B25">
        <w:rPr>
          <w:rFonts w:ascii="Times New Roman" w:eastAsia="Times New Roman" w:hAnsi="Times New Roman" w:cs="Times New Roman"/>
          <w:color w:val="222222"/>
          <w:sz w:val="24"/>
          <w:szCs w:val="24"/>
          <w:highlight w:val="white"/>
        </w:rPr>
        <w:t>2018)</w:t>
      </w:r>
      <w:r w:rsidRPr="00165B25">
        <w:rPr>
          <w:rFonts w:ascii="Times New Roman" w:eastAsia="Times New Roman" w:hAnsi="Times New Roman" w:cs="Times New Roman"/>
          <w:sz w:val="24"/>
          <w:szCs w:val="24"/>
        </w:rPr>
        <w:t xml:space="preserve">. </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However, the author has a</w:t>
      </w:r>
      <w:r w:rsidRPr="00165B25">
        <w:rPr>
          <w:rFonts w:ascii="Times New Roman" w:eastAsia="Times New Roman" w:hAnsi="Times New Roman" w:cs="Times New Roman"/>
          <w:sz w:val="24"/>
          <w:szCs w:val="24"/>
        </w:rPr>
        <w:t>lso stated that many operations are involved in the process of achieving an actual conclusion through the application of critical thinking abilities. It includes reasoning, thorough scrutiny of own analysis, impartiality, elimination of influences and many</w:t>
      </w:r>
      <w:r w:rsidRPr="00165B25">
        <w:rPr>
          <w:rFonts w:ascii="Times New Roman" w:eastAsia="Times New Roman" w:hAnsi="Times New Roman" w:cs="Times New Roman"/>
          <w:sz w:val="24"/>
          <w:szCs w:val="24"/>
        </w:rPr>
        <w:t xml:space="preserve"> more (Cottrell, 2019). Hence, it can be perceived that the application of critical thinking abilities itself requires a set of separate skills, which are largely dependent on cognitive abilities. Due to the level of cognitive abilities varying from person</w:t>
      </w:r>
      <w:r w:rsidRPr="00165B25">
        <w:rPr>
          <w:rFonts w:ascii="Times New Roman" w:eastAsia="Times New Roman" w:hAnsi="Times New Roman" w:cs="Times New Roman"/>
          <w:sz w:val="24"/>
          <w:szCs w:val="24"/>
        </w:rPr>
        <w:t xml:space="preserve"> to person, hence, the identification of uniformity in the measures for the evaluation of critical thinking abilities is difficult in practice.</w:t>
      </w:r>
    </w:p>
    <w:p w:rsidR="00082DB2" w:rsidRPr="00165B25" w:rsidRDefault="003D06A1">
      <w:pPr>
        <w:pStyle w:val="Heading1"/>
      </w:pPr>
      <w:bookmarkStart w:id="7" w:name="_3u63q5kss3dc" w:colFirst="0" w:colLast="0"/>
      <w:bookmarkEnd w:id="7"/>
      <w:r w:rsidRPr="00165B25">
        <w:t>Conclusion</w:t>
      </w:r>
    </w:p>
    <w:p w:rsidR="00082DB2" w:rsidRPr="00165B25" w:rsidRDefault="003D06A1">
      <w:pPr>
        <w:spacing w:line="360" w:lineRule="auto"/>
        <w:jc w:val="both"/>
        <w:rPr>
          <w:rFonts w:ascii="Times New Roman" w:eastAsia="Times New Roman" w:hAnsi="Times New Roman" w:cs="Times New Roman"/>
          <w:sz w:val="24"/>
          <w:szCs w:val="24"/>
        </w:rPr>
      </w:pPr>
      <w:r w:rsidRPr="00165B25">
        <w:rPr>
          <w:rFonts w:ascii="Times New Roman" w:eastAsia="Times New Roman" w:hAnsi="Times New Roman" w:cs="Times New Roman"/>
          <w:sz w:val="24"/>
          <w:szCs w:val="24"/>
        </w:rPr>
        <w:t>The study has analysed and evaluated the aspects of time management skills and critical thinking skil</w:t>
      </w:r>
      <w:r w:rsidRPr="00165B25">
        <w:rPr>
          <w:rFonts w:ascii="Times New Roman" w:eastAsia="Times New Roman" w:hAnsi="Times New Roman" w:cs="Times New Roman"/>
          <w:sz w:val="24"/>
          <w:szCs w:val="24"/>
        </w:rPr>
        <w:t>ls mentioned in “The Study Skills Handbook” written by Stella Cottrell. In the study, a personal SWOT analysis has been carried out to identify the current state of the skills. Moreover, the summary of the sections has shown that the author has mentioned b</w:t>
      </w:r>
      <w:r w:rsidRPr="00165B25">
        <w:rPr>
          <w:rFonts w:ascii="Times New Roman" w:eastAsia="Times New Roman" w:hAnsi="Times New Roman" w:cs="Times New Roman"/>
          <w:sz w:val="24"/>
          <w:szCs w:val="24"/>
        </w:rPr>
        <w:t>oth skills as extremely essential as part of academic skills. An evaluation of the learnings from the source has also been done.</w:t>
      </w:r>
      <w:r w:rsidRPr="00165B25">
        <w:br w:type="page"/>
      </w:r>
    </w:p>
    <w:p w:rsidR="00082DB2" w:rsidRPr="00165B25" w:rsidRDefault="003D06A1">
      <w:pPr>
        <w:pStyle w:val="Heading1"/>
      </w:pPr>
      <w:bookmarkStart w:id="8" w:name="_eqbj68aygpkv" w:colFirst="0" w:colLast="0"/>
      <w:bookmarkEnd w:id="8"/>
      <w:r w:rsidRPr="00165B25">
        <w:lastRenderedPageBreak/>
        <w:t>Reference list</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r w:rsidRPr="00165B25">
        <w:rPr>
          <w:rFonts w:ascii="Times New Roman" w:eastAsia="Times New Roman" w:hAnsi="Times New Roman" w:cs="Times New Roman"/>
          <w:color w:val="222222"/>
          <w:sz w:val="24"/>
          <w:szCs w:val="24"/>
          <w:highlight w:val="white"/>
        </w:rPr>
        <w:t xml:space="preserve">Conklin, H.G., 2018. Caring and critical thinking in the teaching of young adolescents. </w:t>
      </w:r>
      <w:r w:rsidRPr="00165B25">
        <w:rPr>
          <w:rFonts w:ascii="Times New Roman" w:eastAsia="Times New Roman" w:hAnsi="Times New Roman" w:cs="Times New Roman"/>
          <w:i/>
          <w:color w:val="222222"/>
          <w:sz w:val="24"/>
          <w:szCs w:val="24"/>
          <w:highlight w:val="white"/>
        </w:rPr>
        <w:t xml:space="preserve">Theory </w:t>
      </w:r>
      <w:proofErr w:type="gramStart"/>
      <w:r w:rsidRPr="00165B25">
        <w:rPr>
          <w:rFonts w:ascii="Times New Roman" w:eastAsia="Times New Roman" w:hAnsi="Times New Roman" w:cs="Times New Roman"/>
          <w:i/>
          <w:color w:val="222222"/>
          <w:sz w:val="24"/>
          <w:szCs w:val="24"/>
          <w:highlight w:val="white"/>
        </w:rPr>
        <w:t>Into</w:t>
      </w:r>
      <w:proofErr w:type="gramEnd"/>
      <w:r w:rsidRPr="00165B25">
        <w:rPr>
          <w:rFonts w:ascii="Times New Roman" w:eastAsia="Times New Roman" w:hAnsi="Times New Roman" w:cs="Times New Roman"/>
          <w:i/>
          <w:color w:val="222222"/>
          <w:sz w:val="24"/>
          <w:szCs w:val="24"/>
          <w:highlight w:val="white"/>
        </w:rPr>
        <w:t xml:space="preserve"> Practice</w:t>
      </w:r>
      <w:r w:rsidRPr="00165B25">
        <w:rPr>
          <w:rFonts w:ascii="Times New Roman" w:eastAsia="Times New Roman" w:hAnsi="Times New Roman" w:cs="Times New Roman"/>
          <w:color w:val="222222"/>
          <w:sz w:val="24"/>
          <w:szCs w:val="24"/>
          <w:highlight w:val="white"/>
        </w:rPr>
        <w:t xml:space="preserve">, </w:t>
      </w:r>
      <w:r w:rsidRPr="00165B25">
        <w:rPr>
          <w:rFonts w:ascii="Times New Roman" w:eastAsia="Times New Roman" w:hAnsi="Times New Roman" w:cs="Times New Roman"/>
          <w:i/>
          <w:color w:val="222222"/>
          <w:sz w:val="24"/>
          <w:szCs w:val="24"/>
          <w:highlight w:val="white"/>
        </w:rPr>
        <w:t>57</w:t>
      </w:r>
      <w:r w:rsidRPr="00165B25">
        <w:rPr>
          <w:rFonts w:ascii="Times New Roman" w:eastAsia="Times New Roman" w:hAnsi="Times New Roman" w:cs="Times New Roman"/>
          <w:color w:val="222222"/>
          <w:sz w:val="24"/>
          <w:szCs w:val="24"/>
          <w:highlight w:val="white"/>
        </w:rPr>
        <w:t>(4), pp.289-297.</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r w:rsidRPr="00165B25">
        <w:rPr>
          <w:rFonts w:ascii="Times New Roman" w:eastAsia="Times New Roman" w:hAnsi="Times New Roman" w:cs="Times New Roman"/>
          <w:color w:val="222222"/>
          <w:sz w:val="24"/>
          <w:szCs w:val="24"/>
          <w:highlight w:val="white"/>
        </w:rPr>
        <w:t xml:space="preserve">Cottrell, S., 2019. </w:t>
      </w:r>
      <w:r w:rsidRPr="00165B25">
        <w:rPr>
          <w:rFonts w:ascii="Times New Roman" w:eastAsia="Times New Roman" w:hAnsi="Times New Roman" w:cs="Times New Roman"/>
          <w:i/>
          <w:color w:val="222222"/>
          <w:sz w:val="24"/>
          <w:szCs w:val="24"/>
          <w:highlight w:val="white"/>
        </w:rPr>
        <w:t>The study skills handbook</w:t>
      </w:r>
      <w:r w:rsidRPr="00165B25">
        <w:rPr>
          <w:rFonts w:ascii="Times New Roman" w:eastAsia="Times New Roman" w:hAnsi="Times New Roman" w:cs="Times New Roman"/>
          <w:color w:val="222222"/>
          <w:sz w:val="24"/>
          <w:szCs w:val="24"/>
          <w:highlight w:val="white"/>
        </w:rPr>
        <w:t>. Bloomsbury Publishing.</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proofErr w:type="spellStart"/>
      <w:r w:rsidRPr="00165B25">
        <w:rPr>
          <w:rFonts w:ascii="Times New Roman" w:eastAsia="Times New Roman" w:hAnsi="Times New Roman" w:cs="Times New Roman"/>
          <w:color w:val="222222"/>
          <w:sz w:val="24"/>
          <w:szCs w:val="24"/>
          <w:highlight w:val="white"/>
        </w:rPr>
        <w:t>Golestaneh</w:t>
      </w:r>
      <w:proofErr w:type="spellEnd"/>
      <w:r w:rsidRPr="00165B25">
        <w:rPr>
          <w:rFonts w:ascii="Times New Roman" w:eastAsia="Times New Roman" w:hAnsi="Times New Roman" w:cs="Times New Roman"/>
          <w:color w:val="222222"/>
          <w:sz w:val="24"/>
          <w:szCs w:val="24"/>
          <w:highlight w:val="white"/>
        </w:rPr>
        <w:t xml:space="preserve">, S.A. and </w:t>
      </w:r>
      <w:proofErr w:type="spellStart"/>
      <w:r w:rsidRPr="00165B25">
        <w:rPr>
          <w:rFonts w:ascii="Times New Roman" w:eastAsia="Times New Roman" w:hAnsi="Times New Roman" w:cs="Times New Roman"/>
          <w:color w:val="222222"/>
          <w:sz w:val="24"/>
          <w:szCs w:val="24"/>
          <w:highlight w:val="white"/>
        </w:rPr>
        <w:t>Kitani</w:t>
      </w:r>
      <w:proofErr w:type="spellEnd"/>
      <w:r w:rsidRPr="00165B25">
        <w:rPr>
          <w:rFonts w:ascii="Times New Roman" w:eastAsia="Times New Roman" w:hAnsi="Times New Roman" w:cs="Times New Roman"/>
          <w:color w:val="222222"/>
          <w:sz w:val="24"/>
          <w:szCs w:val="24"/>
          <w:highlight w:val="white"/>
        </w:rPr>
        <w:t xml:space="preserve">, K.M., 2020. Importance of self-consistency in active learning for semantic segmentation. </w:t>
      </w:r>
      <w:proofErr w:type="spellStart"/>
      <w:proofErr w:type="gramStart"/>
      <w:r w:rsidRPr="00165B25">
        <w:rPr>
          <w:rFonts w:ascii="Times New Roman" w:eastAsia="Times New Roman" w:hAnsi="Times New Roman" w:cs="Times New Roman"/>
          <w:i/>
          <w:color w:val="222222"/>
          <w:sz w:val="24"/>
          <w:szCs w:val="24"/>
          <w:highlight w:val="white"/>
        </w:rPr>
        <w:t>arXiv</w:t>
      </w:r>
      <w:proofErr w:type="spellEnd"/>
      <w:proofErr w:type="gramEnd"/>
      <w:r w:rsidRPr="00165B25">
        <w:rPr>
          <w:rFonts w:ascii="Times New Roman" w:eastAsia="Times New Roman" w:hAnsi="Times New Roman" w:cs="Times New Roman"/>
          <w:i/>
          <w:color w:val="222222"/>
          <w:sz w:val="24"/>
          <w:szCs w:val="24"/>
          <w:highlight w:val="white"/>
        </w:rPr>
        <w:t xml:space="preserve"> preprint arXiv:2008.01860</w:t>
      </w:r>
      <w:r w:rsidRPr="00165B25">
        <w:rPr>
          <w:rFonts w:ascii="Times New Roman" w:eastAsia="Times New Roman" w:hAnsi="Times New Roman" w:cs="Times New Roman"/>
          <w:color w:val="222222"/>
          <w:sz w:val="24"/>
          <w:szCs w:val="24"/>
          <w:highlight w:val="white"/>
        </w:rPr>
        <w:t>.</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r w:rsidRPr="00165B25">
        <w:rPr>
          <w:rFonts w:ascii="Times New Roman" w:eastAsia="Times New Roman" w:hAnsi="Times New Roman" w:cs="Times New Roman"/>
          <w:color w:val="222222"/>
          <w:sz w:val="24"/>
          <w:szCs w:val="24"/>
          <w:highlight w:val="white"/>
        </w:rPr>
        <w:t xml:space="preserve">Haber, J., 2020. </w:t>
      </w:r>
      <w:r w:rsidRPr="00165B25">
        <w:rPr>
          <w:rFonts w:ascii="Times New Roman" w:eastAsia="Times New Roman" w:hAnsi="Times New Roman" w:cs="Times New Roman"/>
          <w:i/>
          <w:color w:val="222222"/>
          <w:sz w:val="24"/>
          <w:szCs w:val="24"/>
          <w:highlight w:val="white"/>
        </w:rPr>
        <w:t>Critical thinking</w:t>
      </w:r>
      <w:r w:rsidRPr="00165B25">
        <w:rPr>
          <w:rFonts w:ascii="Times New Roman" w:eastAsia="Times New Roman" w:hAnsi="Times New Roman" w:cs="Times New Roman"/>
          <w:color w:val="222222"/>
          <w:sz w:val="24"/>
          <w:szCs w:val="24"/>
          <w:highlight w:val="white"/>
        </w:rPr>
        <w:t>. MIT Press.</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r w:rsidRPr="00165B25">
        <w:rPr>
          <w:rFonts w:ascii="Times New Roman" w:eastAsia="Times New Roman" w:hAnsi="Times New Roman" w:cs="Times New Roman"/>
          <w:color w:val="222222"/>
          <w:sz w:val="24"/>
          <w:szCs w:val="24"/>
          <w:highlight w:val="white"/>
        </w:rPr>
        <w:t xml:space="preserve">Hecker, S., Bonney, R., </w:t>
      </w:r>
      <w:proofErr w:type="spellStart"/>
      <w:r w:rsidRPr="00165B25">
        <w:rPr>
          <w:rFonts w:ascii="Times New Roman" w:eastAsia="Times New Roman" w:hAnsi="Times New Roman" w:cs="Times New Roman"/>
          <w:color w:val="222222"/>
          <w:sz w:val="24"/>
          <w:szCs w:val="24"/>
          <w:highlight w:val="white"/>
        </w:rPr>
        <w:t>Haklay</w:t>
      </w:r>
      <w:proofErr w:type="spellEnd"/>
      <w:r w:rsidRPr="00165B25">
        <w:rPr>
          <w:rFonts w:ascii="Times New Roman" w:eastAsia="Times New Roman" w:hAnsi="Times New Roman" w:cs="Times New Roman"/>
          <w:color w:val="222222"/>
          <w:sz w:val="24"/>
          <w:szCs w:val="24"/>
          <w:highlight w:val="white"/>
        </w:rPr>
        <w:t xml:space="preserve">, M., </w:t>
      </w:r>
      <w:proofErr w:type="spellStart"/>
      <w:r w:rsidRPr="00165B25">
        <w:rPr>
          <w:rFonts w:ascii="Times New Roman" w:eastAsia="Times New Roman" w:hAnsi="Times New Roman" w:cs="Times New Roman"/>
          <w:color w:val="222222"/>
          <w:sz w:val="24"/>
          <w:szCs w:val="24"/>
          <w:highlight w:val="white"/>
        </w:rPr>
        <w:t>Hölker</w:t>
      </w:r>
      <w:proofErr w:type="spellEnd"/>
      <w:r w:rsidRPr="00165B25">
        <w:rPr>
          <w:rFonts w:ascii="Times New Roman" w:eastAsia="Times New Roman" w:hAnsi="Times New Roman" w:cs="Times New Roman"/>
          <w:color w:val="222222"/>
          <w:sz w:val="24"/>
          <w:szCs w:val="24"/>
          <w:highlight w:val="white"/>
        </w:rPr>
        <w:t xml:space="preserve">, F., Hofer, H., Goebel, C., Gold, M., </w:t>
      </w:r>
      <w:proofErr w:type="spellStart"/>
      <w:r w:rsidRPr="00165B25">
        <w:rPr>
          <w:rFonts w:ascii="Times New Roman" w:eastAsia="Times New Roman" w:hAnsi="Times New Roman" w:cs="Times New Roman"/>
          <w:color w:val="222222"/>
          <w:sz w:val="24"/>
          <w:szCs w:val="24"/>
          <w:highlight w:val="white"/>
        </w:rPr>
        <w:t>Makuch</w:t>
      </w:r>
      <w:proofErr w:type="spellEnd"/>
      <w:r w:rsidRPr="00165B25">
        <w:rPr>
          <w:rFonts w:ascii="Times New Roman" w:eastAsia="Times New Roman" w:hAnsi="Times New Roman" w:cs="Times New Roman"/>
          <w:color w:val="222222"/>
          <w:sz w:val="24"/>
          <w:szCs w:val="24"/>
          <w:highlight w:val="white"/>
        </w:rPr>
        <w:t xml:space="preserve">, Z., </w:t>
      </w:r>
      <w:proofErr w:type="spellStart"/>
      <w:r w:rsidRPr="00165B25">
        <w:rPr>
          <w:rFonts w:ascii="Times New Roman" w:eastAsia="Times New Roman" w:hAnsi="Times New Roman" w:cs="Times New Roman"/>
          <w:color w:val="222222"/>
          <w:sz w:val="24"/>
          <w:szCs w:val="24"/>
          <w:highlight w:val="white"/>
        </w:rPr>
        <w:t>Ponti</w:t>
      </w:r>
      <w:proofErr w:type="spellEnd"/>
      <w:r w:rsidRPr="00165B25">
        <w:rPr>
          <w:rFonts w:ascii="Times New Roman" w:eastAsia="Times New Roman" w:hAnsi="Times New Roman" w:cs="Times New Roman"/>
          <w:color w:val="222222"/>
          <w:sz w:val="24"/>
          <w:szCs w:val="24"/>
          <w:highlight w:val="white"/>
        </w:rPr>
        <w:t>, M., Richter, A. and Robinson, L., 2018. Innovation in citizen science–perspectives on science-policy advances</w:t>
      </w:r>
      <w:r w:rsidRPr="00165B25">
        <w:rPr>
          <w:rFonts w:ascii="Times New Roman" w:eastAsia="Times New Roman" w:hAnsi="Times New Roman" w:cs="Times New Roman"/>
          <w:color w:val="222222"/>
          <w:sz w:val="24"/>
          <w:szCs w:val="24"/>
          <w:highlight w:val="white"/>
        </w:rPr>
        <w:t xml:space="preserve">. </w:t>
      </w:r>
      <w:r w:rsidRPr="00165B25">
        <w:rPr>
          <w:rFonts w:ascii="Times New Roman" w:eastAsia="Times New Roman" w:hAnsi="Times New Roman" w:cs="Times New Roman"/>
          <w:i/>
          <w:color w:val="222222"/>
          <w:sz w:val="24"/>
          <w:szCs w:val="24"/>
          <w:highlight w:val="white"/>
        </w:rPr>
        <w:t>Citizen Science: Theory and Practice</w:t>
      </w:r>
      <w:r w:rsidRPr="00165B25">
        <w:rPr>
          <w:rFonts w:ascii="Times New Roman" w:eastAsia="Times New Roman" w:hAnsi="Times New Roman" w:cs="Times New Roman"/>
          <w:color w:val="222222"/>
          <w:sz w:val="24"/>
          <w:szCs w:val="24"/>
          <w:highlight w:val="white"/>
        </w:rPr>
        <w:t xml:space="preserve">, </w:t>
      </w:r>
      <w:r w:rsidRPr="00165B25">
        <w:rPr>
          <w:rFonts w:ascii="Times New Roman" w:eastAsia="Times New Roman" w:hAnsi="Times New Roman" w:cs="Times New Roman"/>
          <w:i/>
          <w:color w:val="222222"/>
          <w:sz w:val="24"/>
          <w:szCs w:val="24"/>
          <w:highlight w:val="white"/>
        </w:rPr>
        <w:t>3</w:t>
      </w:r>
      <w:r w:rsidRPr="00165B25">
        <w:rPr>
          <w:rFonts w:ascii="Times New Roman" w:eastAsia="Times New Roman" w:hAnsi="Times New Roman" w:cs="Times New Roman"/>
          <w:color w:val="222222"/>
          <w:sz w:val="24"/>
          <w:szCs w:val="24"/>
          <w:highlight w:val="white"/>
        </w:rPr>
        <w:t>(1).</w:t>
      </w:r>
    </w:p>
    <w:p w:rsidR="00082DB2" w:rsidRPr="00165B25" w:rsidRDefault="003D06A1">
      <w:pPr>
        <w:spacing w:line="360" w:lineRule="auto"/>
        <w:jc w:val="both"/>
        <w:rPr>
          <w:rFonts w:ascii="Times New Roman" w:eastAsia="Times New Roman" w:hAnsi="Times New Roman" w:cs="Times New Roman"/>
          <w:color w:val="222222"/>
          <w:sz w:val="24"/>
          <w:szCs w:val="24"/>
          <w:highlight w:val="white"/>
        </w:rPr>
      </w:pPr>
      <w:r w:rsidRPr="00165B25">
        <w:rPr>
          <w:rFonts w:ascii="Times New Roman" w:eastAsia="Times New Roman" w:hAnsi="Times New Roman" w:cs="Times New Roman"/>
          <w:color w:val="222222"/>
          <w:sz w:val="24"/>
          <w:szCs w:val="24"/>
          <w:highlight w:val="white"/>
        </w:rPr>
        <w:t xml:space="preserve">Hensley, L.C., Wolters, C.A., Won, S. and Brady, A.C., 2018. Academic probation, time management, and time use in a college success course. </w:t>
      </w:r>
      <w:r w:rsidRPr="00165B25">
        <w:rPr>
          <w:rFonts w:ascii="Times New Roman" w:eastAsia="Times New Roman" w:hAnsi="Times New Roman" w:cs="Times New Roman"/>
          <w:i/>
          <w:color w:val="222222"/>
          <w:sz w:val="24"/>
          <w:szCs w:val="24"/>
          <w:highlight w:val="white"/>
        </w:rPr>
        <w:t>Journal of College Reading and Learning</w:t>
      </w:r>
      <w:r w:rsidRPr="00165B25">
        <w:rPr>
          <w:rFonts w:ascii="Times New Roman" w:eastAsia="Times New Roman" w:hAnsi="Times New Roman" w:cs="Times New Roman"/>
          <w:color w:val="222222"/>
          <w:sz w:val="24"/>
          <w:szCs w:val="24"/>
          <w:highlight w:val="white"/>
        </w:rPr>
        <w:t xml:space="preserve">, </w:t>
      </w:r>
      <w:r w:rsidRPr="00165B25">
        <w:rPr>
          <w:rFonts w:ascii="Times New Roman" w:eastAsia="Times New Roman" w:hAnsi="Times New Roman" w:cs="Times New Roman"/>
          <w:i/>
          <w:color w:val="222222"/>
          <w:sz w:val="24"/>
          <w:szCs w:val="24"/>
          <w:highlight w:val="white"/>
        </w:rPr>
        <w:t>48</w:t>
      </w:r>
      <w:r w:rsidRPr="00165B25">
        <w:rPr>
          <w:rFonts w:ascii="Times New Roman" w:eastAsia="Times New Roman" w:hAnsi="Times New Roman" w:cs="Times New Roman"/>
          <w:color w:val="222222"/>
          <w:sz w:val="24"/>
          <w:szCs w:val="24"/>
          <w:highlight w:val="white"/>
        </w:rPr>
        <w:t>(2), pp.105-123.</w:t>
      </w:r>
    </w:p>
    <w:p w:rsidR="00082DB2" w:rsidRPr="00165B25" w:rsidRDefault="003D06A1">
      <w:pPr>
        <w:spacing w:line="360" w:lineRule="auto"/>
        <w:jc w:val="both"/>
      </w:pPr>
      <w:proofErr w:type="spellStart"/>
      <w:r w:rsidRPr="00165B25">
        <w:rPr>
          <w:rFonts w:ascii="Times New Roman" w:eastAsia="Times New Roman" w:hAnsi="Times New Roman" w:cs="Times New Roman"/>
          <w:color w:val="222222"/>
          <w:sz w:val="24"/>
          <w:szCs w:val="24"/>
          <w:highlight w:val="white"/>
        </w:rPr>
        <w:t>Teoli</w:t>
      </w:r>
      <w:proofErr w:type="spellEnd"/>
      <w:r w:rsidRPr="00165B25">
        <w:rPr>
          <w:rFonts w:ascii="Times New Roman" w:eastAsia="Times New Roman" w:hAnsi="Times New Roman" w:cs="Times New Roman"/>
          <w:color w:val="222222"/>
          <w:sz w:val="24"/>
          <w:szCs w:val="24"/>
          <w:highlight w:val="white"/>
        </w:rPr>
        <w:t>, D.,</w:t>
      </w:r>
      <w:r w:rsidRPr="00165B25">
        <w:rPr>
          <w:rFonts w:ascii="Times New Roman" w:eastAsia="Times New Roman" w:hAnsi="Times New Roman" w:cs="Times New Roman"/>
          <w:color w:val="222222"/>
          <w:sz w:val="24"/>
          <w:szCs w:val="24"/>
          <w:highlight w:val="white"/>
        </w:rPr>
        <w:t xml:space="preserve"> </w:t>
      </w:r>
      <w:proofErr w:type="spellStart"/>
      <w:r w:rsidRPr="00165B25">
        <w:rPr>
          <w:rFonts w:ascii="Times New Roman" w:eastAsia="Times New Roman" w:hAnsi="Times New Roman" w:cs="Times New Roman"/>
          <w:color w:val="222222"/>
          <w:sz w:val="24"/>
          <w:szCs w:val="24"/>
          <w:highlight w:val="white"/>
        </w:rPr>
        <w:t>Sanvictores</w:t>
      </w:r>
      <w:proofErr w:type="spellEnd"/>
      <w:r w:rsidRPr="00165B25">
        <w:rPr>
          <w:rFonts w:ascii="Times New Roman" w:eastAsia="Times New Roman" w:hAnsi="Times New Roman" w:cs="Times New Roman"/>
          <w:color w:val="222222"/>
          <w:sz w:val="24"/>
          <w:szCs w:val="24"/>
          <w:highlight w:val="white"/>
        </w:rPr>
        <w:t xml:space="preserve">, T. and </w:t>
      </w:r>
      <w:proofErr w:type="gramStart"/>
      <w:r w:rsidRPr="00165B25">
        <w:rPr>
          <w:rFonts w:ascii="Times New Roman" w:eastAsia="Times New Roman" w:hAnsi="Times New Roman" w:cs="Times New Roman"/>
          <w:color w:val="222222"/>
          <w:sz w:val="24"/>
          <w:szCs w:val="24"/>
          <w:highlight w:val="white"/>
        </w:rPr>
        <w:t>An</w:t>
      </w:r>
      <w:proofErr w:type="gramEnd"/>
      <w:r w:rsidRPr="00165B25">
        <w:rPr>
          <w:rFonts w:ascii="Times New Roman" w:eastAsia="Times New Roman" w:hAnsi="Times New Roman" w:cs="Times New Roman"/>
          <w:color w:val="222222"/>
          <w:sz w:val="24"/>
          <w:szCs w:val="24"/>
          <w:highlight w:val="white"/>
        </w:rPr>
        <w:t>, J., 2019. SWOT analysis.</w:t>
      </w:r>
    </w:p>
    <w:sectPr w:rsidR="00082DB2" w:rsidRPr="00165B2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6A1" w:rsidRDefault="003D06A1">
      <w:pPr>
        <w:spacing w:line="240" w:lineRule="auto"/>
      </w:pPr>
      <w:r>
        <w:separator/>
      </w:r>
    </w:p>
  </w:endnote>
  <w:endnote w:type="continuationSeparator" w:id="0">
    <w:p w:rsidR="003D06A1" w:rsidRDefault="003D0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DB2" w:rsidRDefault="003D06A1">
    <w:pPr>
      <w:jc w:val="right"/>
    </w:pPr>
    <w:r>
      <w:fldChar w:fldCharType="begin"/>
    </w:r>
    <w:r>
      <w:instrText>PAGE</w:instrText>
    </w:r>
    <w:r w:rsidR="00FF4272">
      <w:fldChar w:fldCharType="separate"/>
    </w:r>
    <w:r w:rsidR="00165B2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6A1" w:rsidRDefault="003D06A1">
      <w:pPr>
        <w:spacing w:line="240" w:lineRule="auto"/>
      </w:pPr>
      <w:r>
        <w:separator/>
      </w:r>
    </w:p>
  </w:footnote>
  <w:footnote w:type="continuationSeparator" w:id="0">
    <w:p w:rsidR="003D06A1" w:rsidRDefault="003D06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0FD"/>
    <w:multiLevelType w:val="multilevel"/>
    <w:tmpl w:val="2A323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577F10"/>
    <w:multiLevelType w:val="multilevel"/>
    <w:tmpl w:val="BC360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BB67DD"/>
    <w:multiLevelType w:val="multilevel"/>
    <w:tmpl w:val="9CC49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CA7D58"/>
    <w:multiLevelType w:val="multilevel"/>
    <w:tmpl w:val="F61E5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B1F2683"/>
    <w:multiLevelType w:val="multilevel"/>
    <w:tmpl w:val="3B708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B2"/>
    <w:rsid w:val="00082DB2"/>
    <w:rsid w:val="00165B25"/>
    <w:rsid w:val="003D06A1"/>
    <w:rsid w:val="00FF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7D8BBB-DE70-41C0-9FBF-2185FC4C4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1538</Words>
  <Characters>8767</Characters>
  <Application>Microsoft Office Word</Application>
  <DocSecurity>0</DocSecurity>
  <Lines>73</Lines>
  <Paragraphs>20</Paragraphs>
  <ScaleCrop>false</ScaleCrop>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dcterms:created xsi:type="dcterms:W3CDTF">2022-09-05T06:22:00Z</dcterms:created>
  <dcterms:modified xsi:type="dcterms:W3CDTF">2022-09-05T06:23:00Z</dcterms:modified>
</cp:coreProperties>
</file>