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DE1B3"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4E787E8C"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7F9B97B3"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0F179BE0"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17C39EF1"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46B550BA" w14:textId="7DCEA8B0" w:rsidR="00AD41B6" w:rsidRPr="000A6E5F" w:rsidRDefault="005A006A" w:rsidP="000A6E5F">
      <w:pPr>
        <w:spacing w:before="120" w:after="120" w:line="600" w:lineRule="auto"/>
        <w:jc w:val="center"/>
        <w:rPr>
          <w:rFonts w:ascii="Arial" w:eastAsia="Arial" w:hAnsi="Arial" w:cs="Arial"/>
          <w:b/>
          <w:bCs/>
          <w:kern w:val="0"/>
          <w:sz w:val="32"/>
          <w:szCs w:val="32"/>
          <w:lang w:val="en-GB"/>
          <w14:ligatures w14:val="none"/>
        </w:rPr>
      </w:pPr>
      <w:r w:rsidRPr="000A6E5F">
        <w:rPr>
          <w:rFonts w:ascii="Arial" w:eastAsia="Arial" w:hAnsi="Arial" w:cs="Arial"/>
          <w:b/>
          <w:bCs/>
          <w:kern w:val="0"/>
          <w:sz w:val="32"/>
          <w:szCs w:val="32"/>
          <w:lang w:val="en-GB"/>
          <w14:ligatures w14:val="none"/>
        </w:rPr>
        <w:t>LCHS7005 Service Integration and Partnership Working</w:t>
      </w:r>
    </w:p>
    <w:p w14:paraId="34E6CCDB" w14:textId="22C1F251" w:rsidR="00AD41B6" w:rsidRPr="000A6E5F" w:rsidRDefault="005A006A" w:rsidP="000A6E5F">
      <w:pPr>
        <w:spacing w:before="120" w:after="120" w:line="600" w:lineRule="auto"/>
        <w:jc w:val="center"/>
        <w:rPr>
          <w:rFonts w:ascii="Arial" w:eastAsia="Arial" w:hAnsi="Arial" w:cs="Arial"/>
          <w:b/>
          <w:bCs/>
          <w:kern w:val="0"/>
          <w:sz w:val="32"/>
          <w:szCs w:val="32"/>
          <w:lang w:val="en-GB"/>
          <w14:ligatures w14:val="none"/>
        </w:rPr>
      </w:pPr>
      <w:r w:rsidRPr="000A6E5F">
        <w:rPr>
          <w:rFonts w:ascii="Arial" w:eastAsia="Arial" w:hAnsi="Arial" w:cs="Arial"/>
          <w:b/>
          <w:bCs/>
          <w:kern w:val="0"/>
          <w:sz w:val="32"/>
          <w:szCs w:val="32"/>
          <w:lang w:val="en-GB"/>
          <w14:ligatures w14:val="none"/>
        </w:rPr>
        <w:t>Component 2: Reflective Report</w:t>
      </w:r>
    </w:p>
    <w:p w14:paraId="0A34B2F4" w14:textId="0579BF55" w:rsidR="005A006A" w:rsidRPr="00641000" w:rsidRDefault="005A006A" w:rsidP="005A006A">
      <w:pPr>
        <w:spacing w:before="120" w:after="120" w:line="360" w:lineRule="auto"/>
        <w:jc w:val="center"/>
        <w:rPr>
          <w:rFonts w:ascii="Arial" w:eastAsia="Arial" w:hAnsi="Arial" w:cs="Arial"/>
          <w:kern w:val="0"/>
          <w:lang w:val="en-GB"/>
          <w14:ligatures w14:val="none"/>
        </w:rPr>
      </w:pPr>
    </w:p>
    <w:p w14:paraId="2AADD24F" w14:textId="30DD4683" w:rsidR="005A006A" w:rsidRDefault="005A006A" w:rsidP="005A006A">
      <w:pPr>
        <w:spacing w:before="120" w:after="120" w:line="360" w:lineRule="auto"/>
        <w:jc w:val="center"/>
        <w:rPr>
          <w:rFonts w:ascii="Arial" w:eastAsia="Arial" w:hAnsi="Arial" w:cs="Arial"/>
          <w:kern w:val="0"/>
          <w:lang w:val="en-GB"/>
          <w14:ligatures w14:val="none"/>
        </w:rPr>
      </w:pPr>
    </w:p>
    <w:p w14:paraId="33E6E29D" w14:textId="77777777" w:rsidR="00B36180" w:rsidRPr="00641000" w:rsidRDefault="00B36180" w:rsidP="005A006A">
      <w:pPr>
        <w:spacing w:before="120" w:after="120" w:line="360" w:lineRule="auto"/>
        <w:jc w:val="center"/>
        <w:rPr>
          <w:rFonts w:ascii="Arial" w:eastAsia="Arial" w:hAnsi="Arial" w:cs="Arial"/>
          <w:kern w:val="0"/>
          <w:lang w:val="en-GB"/>
          <w14:ligatures w14:val="none"/>
        </w:rPr>
      </w:pPr>
    </w:p>
    <w:p w14:paraId="1D64E3DB" w14:textId="4286118A" w:rsidR="005A006A" w:rsidRPr="00641000" w:rsidRDefault="005A006A" w:rsidP="005A006A">
      <w:pPr>
        <w:spacing w:before="120" w:after="120" w:line="360" w:lineRule="auto"/>
        <w:jc w:val="center"/>
        <w:rPr>
          <w:rFonts w:ascii="Arial" w:eastAsia="Arial" w:hAnsi="Arial" w:cs="Arial"/>
          <w:kern w:val="0"/>
          <w:lang w:val="en-GB"/>
          <w14:ligatures w14:val="none"/>
        </w:rPr>
      </w:pPr>
    </w:p>
    <w:p w14:paraId="6B572C7B" w14:textId="77777777" w:rsidR="00AD41B6" w:rsidRPr="00641000" w:rsidRDefault="00AD41B6" w:rsidP="005A006A">
      <w:pPr>
        <w:spacing w:before="120" w:after="120" w:line="360" w:lineRule="auto"/>
        <w:jc w:val="center"/>
        <w:rPr>
          <w:rFonts w:ascii="Arial" w:eastAsia="Arial" w:hAnsi="Arial" w:cs="Arial"/>
          <w:b/>
          <w:bCs/>
          <w:kern w:val="0"/>
          <w:lang w:val="en-GB"/>
          <w14:ligatures w14:val="none"/>
        </w:rPr>
      </w:pPr>
      <w:r w:rsidRPr="00641000">
        <w:rPr>
          <w:rFonts w:ascii="Arial" w:eastAsia="Arial" w:hAnsi="Arial" w:cs="Arial"/>
          <w:kern w:val="0"/>
          <w:lang w:val="en-GB"/>
          <w14:ligatures w14:val="none"/>
        </w:rPr>
        <w:br w:type="page"/>
      </w:r>
    </w:p>
    <w:sdt>
      <w:sdtPr>
        <w:rPr>
          <w:rFonts w:ascii="Arial" w:eastAsia="Arial" w:hAnsi="Arial" w:cs="Arial"/>
          <w:b/>
          <w:bCs/>
          <w:kern w:val="0"/>
          <w:sz w:val="28"/>
          <w:szCs w:val="28"/>
          <w:lang w:val="en-GB"/>
          <w14:ligatures w14:val="none"/>
        </w:rPr>
        <w:id w:val="2097360062"/>
        <w:docPartObj>
          <w:docPartGallery w:val="Table of Contents"/>
          <w:docPartUnique/>
        </w:docPartObj>
      </w:sdtPr>
      <w:sdtEndPr>
        <w:rPr>
          <w:noProof/>
          <w:sz w:val="22"/>
          <w:szCs w:val="22"/>
        </w:rPr>
      </w:sdtEndPr>
      <w:sdtContent>
        <w:p w14:paraId="0A52522A" w14:textId="77777777" w:rsidR="00AD41B6" w:rsidRPr="00DA3642" w:rsidRDefault="00AD41B6" w:rsidP="005A006A">
          <w:pPr>
            <w:keepNext/>
            <w:keepLines/>
            <w:spacing w:before="120" w:after="120" w:line="360" w:lineRule="auto"/>
            <w:jc w:val="center"/>
            <w:rPr>
              <w:rFonts w:ascii="Arial" w:eastAsia="Times New Roman" w:hAnsi="Arial" w:cs="Arial"/>
              <w:b/>
              <w:bCs/>
              <w:kern w:val="0"/>
              <w:sz w:val="24"/>
              <w:szCs w:val="24"/>
              <w:lang w:val="en-GB"/>
              <w14:ligatures w14:val="none"/>
            </w:rPr>
          </w:pPr>
          <w:r w:rsidRPr="00DA3642">
            <w:rPr>
              <w:rFonts w:ascii="Arial" w:eastAsia="Times New Roman" w:hAnsi="Arial" w:cs="Arial"/>
              <w:b/>
              <w:bCs/>
              <w:kern w:val="0"/>
              <w:sz w:val="24"/>
              <w:szCs w:val="24"/>
              <w:lang w:val="en-GB"/>
              <w14:ligatures w14:val="none"/>
            </w:rPr>
            <w:t>Table of Contents</w:t>
          </w:r>
        </w:p>
        <w:p w14:paraId="5A7DA190" w14:textId="405CC0FC" w:rsidR="00DA3642" w:rsidRPr="00DA3642" w:rsidRDefault="00AD41B6">
          <w:pPr>
            <w:pStyle w:val="TOC1"/>
            <w:tabs>
              <w:tab w:val="right" w:leader="dot" w:pos="9019"/>
            </w:tabs>
            <w:rPr>
              <w:rFonts w:ascii="Arial" w:eastAsiaTheme="minorEastAsia" w:hAnsi="Arial" w:cs="Arial"/>
              <w:noProof/>
              <w:kern w:val="0"/>
              <w:lang w:val="en-US"/>
              <w14:ligatures w14:val="none"/>
            </w:rPr>
          </w:pPr>
          <w:r w:rsidRPr="00DA3642">
            <w:rPr>
              <w:rFonts w:ascii="Arial" w:eastAsia="Arial" w:hAnsi="Arial" w:cs="Arial"/>
              <w:kern w:val="0"/>
              <w:lang w:val="en-GB"/>
              <w14:ligatures w14:val="none"/>
            </w:rPr>
            <w:fldChar w:fldCharType="begin"/>
          </w:r>
          <w:r w:rsidRPr="00DA3642">
            <w:rPr>
              <w:rFonts w:ascii="Arial" w:eastAsia="Arial" w:hAnsi="Arial" w:cs="Arial"/>
              <w:kern w:val="0"/>
              <w:lang w:val="en-GB"/>
              <w14:ligatures w14:val="none"/>
            </w:rPr>
            <w:instrText xml:space="preserve"> TOC \o "1-3" \h \z \u </w:instrText>
          </w:r>
          <w:r w:rsidRPr="00DA3642">
            <w:rPr>
              <w:rFonts w:ascii="Arial" w:eastAsia="Arial" w:hAnsi="Arial" w:cs="Arial"/>
              <w:kern w:val="0"/>
              <w:lang w:val="en-GB"/>
              <w14:ligatures w14:val="none"/>
            </w:rPr>
            <w:fldChar w:fldCharType="separate"/>
          </w:r>
          <w:hyperlink w:anchor="_Toc226575239" w:history="1">
            <w:r w:rsidR="00DA3642" w:rsidRPr="00DA3642">
              <w:rPr>
                <w:rStyle w:val="Hyperlink"/>
                <w:rFonts w:ascii="Arial" w:eastAsia="Arial" w:hAnsi="Arial" w:cs="Arial"/>
                <w:noProof/>
                <w:lang w:val="en-GB"/>
              </w:rPr>
              <w:t>1. Introduction</w:t>
            </w:r>
            <w:r w:rsidR="00DA3642" w:rsidRPr="00DA3642">
              <w:rPr>
                <w:rFonts w:ascii="Arial" w:hAnsi="Arial" w:cs="Arial"/>
                <w:noProof/>
                <w:webHidden/>
              </w:rPr>
              <w:tab/>
            </w:r>
            <w:r w:rsidR="00DA3642" w:rsidRPr="00DA3642">
              <w:rPr>
                <w:rFonts w:ascii="Arial" w:hAnsi="Arial" w:cs="Arial"/>
                <w:noProof/>
                <w:webHidden/>
              </w:rPr>
              <w:fldChar w:fldCharType="begin"/>
            </w:r>
            <w:r w:rsidR="00DA3642" w:rsidRPr="00DA3642">
              <w:rPr>
                <w:rFonts w:ascii="Arial" w:hAnsi="Arial" w:cs="Arial"/>
                <w:noProof/>
                <w:webHidden/>
              </w:rPr>
              <w:instrText xml:space="preserve"> PAGEREF _Toc226575239 \h </w:instrText>
            </w:r>
            <w:r w:rsidR="00DA3642" w:rsidRPr="00DA3642">
              <w:rPr>
                <w:rFonts w:ascii="Arial" w:hAnsi="Arial" w:cs="Arial"/>
                <w:noProof/>
                <w:webHidden/>
              </w:rPr>
            </w:r>
            <w:r w:rsidR="00DA3642" w:rsidRPr="00DA3642">
              <w:rPr>
                <w:rFonts w:ascii="Arial" w:hAnsi="Arial" w:cs="Arial"/>
                <w:noProof/>
                <w:webHidden/>
              </w:rPr>
              <w:fldChar w:fldCharType="separate"/>
            </w:r>
            <w:r w:rsidR="00DA3642" w:rsidRPr="00DA3642">
              <w:rPr>
                <w:rFonts w:ascii="Arial" w:hAnsi="Arial" w:cs="Arial"/>
                <w:noProof/>
                <w:webHidden/>
              </w:rPr>
              <w:t>1</w:t>
            </w:r>
            <w:r w:rsidR="00DA3642" w:rsidRPr="00DA3642">
              <w:rPr>
                <w:rFonts w:ascii="Arial" w:hAnsi="Arial" w:cs="Arial"/>
                <w:noProof/>
                <w:webHidden/>
              </w:rPr>
              <w:fldChar w:fldCharType="end"/>
            </w:r>
          </w:hyperlink>
        </w:p>
        <w:p w14:paraId="20ABFB1D" w14:textId="6BF0071F"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40" w:history="1">
            <w:r w:rsidRPr="00DA3642">
              <w:rPr>
                <w:rStyle w:val="Hyperlink"/>
                <w:rFonts w:ascii="Arial" w:eastAsia="Arial" w:hAnsi="Arial" w:cs="Arial"/>
                <w:noProof/>
                <w:lang w:val="en-GB"/>
              </w:rPr>
              <w:t>2. Context</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_Toc226575240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1</w:t>
            </w:r>
            <w:r w:rsidRPr="00DA3642">
              <w:rPr>
                <w:rFonts w:ascii="Arial" w:hAnsi="Arial" w:cs="Arial"/>
                <w:noProof/>
                <w:webHidden/>
              </w:rPr>
              <w:fldChar w:fldCharType="end"/>
            </w:r>
          </w:hyperlink>
        </w:p>
        <w:p w14:paraId="00CD4D4C" w14:textId="7DA3BC12"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1" w:history="1">
            <w:r w:rsidRPr="00DA3642">
              <w:rPr>
                <w:rStyle w:val="Hyperlink"/>
                <w:rFonts w:ascii="Arial" w:eastAsia="Arial" w:hAnsi="Arial" w:cs="Arial"/>
                <w:noProof/>
                <w:lang w:val="en-GB"/>
              </w:rPr>
              <w:t>2.1 Identifying Needs from the Target Population for Service Integration</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_Toc226575241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1</w:t>
            </w:r>
            <w:r w:rsidRPr="00DA3642">
              <w:rPr>
                <w:rFonts w:ascii="Arial" w:hAnsi="Arial" w:cs="Arial"/>
                <w:noProof/>
                <w:webHidden/>
              </w:rPr>
              <w:fldChar w:fldCharType="end"/>
            </w:r>
          </w:hyperlink>
        </w:p>
        <w:p w14:paraId="5F1B1434" w14:textId="19DC3C2F"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2" w:history="1">
            <w:r w:rsidRPr="00DA3642">
              <w:rPr>
                <w:rStyle w:val="Hyperlink"/>
                <w:rFonts w:ascii="Arial" w:eastAsia="Arial" w:hAnsi="Arial" w:cs="Arial"/>
                <w:noProof/>
                <w:lang w:val="en-GB"/>
              </w:rPr>
              <w:t>2.2 Identifying Opportunities to Address These Needs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_Toc226575242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2</w:t>
            </w:r>
            <w:r w:rsidRPr="00DA3642">
              <w:rPr>
                <w:rFonts w:ascii="Arial" w:hAnsi="Arial" w:cs="Arial"/>
                <w:noProof/>
                <w:webHidden/>
              </w:rPr>
              <w:fldChar w:fldCharType="end"/>
            </w:r>
          </w:hyperlink>
        </w:p>
        <w:p w14:paraId="2CE3068E" w14:textId="3D2A6BDC"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3" w:history="1">
            <w:r w:rsidRPr="00DA3642">
              <w:rPr>
                <w:rStyle w:val="Hyperlink"/>
                <w:rFonts w:ascii="Arial" w:eastAsia="Arial" w:hAnsi="Arial" w:cs="Arial"/>
                <w:noProof/>
                <w:lang w:val="en-GB"/>
              </w:rPr>
              <w:t>2.3 Having Aims and Objectives Responsive to Identified Needs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_Toc226575243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2</w:t>
            </w:r>
            <w:r w:rsidRPr="00DA3642">
              <w:rPr>
                <w:rFonts w:ascii="Arial" w:hAnsi="Arial" w:cs="Arial"/>
                <w:noProof/>
                <w:webHidden/>
              </w:rPr>
              <w:fldChar w:fldCharType="end"/>
            </w:r>
          </w:hyperlink>
        </w:p>
        <w:p w14:paraId="1C7F379A" w14:textId="481F4FB8"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44" w:history="1">
            <w:r w:rsidRPr="00DA3642">
              <w:rPr>
                <w:rStyle w:val="Hyperlink"/>
                <w:rFonts w:ascii="Arial" w:eastAsia="Arial" w:hAnsi="Arial" w:cs="Arial"/>
                <w:noProof/>
                <w:lang w:val="en-GB"/>
              </w:rPr>
              <w:t>3. Input</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_Toc226575244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3</w:t>
            </w:r>
            <w:r w:rsidRPr="00DA3642">
              <w:rPr>
                <w:rFonts w:ascii="Arial" w:hAnsi="Arial" w:cs="Arial"/>
                <w:noProof/>
                <w:webHidden/>
              </w:rPr>
              <w:fldChar w:fldCharType="end"/>
            </w:r>
          </w:hyperlink>
        </w:p>
        <w:p w14:paraId="5784C365" w14:textId="2B4C1034"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5" w:history="1">
            <w:r w:rsidRPr="00DA3642">
              <w:rPr>
                <w:rStyle w:val="Hyperlink"/>
                <w:rFonts w:ascii="Arial" w:eastAsia="Arial" w:hAnsi="Arial" w:cs="Arial"/>
                <w:noProof/>
                <w:lang w:val="en-GB"/>
              </w:rPr>
              <w:t>3.1 Indicating Relevant Partners and Strategies for Integration and Partnership Working</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_Toc226575245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3</w:t>
            </w:r>
            <w:r w:rsidRPr="00DA3642">
              <w:rPr>
                <w:rFonts w:ascii="Arial" w:hAnsi="Arial" w:cs="Arial"/>
                <w:noProof/>
                <w:webHidden/>
              </w:rPr>
              <w:fldChar w:fldCharType="end"/>
            </w:r>
          </w:hyperlink>
        </w:p>
        <w:p w14:paraId="1B48D93A" w14:textId="60501CEB"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6" w:history="1">
            <w:r w:rsidRPr="00DA3642">
              <w:rPr>
                <w:rStyle w:val="Hyperlink"/>
                <w:rFonts w:ascii="Arial" w:eastAsia="Arial" w:hAnsi="Arial" w:cs="Arial"/>
                <w:noProof/>
                <w:lang w:val="en-GB"/>
              </w:rPr>
              <w:t>3.2 The Principles, Concepts and/or Frameworks of Joining Up Health and Social Care Services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_Toc226575246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4</w:t>
            </w:r>
            <w:r w:rsidRPr="00DA3642">
              <w:rPr>
                <w:rFonts w:ascii="Arial" w:hAnsi="Arial" w:cs="Arial"/>
                <w:noProof/>
                <w:webHidden/>
              </w:rPr>
              <w:fldChar w:fldCharType="end"/>
            </w:r>
          </w:hyperlink>
        </w:p>
        <w:p w14:paraId="54C25040" w14:textId="0AE6BE53"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7" w:history="1">
            <w:r w:rsidRPr="00DA3642">
              <w:rPr>
                <w:rStyle w:val="Hyperlink"/>
                <w:rFonts w:ascii="Arial" w:eastAsia="Arial" w:hAnsi="Arial" w:cs="Arial"/>
                <w:noProof/>
                <w:lang w:val="en-GB"/>
              </w:rPr>
              <w:t>3.3 The Need for Human and Material Resources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_Toc226575247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4</w:t>
            </w:r>
            <w:r w:rsidRPr="00DA3642">
              <w:rPr>
                <w:rFonts w:ascii="Arial" w:hAnsi="Arial" w:cs="Arial"/>
                <w:noProof/>
                <w:webHidden/>
              </w:rPr>
              <w:fldChar w:fldCharType="end"/>
            </w:r>
          </w:hyperlink>
        </w:p>
        <w:p w14:paraId="3D8D7A59" w14:textId="09A97B96"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8" w:history="1">
            <w:r w:rsidRPr="00DA3642">
              <w:rPr>
                <w:rStyle w:val="Hyperlink"/>
                <w:rFonts w:ascii="Arial" w:eastAsia="Arial" w:hAnsi="Arial" w:cs="Arial"/>
                <w:noProof/>
                <w:lang w:val="en-GB"/>
              </w:rPr>
              <w:t>3.4 Identifying the Barriers to Achieving Service Integration and Partnership Working</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_Toc226575248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5</w:t>
            </w:r>
            <w:r w:rsidRPr="00DA3642">
              <w:rPr>
                <w:rFonts w:ascii="Arial" w:hAnsi="Arial" w:cs="Arial"/>
                <w:noProof/>
                <w:webHidden/>
              </w:rPr>
              <w:fldChar w:fldCharType="end"/>
            </w:r>
          </w:hyperlink>
        </w:p>
        <w:p w14:paraId="779B6CAA" w14:textId="52B3EB3E"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9" w:history="1">
            <w:r w:rsidRPr="00DA3642">
              <w:rPr>
                <w:rStyle w:val="Hyperlink"/>
                <w:rFonts w:ascii="Arial" w:eastAsia="Arial" w:hAnsi="Arial" w:cs="Arial"/>
                <w:noProof/>
                <w:lang w:val="en-GB"/>
              </w:rPr>
              <w:t>3.5 Providing Recommendations for Alternative Strategies and Solutions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_Toc226575249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6</w:t>
            </w:r>
            <w:r w:rsidRPr="00DA3642">
              <w:rPr>
                <w:rFonts w:ascii="Arial" w:hAnsi="Arial" w:cs="Arial"/>
                <w:noProof/>
                <w:webHidden/>
              </w:rPr>
              <w:fldChar w:fldCharType="end"/>
            </w:r>
          </w:hyperlink>
        </w:p>
        <w:p w14:paraId="20A4A8C6" w14:textId="71314F80"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0" w:history="1">
            <w:r w:rsidRPr="00DA3642">
              <w:rPr>
                <w:rStyle w:val="Hyperlink"/>
                <w:rFonts w:ascii="Arial" w:eastAsia="Arial" w:hAnsi="Arial" w:cs="Arial"/>
                <w:noProof/>
                <w:lang w:val="en-GB"/>
              </w:rPr>
              <w:t>4. Process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_Toc226575250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6</w:t>
            </w:r>
            <w:r w:rsidRPr="00DA3642">
              <w:rPr>
                <w:rFonts w:ascii="Arial" w:hAnsi="Arial" w:cs="Arial"/>
                <w:noProof/>
                <w:webHidden/>
              </w:rPr>
              <w:fldChar w:fldCharType="end"/>
            </w:r>
          </w:hyperlink>
        </w:p>
        <w:p w14:paraId="67EB86E0" w14:textId="5F82B6BC"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1" w:history="1">
            <w:r w:rsidRPr="00DA3642">
              <w:rPr>
                <w:rStyle w:val="Hyperlink"/>
                <w:rFonts w:ascii="Arial" w:eastAsia="Arial" w:hAnsi="Arial" w:cs="Arial"/>
                <w:noProof/>
                <w:lang w:val="en-GB"/>
              </w:rPr>
              <w:t>4.1 Working as a Group to Achieve Planned Activities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_Toc226575251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6</w:t>
            </w:r>
            <w:r w:rsidRPr="00DA3642">
              <w:rPr>
                <w:rFonts w:ascii="Arial" w:hAnsi="Arial" w:cs="Arial"/>
                <w:noProof/>
                <w:webHidden/>
              </w:rPr>
              <w:fldChar w:fldCharType="end"/>
            </w:r>
          </w:hyperlink>
        </w:p>
        <w:p w14:paraId="51A21C23" w14:textId="22DCFE2F"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2" w:history="1">
            <w:r w:rsidRPr="00DA3642">
              <w:rPr>
                <w:rStyle w:val="Hyperlink"/>
                <w:rFonts w:ascii="Arial" w:eastAsia="Arial" w:hAnsi="Arial" w:cs="Arial"/>
                <w:noProof/>
                <w:lang w:val="en-GB"/>
              </w:rPr>
              <w:t>4.2 The Extent to Which Group Members Accept and Carry Out Roles and Responsibilities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_Toc226575252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7</w:t>
            </w:r>
            <w:r w:rsidRPr="00DA3642">
              <w:rPr>
                <w:rFonts w:ascii="Arial" w:hAnsi="Arial" w:cs="Arial"/>
                <w:noProof/>
                <w:webHidden/>
              </w:rPr>
              <w:fldChar w:fldCharType="end"/>
            </w:r>
          </w:hyperlink>
        </w:p>
        <w:p w14:paraId="531E3F9C" w14:textId="6C651A8B"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3" w:history="1">
            <w:r w:rsidRPr="00DA3642">
              <w:rPr>
                <w:rStyle w:val="Hyperlink"/>
                <w:rFonts w:ascii="Arial" w:eastAsia="Arial" w:hAnsi="Arial" w:cs="Arial"/>
                <w:noProof/>
                <w:lang w:val="en-GB"/>
              </w:rPr>
              <w:t>5. Product</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_Toc226575253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8</w:t>
            </w:r>
            <w:r w:rsidRPr="00DA3642">
              <w:rPr>
                <w:rFonts w:ascii="Arial" w:hAnsi="Arial" w:cs="Arial"/>
                <w:noProof/>
                <w:webHidden/>
              </w:rPr>
              <w:fldChar w:fldCharType="end"/>
            </w:r>
          </w:hyperlink>
        </w:p>
        <w:p w14:paraId="4A7B15CB" w14:textId="7A906072"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4" w:history="1">
            <w:r w:rsidRPr="00DA3642">
              <w:rPr>
                <w:rStyle w:val="Hyperlink"/>
                <w:rFonts w:ascii="Arial" w:eastAsia="Arial" w:hAnsi="Arial" w:cs="Arial"/>
                <w:noProof/>
                <w:lang w:val="en-GB"/>
              </w:rPr>
              <w:t>5.1 Identifying Whether Your Group Task Was Successful</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_Toc226575254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8</w:t>
            </w:r>
            <w:r w:rsidRPr="00DA3642">
              <w:rPr>
                <w:rFonts w:ascii="Arial" w:hAnsi="Arial" w:cs="Arial"/>
                <w:noProof/>
                <w:webHidden/>
              </w:rPr>
              <w:fldChar w:fldCharType="end"/>
            </w:r>
          </w:hyperlink>
        </w:p>
        <w:p w14:paraId="6EFFE994" w14:textId="247DEAAE"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5" w:history="1">
            <w:r w:rsidRPr="00DA3642">
              <w:rPr>
                <w:rStyle w:val="Hyperlink"/>
                <w:rFonts w:ascii="Arial" w:eastAsia="Arial" w:hAnsi="Arial" w:cs="Arial"/>
                <w:noProof/>
                <w:lang w:val="en-GB"/>
              </w:rPr>
              <w:t>5.2 Identifying Relevant Competencies and Skills for HSC Professionals and Steps for Growth</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_Toc226575255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8</w:t>
            </w:r>
            <w:r w:rsidRPr="00DA3642">
              <w:rPr>
                <w:rFonts w:ascii="Arial" w:hAnsi="Arial" w:cs="Arial"/>
                <w:noProof/>
                <w:webHidden/>
              </w:rPr>
              <w:fldChar w:fldCharType="end"/>
            </w:r>
          </w:hyperlink>
        </w:p>
        <w:p w14:paraId="6AB0D4FD" w14:textId="1705559F"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6" w:history="1">
            <w:r w:rsidRPr="00DA3642">
              <w:rPr>
                <w:rStyle w:val="Hyperlink"/>
                <w:rFonts w:ascii="Arial" w:eastAsia="Arial" w:hAnsi="Arial" w:cs="Arial"/>
                <w:noProof/>
                <w:lang w:val="en-GB"/>
              </w:rPr>
              <w:t>6. Conclusion</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_Toc226575256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9</w:t>
            </w:r>
            <w:r w:rsidRPr="00DA3642">
              <w:rPr>
                <w:rFonts w:ascii="Arial" w:hAnsi="Arial" w:cs="Arial"/>
                <w:noProof/>
                <w:webHidden/>
              </w:rPr>
              <w:fldChar w:fldCharType="end"/>
            </w:r>
          </w:hyperlink>
        </w:p>
        <w:p w14:paraId="1CE7E26D" w14:textId="7915EC03"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7" w:history="1">
            <w:r w:rsidRPr="00DA3642">
              <w:rPr>
                <w:rStyle w:val="Hyperlink"/>
                <w:rFonts w:ascii="Arial" w:eastAsia="Arial" w:hAnsi="Arial" w:cs="Arial"/>
                <w:noProof/>
                <w:lang w:val="en-GB"/>
              </w:rPr>
              <w:t>References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_Toc226575257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11</w:t>
            </w:r>
            <w:r w:rsidRPr="00DA3642">
              <w:rPr>
                <w:rFonts w:ascii="Arial" w:hAnsi="Arial" w:cs="Arial"/>
                <w:noProof/>
                <w:webHidden/>
              </w:rPr>
              <w:fldChar w:fldCharType="end"/>
            </w:r>
          </w:hyperlink>
        </w:p>
        <w:p w14:paraId="6E45D7AC" w14:textId="06E63463" w:rsidR="00AD41B6" w:rsidRPr="00641000" w:rsidRDefault="00AD41B6" w:rsidP="005A006A">
          <w:pPr>
            <w:spacing w:before="120" w:after="120" w:line="360" w:lineRule="auto"/>
            <w:jc w:val="both"/>
            <w:rPr>
              <w:rFonts w:ascii="Arial" w:eastAsia="Arial" w:hAnsi="Arial" w:cs="Arial"/>
              <w:kern w:val="0"/>
              <w:lang w:val="en-GB"/>
              <w14:ligatures w14:val="none"/>
            </w:rPr>
          </w:pPr>
          <w:r w:rsidRPr="00DA3642">
            <w:rPr>
              <w:rFonts w:ascii="Arial" w:eastAsia="Arial" w:hAnsi="Arial" w:cs="Arial"/>
              <w:noProof/>
              <w:kern w:val="0"/>
              <w:lang w:val="en-GB"/>
              <w14:ligatures w14:val="none"/>
            </w:rPr>
            <w:fldChar w:fldCharType="end"/>
          </w:r>
        </w:p>
      </w:sdtContent>
    </w:sdt>
    <w:p w14:paraId="086FC764" w14:textId="77777777" w:rsidR="00AD41B6" w:rsidRPr="00641000" w:rsidRDefault="00AD41B6" w:rsidP="005A006A">
      <w:pPr>
        <w:spacing w:before="120" w:after="120" w:line="360" w:lineRule="auto"/>
        <w:jc w:val="both"/>
        <w:rPr>
          <w:rFonts w:ascii="Arial" w:eastAsia="Arial" w:hAnsi="Arial" w:cs="Arial"/>
          <w:b/>
          <w:bCs/>
          <w:kern w:val="0"/>
          <w:lang w:val="en-GB"/>
          <w14:ligatures w14:val="none"/>
        </w:rPr>
      </w:pPr>
      <w:r w:rsidRPr="00641000">
        <w:rPr>
          <w:rFonts w:ascii="Arial" w:eastAsia="Arial" w:hAnsi="Arial" w:cs="Arial"/>
          <w:kern w:val="0"/>
          <w:lang w:val="en-GB"/>
          <w14:ligatures w14:val="none"/>
        </w:rPr>
        <w:br w:type="page"/>
      </w:r>
    </w:p>
    <w:p w14:paraId="4340FC01"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sectPr w:rsidR="00AD41B6" w:rsidRPr="00641000" w:rsidSect="00AD41B6">
          <w:footerReference w:type="default" r:id="rId6"/>
          <w:pgSz w:w="11909" w:h="16834"/>
          <w:pgMar w:top="1440" w:right="1440" w:bottom="1440" w:left="1440" w:header="720" w:footer="720" w:gutter="0"/>
          <w:pgNumType w:fmt="lowerRoman" w:start="1"/>
          <w:cols w:space="720"/>
          <w:titlePg/>
          <w:docGrid w:linePitch="299"/>
        </w:sectPr>
      </w:pPr>
    </w:p>
    <w:p w14:paraId="2F108071"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0" w:name="_Toc226575239"/>
      <w:r w:rsidRPr="00641000">
        <w:rPr>
          <w:rFonts w:ascii="Arial" w:eastAsia="Arial" w:hAnsi="Arial" w:cs="Arial"/>
          <w:b/>
          <w:bCs/>
          <w:kern w:val="0"/>
          <w:lang w:val="en-GB"/>
          <w14:ligatures w14:val="none"/>
        </w:rPr>
        <w:lastRenderedPageBreak/>
        <w:t>1. Introduction</w:t>
      </w:r>
      <w:bookmarkEnd w:id="0"/>
    </w:p>
    <w:p w14:paraId="271C2CDE" w14:textId="6857314C" w:rsidR="00AD41B6" w:rsidRPr="00974CCE" w:rsidRDefault="00EE3B18"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When different healthcare services are coordinated at an organisational level, especially through the engagement of multidisciplinary teams, it is recognised as service integration; however, when different healthcare organisations work together to benefit from their pooled resources and expertise to deliver better healthcare services to service users, it constitutes partnership working (Nuffield Trust, 2021; Sheehy, 2017). Centring this understanding, the purpose of this report is to reflect on my learning, group work, and application to practice, particularly in relation to integrated responses to complex public health issues such as drug and alcohol misuse. In this context, I also find it important to highlight th</w:t>
      </w:r>
      <w:r w:rsidR="00974CCE">
        <w:rPr>
          <w:rFonts w:ascii="Arial" w:eastAsia="Arial" w:hAnsi="Arial" w:cs="Arial"/>
          <w:kern w:val="0"/>
          <w:lang w:val="en-GB"/>
          <w14:ligatures w14:val="none"/>
        </w:rPr>
        <w:t xml:space="preserve">ose </w:t>
      </w:r>
      <w:r w:rsidRPr="00974CCE">
        <w:rPr>
          <w:rFonts w:ascii="Arial" w:eastAsia="Arial" w:hAnsi="Arial" w:cs="Arial"/>
          <w:kern w:val="0"/>
          <w:lang w:val="en-GB"/>
          <w14:ligatures w14:val="none"/>
        </w:rPr>
        <w:t>certain relevant theoretical frameworks, including ICS and person-centred care, are utilised while writing this reflective account.</w:t>
      </w:r>
    </w:p>
    <w:p w14:paraId="7EF214DD"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1" w:name="_kz5d8k24g5ok" w:colFirst="0" w:colLast="0"/>
      <w:bookmarkStart w:id="2" w:name="_Toc226575240"/>
      <w:bookmarkEnd w:id="1"/>
      <w:r w:rsidRPr="00641000">
        <w:rPr>
          <w:rFonts w:ascii="Arial" w:eastAsia="Arial" w:hAnsi="Arial" w:cs="Arial"/>
          <w:b/>
          <w:bCs/>
          <w:kern w:val="0"/>
          <w:lang w:val="en-GB"/>
          <w14:ligatures w14:val="none"/>
        </w:rPr>
        <w:t>2. Context</w:t>
      </w:r>
      <w:bookmarkEnd w:id="2"/>
    </w:p>
    <w:p w14:paraId="281768C9"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3" w:name="_qt07r711ryz6" w:colFirst="0" w:colLast="0"/>
      <w:bookmarkStart w:id="4" w:name="_Toc226575241"/>
      <w:bookmarkEnd w:id="3"/>
      <w:r w:rsidRPr="00641000">
        <w:rPr>
          <w:rFonts w:ascii="Arial" w:eastAsia="Arial" w:hAnsi="Arial" w:cs="Arial"/>
          <w:b/>
          <w:bCs/>
          <w:kern w:val="0"/>
          <w:lang w:val="en-GB"/>
          <w14:ligatures w14:val="none"/>
        </w:rPr>
        <w:t>2.1 Identifying Needs from the Target Population for Service Integration</w:t>
      </w:r>
      <w:bookmarkEnd w:id="4"/>
    </w:p>
    <w:p w14:paraId="251B9C4C" w14:textId="7945681C" w:rsidR="00AD41B6" w:rsidRPr="00974CCE" w:rsidRDefault="00601654"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The specific population that I focused on here is adults experiencing drug and alcohol misuse in the City of Westminster, particularly those facing multiple disadvantages such as homelessness and mental ill health. According to local Joint Strategic Needs Assessment data, approximately 14,600 individuals in Westminster are affected by substance misuse, with a significant proportion linked to alcohol and drug dependency, while around 7,000 residents are considered at high risk of drug dependence (Westminster City Council, 2024). In relation to this, substance misuse remains strongly associated with homelessness, where more than half of individuals experiencing homelessness are dependent on drugs or alcohol, highlighting the severity of the issue among vulnerable populations (NHS, 2022; Westminster City Council, 2024). Moreover, fragmented service provision across health, social care, and housing services contributes to poor engagement and repeated crisis intervention, placing significant pressure on emergency healthcare services (Westminster City Council, 2024). The situation justifies the need for an integrated healthcare service.</w:t>
      </w:r>
    </w:p>
    <w:p w14:paraId="2F47C8B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5" w:name="_zby73i6w0y4a" w:colFirst="0" w:colLast="0"/>
      <w:bookmarkStart w:id="6" w:name="_Toc226575242"/>
      <w:bookmarkEnd w:id="5"/>
      <w:r w:rsidRPr="00641000">
        <w:rPr>
          <w:rFonts w:ascii="Arial" w:eastAsia="Arial" w:hAnsi="Arial" w:cs="Arial"/>
          <w:b/>
          <w:bCs/>
          <w:kern w:val="0"/>
          <w:lang w:val="en-GB"/>
          <w14:ligatures w14:val="none"/>
        </w:rPr>
        <w:lastRenderedPageBreak/>
        <w:t>2.2 Identifying Opportunities to Address These Needs</w:t>
      </w:r>
      <w:bookmarkEnd w:id="6"/>
    </w:p>
    <w:p w14:paraId="6FEB8AF6" w14:textId="665F3886" w:rsidR="00AD41B6" w:rsidRPr="00641000" w:rsidRDefault="00992388"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noProof/>
          <w:kern w:val="0"/>
          <w:lang w:val="en-GB"/>
          <w14:ligatures w14:val="none"/>
        </w:rPr>
        <w:drawing>
          <wp:inline distT="0" distB="0" distL="0" distR="0" wp14:anchorId="6E085D38" wp14:editId="0ED821D5">
            <wp:extent cx="3324860" cy="2047875"/>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6950" b="10033"/>
                    <a:stretch/>
                  </pic:blipFill>
                  <pic:spPr bwMode="auto">
                    <a:xfrm>
                      <a:off x="0" y="0"/>
                      <a:ext cx="3327279" cy="2049365"/>
                    </a:xfrm>
                    <a:prstGeom prst="rect">
                      <a:avLst/>
                    </a:prstGeom>
                    <a:ln>
                      <a:noFill/>
                    </a:ln>
                    <a:extLst>
                      <a:ext uri="{53640926-AAD7-44D8-BBD7-CCE9431645EC}">
                        <a14:shadowObscured xmlns:a14="http://schemas.microsoft.com/office/drawing/2010/main"/>
                      </a:ext>
                    </a:extLst>
                  </pic:spPr>
                </pic:pic>
              </a:graphicData>
            </a:graphic>
          </wp:inline>
        </w:drawing>
      </w:r>
    </w:p>
    <w:p w14:paraId="3A3EFCF3" w14:textId="17B2CC9A" w:rsidR="00AD41B6" w:rsidRPr="00641000" w:rsidRDefault="00AD41B6" w:rsidP="005A006A">
      <w:pPr>
        <w:spacing w:before="120" w:after="120" w:line="360" w:lineRule="auto"/>
        <w:jc w:val="center"/>
        <w:rPr>
          <w:rFonts w:ascii="Arial" w:eastAsia="Arial" w:hAnsi="Arial" w:cs="Arial"/>
          <w:b/>
          <w:bCs/>
          <w:kern w:val="0"/>
          <w:lang w:val="en-GB"/>
          <w14:ligatures w14:val="none"/>
        </w:rPr>
      </w:pPr>
      <w:r w:rsidRPr="00641000">
        <w:rPr>
          <w:rFonts w:ascii="Arial" w:eastAsia="Arial" w:hAnsi="Arial" w:cs="Arial"/>
          <w:b/>
          <w:bCs/>
          <w:kern w:val="0"/>
          <w:lang w:val="en-GB"/>
          <w14:ligatures w14:val="none"/>
        </w:rPr>
        <w:t>Figure 1: Triple Aim Model</w:t>
      </w:r>
    </w:p>
    <w:p w14:paraId="1D7ABA3D"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kern w:val="0"/>
          <w:lang w:val="en-GB"/>
          <w14:ligatures w14:val="none"/>
        </w:rPr>
        <w:t>(Source: Self-created)</w:t>
      </w:r>
    </w:p>
    <w:p w14:paraId="08478656" w14:textId="4F71B0F7" w:rsidR="00AD41B6" w:rsidRPr="00974CCE" w:rsidRDefault="00AE5DEC"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My identification of the present healthcare needs above suggests that enhancing the quality of care and service user experience, improving population health outcomes, and increasing efficiency by reducing per capita healthcare costs should be the top three priorities (Miller and Baumgartner, 2016). These priorities align with the Triple Aim framework, which underpins integrated care and emphasises the need for balanced improvements across systems. Hence, it is important to construct a community-based care approach for vulnerable populations in Westminster experiencing drug and alcohol misuse</w:t>
      </w:r>
      <w:r w:rsidR="0056720B" w:rsidRPr="00974CCE">
        <w:rPr>
          <w:rFonts w:ascii="Arial" w:eastAsia="Arial" w:hAnsi="Arial" w:cs="Arial"/>
          <w:kern w:val="0"/>
          <w:lang w:val="en-GB"/>
          <w14:ligatures w14:val="none"/>
        </w:rPr>
        <w:t xml:space="preserve"> (Kokko, 2022)</w:t>
      </w:r>
      <w:r w:rsidRPr="00974CCE">
        <w:rPr>
          <w:rFonts w:ascii="Arial" w:eastAsia="Arial" w:hAnsi="Arial" w:cs="Arial"/>
          <w:kern w:val="0"/>
          <w:lang w:val="en-GB"/>
          <w14:ligatures w14:val="none"/>
        </w:rPr>
        <w:t>. To achieve that, it is essential to introduce outreach-based and community support services, including multidisciplinary teams and coordinated case management, that are equipped to deliver integrated support in community settings, contributing to the overall reduction of hospitalisation and crisis interventions. While this approach can help overcome fragmented healthcare challenges, preventative interventions through multi-agency collaboration can also reduce the risk of relapse and repeated crisis service use among individuals with substance misuse issues. Furthermore, such integrated approaches can enhance continuity of care, promote early intervention, and reduce unnecessary duplication of services, thereby supporting long-term system sustainability.</w:t>
      </w:r>
    </w:p>
    <w:p w14:paraId="3AF9525B"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7" w:name="_qjxf0getk9l5" w:colFirst="0" w:colLast="0"/>
      <w:bookmarkStart w:id="8" w:name="_Toc226575243"/>
      <w:bookmarkEnd w:id="7"/>
      <w:r w:rsidRPr="00641000">
        <w:rPr>
          <w:rFonts w:ascii="Arial" w:eastAsia="Arial" w:hAnsi="Arial" w:cs="Arial"/>
          <w:b/>
          <w:bCs/>
          <w:kern w:val="0"/>
          <w:lang w:val="en-GB"/>
          <w14:ligatures w14:val="none"/>
        </w:rPr>
        <w:t>2.3 Having Aims and Objectives Responsive to Identified Needs</w:t>
      </w:r>
      <w:bookmarkEnd w:id="8"/>
    </w:p>
    <w:p w14:paraId="09D940FB" w14:textId="62FBC46B" w:rsidR="00AD41B6" w:rsidRPr="00974CCE" w:rsidRDefault="008718C5"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 xml:space="preserve">With the identification of healthcare needs and the opportunities to contribute to them, I now recognise the importance of having realistic and measurable aims and objectives to formulate a responsive healthcare system for the population. Contextually, Davis, Schoenbaum and Audet (2005) underscored that ensuring access to care, informing and educating service users and their families, coordinating care, and securing seamless transitions between different health and social care settings are of utmost importance. Hence, considering the present </w:t>
      </w:r>
      <w:r w:rsidRPr="00974CCE">
        <w:rPr>
          <w:rFonts w:ascii="Arial" w:eastAsia="Arial" w:hAnsi="Arial" w:cs="Arial"/>
          <w:kern w:val="0"/>
          <w:lang w:val="en-GB"/>
          <w14:ligatures w14:val="none"/>
        </w:rPr>
        <w:lastRenderedPageBreak/>
        <w:t>healthcare needs of the population, I realised that informing and educating individuals affected by drug and alcohol misuse and their families can improve the overall quality of their lives, while coordinated efforts through integrated multidisciplinary teams and outreach-based community services cannot only enhance care coordination and continuity across services, but also can facilitate engagement with treatment, recovery support, and community-based care, further reducing hospital admissions and repeated crisis interventions.</w:t>
      </w:r>
    </w:p>
    <w:p w14:paraId="6E9EA171"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9" w:name="_9xbns6bakpl1" w:colFirst="0" w:colLast="0"/>
      <w:bookmarkStart w:id="10" w:name="_Toc226575244"/>
      <w:bookmarkEnd w:id="9"/>
      <w:r w:rsidRPr="00641000">
        <w:rPr>
          <w:rFonts w:ascii="Arial" w:eastAsia="Arial" w:hAnsi="Arial" w:cs="Arial"/>
          <w:b/>
          <w:bCs/>
          <w:kern w:val="0"/>
          <w:lang w:val="en-GB"/>
          <w14:ligatures w14:val="none"/>
        </w:rPr>
        <w:t>3. Input</w:t>
      </w:r>
      <w:bookmarkEnd w:id="10"/>
    </w:p>
    <w:p w14:paraId="56A45819"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1" w:name="_np2ptd56rk2e" w:colFirst="0" w:colLast="0"/>
      <w:bookmarkStart w:id="12" w:name="_Toc226575245"/>
      <w:bookmarkEnd w:id="11"/>
      <w:r w:rsidRPr="00641000">
        <w:rPr>
          <w:rFonts w:ascii="Arial" w:eastAsia="Arial" w:hAnsi="Arial" w:cs="Arial"/>
          <w:b/>
          <w:bCs/>
          <w:kern w:val="0"/>
          <w:lang w:val="en-GB"/>
          <w14:ligatures w14:val="none"/>
        </w:rPr>
        <w:t>3.1 Indicating Relevant Partners and Strategies for Integration and Partnership Working</w:t>
      </w:r>
      <w:bookmarkEnd w:id="12"/>
    </w:p>
    <w:p w14:paraId="79D48E38" w14:textId="0C5AC24A" w:rsidR="00AD41B6" w:rsidRPr="00641000" w:rsidRDefault="0021361A"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The discussion up to this point makes it clear to me that a shared care planning strategy, involving </w:t>
      </w:r>
      <w:r w:rsidRPr="00974CCE">
        <w:rPr>
          <w:rFonts w:ascii="Arial" w:eastAsia="Arial" w:hAnsi="Arial" w:cs="Arial"/>
          <w:kern w:val="0"/>
          <w:lang w:val="en-GB"/>
          <w14:ligatures w14:val="none"/>
        </w:rPr>
        <w:t>drug and alcohol treatment services, mental health services, housing and homelessness services, and social care, can help materialise service integration and partnership working to deliver better outcomes for vulnerable populations in Westminster experiencing substance misuse. In such a situation, it is important to conduct regular multi-disciplinary meetings among the involved stakeholders to deliver integrated care and coordinated support.</w:t>
      </w:r>
    </w:p>
    <w:p w14:paraId="6A61040F" w14:textId="77777777"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b/>
          <w:bCs/>
          <w:kern w:val="0"/>
          <w:lang w:val="en-GB"/>
          <w14:ligatures w14:val="none"/>
        </w:rPr>
        <w:t xml:space="preserve">General Practitioners </w:t>
      </w:r>
      <w:r w:rsidRPr="00641000">
        <w:rPr>
          <w:rFonts w:ascii="Arial" w:eastAsia="Arial" w:hAnsi="Arial" w:cs="Arial"/>
          <w:kern w:val="0"/>
          <w:lang w:val="en-GB"/>
          <w14:ligatures w14:val="none"/>
        </w:rPr>
        <w:t>- General practitioners, often posted at community health centres, can help with making decisions on sequential prioritisation of the health issues to be tackled (Mash, Gaede and Hugo, 2021).</w:t>
      </w:r>
    </w:p>
    <w:p w14:paraId="26E5AE42" w14:textId="6231BB0D"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b/>
          <w:bCs/>
          <w:kern w:val="0"/>
          <w:lang w:val="en-GB"/>
          <w14:ligatures w14:val="none"/>
        </w:rPr>
        <w:t xml:space="preserve">Social Worker </w:t>
      </w:r>
      <w:r w:rsidRPr="00641000">
        <w:rPr>
          <w:rFonts w:ascii="Arial" w:eastAsia="Arial" w:hAnsi="Arial" w:cs="Arial"/>
          <w:kern w:val="0"/>
          <w:lang w:val="en-GB"/>
          <w14:ligatures w14:val="none"/>
        </w:rPr>
        <w:t xml:space="preserve">- Sharing vision of integrated care with the key partner, social workers, allows for healthcare advocacy, delivering healthcare education, and conducting routine social needs screening as a preventive measure for </w:t>
      </w:r>
      <w:r w:rsidR="006E233B">
        <w:rPr>
          <w:rFonts w:ascii="Arial" w:eastAsia="Arial" w:hAnsi="Arial" w:cs="Arial"/>
          <w:kern w:val="0"/>
          <w:lang w:val="en-GB"/>
          <w14:ligatures w14:val="none"/>
        </w:rPr>
        <w:t>healthcare needs</w:t>
      </w:r>
      <w:r w:rsidRPr="00641000">
        <w:rPr>
          <w:rFonts w:ascii="Arial" w:eastAsia="Arial" w:hAnsi="Arial" w:cs="Arial"/>
          <w:kern w:val="0"/>
          <w:lang w:val="en-GB"/>
          <w14:ligatures w14:val="none"/>
        </w:rPr>
        <w:t xml:space="preserve"> (Noel </w:t>
      </w:r>
      <w:r w:rsidRPr="00641000">
        <w:rPr>
          <w:rFonts w:ascii="Arial" w:eastAsia="Arial" w:hAnsi="Arial" w:cs="Arial"/>
          <w:i/>
          <w:iCs/>
          <w:kern w:val="0"/>
          <w:lang w:val="en-GB"/>
          <w14:ligatures w14:val="none"/>
        </w:rPr>
        <w:t>et al</w:t>
      </w:r>
      <w:r w:rsidRPr="00641000">
        <w:rPr>
          <w:rFonts w:ascii="Arial" w:eastAsia="Arial" w:hAnsi="Arial" w:cs="Arial"/>
          <w:kern w:val="0"/>
          <w:lang w:val="en-GB"/>
          <w14:ligatures w14:val="none"/>
        </w:rPr>
        <w:t>., 2022).</w:t>
      </w:r>
    </w:p>
    <w:p w14:paraId="545AE8A6" w14:textId="7F5F89C1"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b/>
          <w:bCs/>
          <w:kern w:val="0"/>
          <w:lang w:val="en-GB"/>
          <w14:ligatures w14:val="none"/>
        </w:rPr>
        <w:t xml:space="preserve">Community Nurse </w:t>
      </w:r>
      <w:r w:rsidRPr="00641000">
        <w:rPr>
          <w:rFonts w:ascii="Arial" w:eastAsia="Arial" w:hAnsi="Arial" w:cs="Arial"/>
          <w:kern w:val="0"/>
          <w:lang w:val="en-GB"/>
          <w14:ligatures w14:val="none"/>
        </w:rPr>
        <w:t xml:space="preserve">- Integrating community nurses is important to the commissioned healthcare services because </w:t>
      </w:r>
      <w:r w:rsidR="006E233B">
        <w:rPr>
          <w:rFonts w:ascii="Arial" w:eastAsia="Arial" w:hAnsi="Arial" w:cs="Arial"/>
          <w:kern w:val="0"/>
          <w:lang w:val="en-GB"/>
          <w14:ligatures w14:val="none"/>
        </w:rPr>
        <w:t>t</w:t>
      </w:r>
      <w:r w:rsidR="006E233B" w:rsidRPr="006E233B">
        <w:rPr>
          <w:rFonts w:ascii="Arial" w:eastAsia="Arial" w:hAnsi="Arial" w:cs="Arial"/>
          <w:kern w:val="0"/>
          <w:lang w:val="en-GB"/>
          <w14:ligatures w14:val="none"/>
        </w:rPr>
        <w:t>hey support assessment, care coordination, and engagement with service users</w:t>
      </w:r>
      <w:r w:rsidRPr="00641000">
        <w:rPr>
          <w:rFonts w:ascii="Arial" w:eastAsia="Arial" w:hAnsi="Arial" w:cs="Arial"/>
          <w:kern w:val="0"/>
          <w:lang w:val="en-GB"/>
          <w14:ligatures w14:val="none"/>
        </w:rPr>
        <w:t>, and support informal caregivers with relevant advice (de Leede-</w:t>
      </w:r>
      <w:proofErr w:type="spellStart"/>
      <w:r w:rsidRPr="00641000">
        <w:rPr>
          <w:rFonts w:ascii="Arial" w:eastAsia="Arial" w:hAnsi="Arial" w:cs="Arial"/>
          <w:kern w:val="0"/>
          <w:lang w:val="en-GB"/>
          <w14:ligatures w14:val="none"/>
        </w:rPr>
        <w:t>Brunsveld</w:t>
      </w:r>
      <w:proofErr w:type="spellEnd"/>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et al</w:t>
      </w:r>
      <w:r w:rsidRPr="00641000">
        <w:rPr>
          <w:rFonts w:ascii="Arial" w:eastAsia="Arial" w:hAnsi="Arial" w:cs="Arial"/>
          <w:kern w:val="0"/>
          <w:lang w:val="en-GB"/>
          <w14:ligatures w14:val="none"/>
        </w:rPr>
        <w:t>., 2023).</w:t>
      </w:r>
    </w:p>
    <w:p w14:paraId="0632A744"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3" w:name="_dowusblngo7o" w:colFirst="0" w:colLast="0"/>
      <w:bookmarkStart w:id="14" w:name="_Toc226575246"/>
      <w:bookmarkEnd w:id="13"/>
      <w:r w:rsidRPr="00641000">
        <w:rPr>
          <w:rFonts w:ascii="Arial" w:eastAsia="Arial" w:hAnsi="Arial" w:cs="Arial"/>
          <w:b/>
          <w:bCs/>
          <w:kern w:val="0"/>
          <w:lang w:val="en-GB"/>
          <w14:ligatures w14:val="none"/>
        </w:rPr>
        <w:t>3.2 The Principles, Concepts and/or Frameworks of Joining Up Health and Social Care Services</w:t>
      </w:r>
      <w:bookmarkEnd w:id="14"/>
    </w:p>
    <w:p w14:paraId="429C9D97"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Integrated Care Systems</w:t>
      </w:r>
      <w:r w:rsidRPr="003A6F80">
        <w:rPr>
          <w:rFonts w:ascii="Arial" w:eastAsia="Arial" w:hAnsi="Arial" w:cs="Arial"/>
          <w:kern w:val="0"/>
          <w:lang w:val="en-GB"/>
          <w14:ligatures w14:val="none"/>
        </w:rPr>
        <w:t xml:space="preserve"> - In the context of healthcare delivery, integrated care systems often refer to the integration of those healthcare delivery systems that otherwise operate in an unconnected manner (Glasby and Dickinson, 2014). In the context of Westminster, where substance misuse is closely linked with homelessness and mental health needs, the </w:t>
      </w:r>
      <w:r w:rsidRPr="003A6F80">
        <w:rPr>
          <w:rFonts w:ascii="Arial" w:eastAsia="Arial" w:hAnsi="Arial" w:cs="Arial"/>
          <w:b/>
          <w:bCs/>
          <w:kern w:val="0"/>
          <w:lang w:val="en-GB"/>
          <w14:ligatures w14:val="none"/>
        </w:rPr>
        <w:t>ICS framework</w:t>
      </w:r>
      <w:r w:rsidRPr="003A6F80">
        <w:rPr>
          <w:rFonts w:ascii="Arial" w:eastAsia="Arial" w:hAnsi="Arial" w:cs="Arial"/>
          <w:kern w:val="0"/>
          <w:lang w:val="en-GB"/>
          <w14:ligatures w14:val="none"/>
        </w:rPr>
        <w:t xml:space="preserve"> enables coordination between NHS services, local authorities, and community organisations to deliver more effective and joined-up care. For the target population experiencing drug and alcohol misuse, deployment of the integrated care system framework </w:t>
      </w:r>
      <w:r w:rsidRPr="003A6F80">
        <w:rPr>
          <w:rFonts w:ascii="Arial" w:eastAsia="Arial" w:hAnsi="Arial" w:cs="Arial"/>
          <w:kern w:val="0"/>
          <w:lang w:val="en-GB"/>
          <w14:ligatures w14:val="none"/>
        </w:rPr>
        <w:lastRenderedPageBreak/>
        <w:t>can align healthcare, housing, and social services across organisations for improved community-based outcomes.</w:t>
      </w:r>
    </w:p>
    <w:p w14:paraId="0D5686B2"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Person-centred Care</w:t>
      </w:r>
      <w:r w:rsidRPr="003A6F80">
        <w:rPr>
          <w:rFonts w:ascii="Arial" w:eastAsia="Arial" w:hAnsi="Arial" w:cs="Arial"/>
          <w:kern w:val="0"/>
          <w:lang w:val="en-GB"/>
          <w14:ligatures w14:val="none"/>
        </w:rPr>
        <w:t xml:space="preserve"> - Person-centred care is about prioritising the needs of service users during the planning and delivery of healthcare services (National Voices, 2023). From this information, I understand that delivering person-centred care can significantly vary between individuals due to their complex and overlapping needs, particularly in cases of substance misuse where individuals may experience homelessness, mental ill health, and social exclusion. This complexity makes it difficult to deliver standardised care and requires flexible, tailored approaches to avoid superficial service delivery.</w:t>
      </w:r>
    </w:p>
    <w:p w14:paraId="6626386E" w14:textId="3A1FEDEF"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Logic Model of Integrated Care</w:t>
      </w:r>
      <w:r w:rsidRPr="003A6F80">
        <w:rPr>
          <w:rFonts w:ascii="Arial" w:eastAsia="Arial" w:hAnsi="Arial" w:cs="Arial"/>
          <w:kern w:val="0"/>
          <w:lang w:val="en-GB"/>
          <w14:ligatures w14:val="none"/>
        </w:rPr>
        <w:t xml:space="preserve"> - This framework enables joining up health and social care services by constituting pooled resources, including an integrated workforce, which supports joint assessment and coordinated care planning by multidisciplinary teams. In the context of substance misuse services in Westminster, the inputs include multi-agency partners and resources, the activities involve outreach, case management, and multidisciplinary collaboration, and the outputs include improved engagement and coordinated care pathways. These lead to outcomes such as reduced hospital admissions and improved recovery rates, ultimately contributing to improved population health and reduced inequalities (SCIE, 2024).</w:t>
      </w:r>
    </w:p>
    <w:p w14:paraId="634FD0A4"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5" w:name="_9iihie9budpc" w:colFirst="0" w:colLast="0"/>
      <w:bookmarkStart w:id="16" w:name="_Toc226575247"/>
      <w:bookmarkEnd w:id="15"/>
      <w:r w:rsidRPr="00641000">
        <w:rPr>
          <w:rFonts w:ascii="Arial" w:eastAsia="Arial" w:hAnsi="Arial" w:cs="Arial"/>
          <w:b/>
          <w:bCs/>
          <w:kern w:val="0"/>
          <w:lang w:val="en-GB"/>
          <w14:ligatures w14:val="none"/>
        </w:rPr>
        <w:t>3.3 The Need for Human and Material Resources</w:t>
      </w:r>
      <w:bookmarkEnd w:id="16"/>
    </w:p>
    <w:p w14:paraId="1A0E65D7"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Human Resources</w:t>
      </w:r>
      <w:r w:rsidRPr="003A6F80">
        <w:rPr>
          <w:rFonts w:ascii="Arial" w:eastAsia="Arial" w:hAnsi="Arial" w:cs="Arial"/>
          <w:kern w:val="0"/>
          <w:lang w:val="en-GB"/>
          <w14:ligatures w14:val="none"/>
        </w:rPr>
        <w:t xml:space="preserve"> - In the context of delivering integrated care for individuals affected by drug and alcohol misuse, healthcare and social care professionals need to possess skills in multidisciplinary collaboration, case management, and engagement with vulnerable populations, alongside digital competencies such as electronic health records, telehealth platforms, and data sharing systems (Ferreira et al., 2025). Additionally, outreach workers and peer support staff play a critical role in engaging hard-to-reach individuals and supporting recovery pathways.</w:t>
      </w:r>
    </w:p>
    <w:p w14:paraId="601876E4" w14:textId="7D723EF5"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Material Resources</w:t>
      </w:r>
      <w:r w:rsidRPr="003A6F80">
        <w:rPr>
          <w:rFonts w:ascii="Arial" w:eastAsia="Arial" w:hAnsi="Arial" w:cs="Arial"/>
          <w:kern w:val="0"/>
          <w:lang w:val="en-GB"/>
          <w14:ligatures w14:val="none"/>
        </w:rPr>
        <w:t xml:space="preserve"> - On the other hand, to ensure smooth interoperability of different digital healthcare systems, funding is equally important to ensure that the necessary digital systems are in place, which can assist in delivering integrated services to service users. Investment is also required for housing support, treatment services, and community-based programmes, as well as digital infrastructure that enables real-time information sharing across agencies. Funding is also essential to implement digital training programs, so that appropriate leadership can be developed.</w:t>
      </w:r>
    </w:p>
    <w:p w14:paraId="2595E0A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7" w:name="_bgvy582arxj5" w:colFirst="0" w:colLast="0"/>
      <w:bookmarkStart w:id="18" w:name="_Toc226575248"/>
      <w:bookmarkEnd w:id="17"/>
      <w:r w:rsidRPr="00641000">
        <w:rPr>
          <w:rFonts w:ascii="Arial" w:eastAsia="Arial" w:hAnsi="Arial" w:cs="Arial"/>
          <w:b/>
          <w:bCs/>
          <w:kern w:val="0"/>
          <w:lang w:val="en-GB"/>
          <w14:ligatures w14:val="none"/>
        </w:rPr>
        <w:lastRenderedPageBreak/>
        <w:t>3.4 Identifying the Barriers to Achieving Service Integration and Partnership Working</w:t>
      </w:r>
      <w:bookmarkEnd w:id="18"/>
    </w:p>
    <w:p w14:paraId="4B03ACB9"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Despite the identified benefits, service integration and partnership working often fail at the implementation level for different causes. For example, the use of different systems by general practitioners, housing services, and social workers may cause delayed service provision and referral coordination for individuals experiencing substance misuse. However, there are other factors as well which hinder this achievement, and these are elaborated below.</w:t>
      </w:r>
    </w:p>
    <w:p w14:paraId="6705FFC2"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Communication Breakdown</w:t>
      </w:r>
      <w:r w:rsidRPr="003A6F80">
        <w:rPr>
          <w:rFonts w:ascii="Arial" w:eastAsia="Arial" w:hAnsi="Arial" w:cs="Arial"/>
          <w:kern w:val="0"/>
          <w:lang w:val="en-GB"/>
          <w14:ligatures w14:val="none"/>
        </w:rPr>
        <w:t xml:space="preserve"> - Communication breakdown caused by language barriers, varying health literacy, and differing cultural perceptions of illness can lead to delayed diagnosis and non-compliance, affecting service user engagement and recovery outcomes, particularly among individuals with drug and alcohol dependency (</w:t>
      </w:r>
      <w:proofErr w:type="spellStart"/>
      <w:r w:rsidRPr="003A6F80">
        <w:rPr>
          <w:rFonts w:ascii="Arial" w:eastAsia="Arial" w:hAnsi="Arial" w:cs="Arial"/>
          <w:kern w:val="0"/>
          <w:lang w:val="en-GB"/>
          <w14:ligatures w14:val="none"/>
        </w:rPr>
        <w:t>Odoemelam</w:t>
      </w:r>
      <w:proofErr w:type="spellEnd"/>
      <w:r w:rsidRPr="003A6F80">
        <w:rPr>
          <w:rFonts w:ascii="Arial" w:eastAsia="Arial" w:hAnsi="Arial" w:cs="Arial"/>
          <w:kern w:val="0"/>
          <w:lang w:val="en-GB"/>
          <w14:ligatures w14:val="none"/>
        </w:rPr>
        <w:t xml:space="preserve"> and </w:t>
      </w:r>
      <w:proofErr w:type="spellStart"/>
      <w:r w:rsidRPr="003A6F80">
        <w:rPr>
          <w:rFonts w:ascii="Arial" w:eastAsia="Arial" w:hAnsi="Arial" w:cs="Arial"/>
          <w:kern w:val="0"/>
          <w:lang w:val="en-GB"/>
          <w14:ligatures w14:val="none"/>
        </w:rPr>
        <w:t>Orighomisan</w:t>
      </w:r>
      <w:proofErr w:type="spellEnd"/>
      <w:r w:rsidRPr="003A6F80">
        <w:rPr>
          <w:rFonts w:ascii="Arial" w:eastAsia="Arial" w:hAnsi="Arial" w:cs="Arial"/>
          <w:kern w:val="0"/>
          <w:lang w:val="en-GB"/>
          <w14:ligatures w14:val="none"/>
        </w:rPr>
        <w:t>, 2025).</w:t>
      </w:r>
    </w:p>
    <w:p w14:paraId="6C31AB69"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Organisational Culture Differences</w:t>
      </w:r>
      <w:r w:rsidRPr="003A6F80">
        <w:rPr>
          <w:rFonts w:ascii="Arial" w:eastAsia="Arial" w:hAnsi="Arial" w:cs="Arial"/>
          <w:kern w:val="0"/>
          <w:lang w:val="en-GB"/>
          <w14:ligatures w14:val="none"/>
        </w:rPr>
        <w:t xml:space="preserve"> - To deliver high-quality, person-centred care, adaptability, inclusivity, a collaborative work environment, and strong leadership are essential (Alharbi et al., 2024). Differences in these factors among healthcare, housing, and social care organisations can significantly affect service integration and partnership working.</w:t>
      </w:r>
    </w:p>
    <w:p w14:paraId="4889D79A"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Lack of Evidence-based Integration</w:t>
      </w:r>
      <w:r w:rsidRPr="003A6F80">
        <w:rPr>
          <w:rFonts w:ascii="Arial" w:eastAsia="Arial" w:hAnsi="Arial" w:cs="Arial"/>
          <w:kern w:val="0"/>
          <w:lang w:val="en-GB"/>
          <w14:ligatures w14:val="none"/>
        </w:rPr>
        <w:t xml:space="preserve"> - It is found that lack of support, time, and skills are reported to have caused system, individual, resource, and communication-related barriers preventing evidence-based practice (</w:t>
      </w:r>
      <w:proofErr w:type="spellStart"/>
      <w:r w:rsidRPr="003A6F80">
        <w:rPr>
          <w:rFonts w:ascii="Arial" w:eastAsia="Arial" w:hAnsi="Arial" w:cs="Arial"/>
          <w:kern w:val="0"/>
          <w:lang w:val="en-GB"/>
          <w14:ligatures w14:val="none"/>
        </w:rPr>
        <w:t>Naghibi</w:t>
      </w:r>
      <w:proofErr w:type="spellEnd"/>
      <w:r w:rsidRPr="003A6F80">
        <w:rPr>
          <w:rFonts w:ascii="Arial" w:eastAsia="Arial" w:hAnsi="Arial" w:cs="Arial"/>
          <w:kern w:val="0"/>
          <w:lang w:val="en-GB"/>
          <w14:ligatures w14:val="none"/>
        </w:rPr>
        <w:t>, Mohammadzadeh and Azami-</w:t>
      </w:r>
      <w:proofErr w:type="spellStart"/>
      <w:r w:rsidRPr="003A6F80">
        <w:rPr>
          <w:rFonts w:ascii="Arial" w:eastAsia="Arial" w:hAnsi="Arial" w:cs="Arial"/>
          <w:kern w:val="0"/>
          <w:lang w:val="en-GB"/>
          <w14:ligatures w14:val="none"/>
        </w:rPr>
        <w:t>Aghdash</w:t>
      </w:r>
      <w:proofErr w:type="spellEnd"/>
      <w:r w:rsidRPr="003A6F80">
        <w:rPr>
          <w:rFonts w:ascii="Arial" w:eastAsia="Arial" w:hAnsi="Arial" w:cs="Arial"/>
          <w:kern w:val="0"/>
          <w:lang w:val="en-GB"/>
          <w14:ligatures w14:val="none"/>
        </w:rPr>
        <w:t>, 2021). In the context of substance misuse services, this may result in inconsistent care pathways and ineffective intervention strategies across organisations.</w:t>
      </w:r>
    </w:p>
    <w:p w14:paraId="1777CB24" w14:textId="1AAC207A"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Data-sharing Issues</w:t>
      </w:r>
      <w:r w:rsidRPr="003A6F80">
        <w:rPr>
          <w:rFonts w:ascii="Arial" w:eastAsia="Arial" w:hAnsi="Arial" w:cs="Arial"/>
          <w:kern w:val="0"/>
          <w:lang w:val="en-GB"/>
          <w14:ligatures w14:val="none"/>
        </w:rPr>
        <w:t xml:space="preserve"> - Due to infrastructural weakness, regulatory impediments, and cybersecurity concerns, it often becomes difficult for service users’ information to be effectively shared across organisations, affecting healthcare service integration and partnership working. This is particularly critical in multi-agency settings where timely information sharing is essential for coordinated care and crisis prevention.</w:t>
      </w:r>
    </w:p>
    <w:p w14:paraId="69B8D33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9" w:name="_grlhfxg86qd" w:colFirst="0" w:colLast="0"/>
      <w:bookmarkStart w:id="20" w:name="_Toc226575249"/>
      <w:bookmarkEnd w:id="19"/>
      <w:r w:rsidRPr="00641000">
        <w:rPr>
          <w:rFonts w:ascii="Arial" w:eastAsia="Arial" w:hAnsi="Arial" w:cs="Arial"/>
          <w:b/>
          <w:bCs/>
          <w:kern w:val="0"/>
          <w:lang w:val="en-GB"/>
          <w14:ligatures w14:val="none"/>
        </w:rPr>
        <w:t>3.5 Providing Recommendations for Alternative Strategies and Solutions</w:t>
      </w:r>
      <w:bookmarkEnd w:id="20"/>
    </w:p>
    <w:p w14:paraId="66D6D298"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Digital Integration</w:t>
      </w:r>
      <w:r w:rsidRPr="003A6F80">
        <w:rPr>
          <w:rFonts w:ascii="Arial" w:eastAsia="Arial" w:hAnsi="Arial" w:cs="Arial"/>
          <w:kern w:val="0"/>
          <w:lang w:val="en-GB"/>
          <w14:ligatures w14:val="none"/>
        </w:rPr>
        <w:t xml:space="preserve"> - According to Part 2 of the Health and Care Act of 2022, Health and Social Care Information Centres are required to set information standards to anonymise service user data for safety reasons (UK Legislation, 2022). Therefore, developing a robust digital infrastructure can help in mitigating the fragmented multi-agency service challenges in Westminster, particularly in coordinating care for individuals experiencing drug and alcohol misuse across health, housing, and social care services.</w:t>
      </w:r>
    </w:p>
    <w:p w14:paraId="5A59FEC3"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Workforce Training</w:t>
      </w:r>
      <w:r w:rsidRPr="003A6F80">
        <w:rPr>
          <w:rFonts w:ascii="Arial" w:eastAsia="Arial" w:hAnsi="Arial" w:cs="Arial"/>
          <w:kern w:val="0"/>
          <w:lang w:val="en-GB"/>
          <w14:ligatures w14:val="none"/>
        </w:rPr>
        <w:t xml:space="preserve"> - According to the Health and Care Act of 2022, the Secretary of State is required to publish workforce planning strategies every five years (UK Legislation, 2022). </w:t>
      </w:r>
      <w:r w:rsidRPr="003A6F80">
        <w:rPr>
          <w:rFonts w:ascii="Arial" w:eastAsia="Arial" w:hAnsi="Arial" w:cs="Arial"/>
          <w:kern w:val="0"/>
          <w:lang w:val="en-GB"/>
          <w14:ligatures w14:val="none"/>
        </w:rPr>
        <w:lastRenderedPageBreak/>
        <w:t>Therefore, it can be said that besides introducing a shared digital platform, conducting joint training sessions can facilitate service integration and partnership working. Such training should focus on trauma-informed care, multidisciplinary collaboration, and effective engagement with vulnerable populations affected by substance misuse. However, budget constraints can determine the feasibility of these recommendations.</w:t>
      </w:r>
    </w:p>
    <w:p w14:paraId="61F035B0" w14:textId="36F287C1"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Systems Leadership</w:t>
      </w:r>
      <w:r w:rsidRPr="003A6F80">
        <w:rPr>
          <w:rFonts w:ascii="Arial" w:eastAsia="Arial" w:hAnsi="Arial" w:cs="Arial"/>
          <w:kern w:val="0"/>
          <w:lang w:val="en-GB"/>
          <w14:ligatures w14:val="none"/>
        </w:rPr>
        <w:t xml:space="preserve"> - The Health and Care Act of 2022 also suggested the formation of Integrated Care Boards to oversee NHS functionalities, manage budgets, and commission services (UK Legislation, 2022). Accordingly, in the UK, there also needs to be </w:t>
      </w:r>
      <w:r w:rsidR="006E233B" w:rsidRPr="00974CCE">
        <w:rPr>
          <w:rFonts w:ascii="Arial" w:eastAsia="Arial" w:hAnsi="Arial" w:cs="Arial"/>
          <w:kern w:val="0"/>
          <w:lang w:val="en-GB"/>
          <w14:ligatures w14:val="none"/>
        </w:rPr>
        <w:t>strong local Integrated Care Board leadership</w:t>
      </w:r>
      <w:r w:rsidRPr="003A6F80">
        <w:rPr>
          <w:rFonts w:ascii="Arial" w:eastAsia="Arial" w:hAnsi="Arial" w:cs="Arial"/>
          <w:kern w:val="0"/>
          <w:lang w:val="en-GB"/>
          <w14:ligatures w14:val="none"/>
        </w:rPr>
        <w:t xml:space="preserve"> to lead these aspects of the healthcare system at a local level, such as in Westminster, to ensure coordinated decision-making and alignment across multiple organisations involved in substance misuse services to overcome the identified challenges.</w:t>
      </w:r>
    </w:p>
    <w:p w14:paraId="5748802C"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21" w:name="_dgk1lcrkm7e1" w:colFirst="0" w:colLast="0"/>
      <w:bookmarkStart w:id="22" w:name="_Toc226575250"/>
      <w:bookmarkEnd w:id="21"/>
      <w:r w:rsidRPr="00641000">
        <w:rPr>
          <w:rFonts w:ascii="Arial" w:eastAsia="Arial" w:hAnsi="Arial" w:cs="Arial"/>
          <w:b/>
          <w:bCs/>
          <w:kern w:val="0"/>
          <w:lang w:val="en-GB"/>
          <w14:ligatures w14:val="none"/>
        </w:rPr>
        <w:t>4. Process</w:t>
      </w:r>
      <w:bookmarkEnd w:id="22"/>
    </w:p>
    <w:p w14:paraId="1369ECA8"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23" w:name="_wnp0qdf5t7yx" w:colFirst="0" w:colLast="0"/>
      <w:bookmarkStart w:id="24" w:name="_Toc226575251"/>
      <w:bookmarkEnd w:id="23"/>
      <w:r w:rsidRPr="00641000">
        <w:rPr>
          <w:rFonts w:ascii="Arial" w:eastAsia="Arial" w:hAnsi="Arial" w:cs="Arial"/>
          <w:b/>
          <w:bCs/>
          <w:kern w:val="0"/>
          <w:lang w:val="en-GB"/>
          <w14:ligatures w14:val="none"/>
        </w:rPr>
        <w:t>4.1 Working as a Group to Achieve Planned Activities</w:t>
      </w:r>
      <w:bookmarkEnd w:id="24"/>
    </w:p>
    <w:p w14:paraId="46B93FF0" w14:textId="092B3AC5"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The primary objective of the group is to achieve the planned activities focused on removing the barriers that are preventing the formation of a truly integrated healthcare system for individuals experiencing drug and alcohol misuse in Westminster. </w:t>
      </w:r>
      <w:r w:rsidR="006E233B" w:rsidRPr="00974CCE">
        <w:rPr>
          <w:rFonts w:ascii="Arial" w:eastAsia="Arial" w:hAnsi="Arial" w:cs="Arial"/>
          <w:kern w:val="0"/>
          <w:lang w:val="en-GB"/>
          <w14:ligatures w14:val="none"/>
        </w:rPr>
        <w:t>One such identified challenge</w:t>
      </w:r>
      <w:r w:rsidRPr="003A6F80">
        <w:rPr>
          <w:rFonts w:ascii="Arial" w:eastAsia="Arial" w:hAnsi="Arial" w:cs="Arial"/>
          <w:kern w:val="0"/>
          <w:lang w:val="en-GB"/>
          <w14:ligatures w14:val="none"/>
        </w:rPr>
        <w:t xml:space="preserve">, faced by vulnerable populations including those experiencing homelessness and multiple </w:t>
      </w:r>
      <w:r w:rsidR="00974CCE" w:rsidRPr="003A6F80">
        <w:rPr>
          <w:rFonts w:ascii="Arial" w:eastAsia="Arial" w:hAnsi="Arial" w:cs="Arial"/>
          <w:kern w:val="0"/>
          <w:lang w:val="en-GB"/>
          <w14:ligatures w14:val="none"/>
        </w:rPr>
        <w:t>disadvantages</w:t>
      </w:r>
      <w:r w:rsidRPr="003A6F80">
        <w:rPr>
          <w:rFonts w:ascii="Arial" w:eastAsia="Arial" w:hAnsi="Arial" w:cs="Arial"/>
          <w:kern w:val="0"/>
          <w:lang w:val="en-GB"/>
          <w14:ligatures w14:val="none"/>
        </w:rPr>
        <w:t>, is the lack of effective communication and coordination between services. In this context, it is important to note that national legislations are leveraged to eliminate any existing transactional bureaucracies. To achieve this, integrated care partnerships, involving drug and alcohol treatment services, mental health services, housing services, general practitioners, social workers, and local authorities, are formed. The other objective was to improve the quality of life, reduce hospital admissions, and enhance engagement with treatment and recovery services, while delivering person-centred care for a more responsive healthcare system.</w:t>
      </w:r>
    </w:p>
    <w:p w14:paraId="4D832EBB"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25" w:name="_e9iwm3azgph0" w:colFirst="0" w:colLast="0"/>
      <w:bookmarkStart w:id="26" w:name="_Toc226575252"/>
      <w:bookmarkEnd w:id="25"/>
      <w:r w:rsidRPr="00641000">
        <w:rPr>
          <w:rFonts w:ascii="Arial" w:eastAsia="Arial" w:hAnsi="Arial" w:cs="Arial"/>
          <w:b/>
          <w:bCs/>
          <w:kern w:val="0"/>
          <w:lang w:val="en-GB"/>
          <w14:ligatures w14:val="none"/>
        </w:rPr>
        <w:t>4.2 The Extent to Which Group Members Accept and Carry Out Roles and Responsibilities</w:t>
      </w:r>
      <w:bookmarkEnd w:id="26"/>
    </w:p>
    <w:p w14:paraId="0E7C63B2"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My role in the group was that of a coordinator. It was observed that the entire workflow of the integrated drug and alcohol support service planning in Westminster was affected because of the non-contribution of one of the members. The reason for this can be understood through the lens of partnership working principles, which highlight that in a collaborative environment, working jointly within an agreed framework, with a structured decision-making process, requires every participant to have clearly defined roles (Turner et al., 2024). </w:t>
      </w:r>
      <w:proofErr w:type="gramStart"/>
      <w:r w:rsidRPr="003A6F80">
        <w:rPr>
          <w:rFonts w:ascii="Arial" w:eastAsia="Arial" w:hAnsi="Arial" w:cs="Arial"/>
          <w:kern w:val="0"/>
          <w:lang w:val="en-GB"/>
          <w14:ligatures w14:val="none"/>
        </w:rPr>
        <w:t>As a consequence</w:t>
      </w:r>
      <w:proofErr w:type="gramEnd"/>
      <w:r w:rsidRPr="003A6F80">
        <w:rPr>
          <w:rFonts w:ascii="Arial" w:eastAsia="Arial" w:hAnsi="Arial" w:cs="Arial"/>
          <w:kern w:val="0"/>
          <w:lang w:val="en-GB"/>
          <w14:ligatures w14:val="none"/>
        </w:rPr>
        <w:t xml:space="preserve">, it can be said that even in real-world scenarios, professionals often fail to </w:t>
      </w:r>
      <w:r w:rsidRPr="003A6F80">
        <w:rPr>
          <w:rFonts w:ascii="Arial" w:eastAsia="Arial" w:hAnsi="Arial" w:cs="Arial"/>
          <w:kern w:val="0"/>
          <w:lang w:val="en-GB"/>
          <w14:ligatures w14:val="none"/>
        </w:rPr>
        <w:lastRenderedPageBreak/>
        <w:t>collaborate effectively as well, particularly in multi-agency settings involving health, housing, and social care services.</w:t>
      </w:r>
    </w:p>
    <w:p w14:paraId="10E1C0CE" w14:textId="3A4D1CC2" w:rsidR="00AD41B6" w:rsidRPr="00974CCE"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While reflecting on the contribution level, I understood the significance of flexibility, reciprocity, and harmony as some of the core principles for working in a partnership setting, especially in integrated health and social care services addressing substance misuse. These factors enable an individual working in a partnership environment to adapt and respond to changing situations, while learning collaboratively </w:t>
      </w:r>
      <w:proofErr w:type="gramStart"/>
      <w:r w:rsidRPr="003A6F80">
        <w:rPr>
          <w:rFonts w:ascii="Arial" w:eastAsia="Arial" w:hAnsi="Arial" w:cs="Arial"/>
          <w:kern w:val="0"/>
          <w:lang w:val="en-GB"/>
          <w14:ligatures w14:val="none"/>
        </w:rPr>
        <w:t>in order to</w:t>
      </w:r>
      <w:proofErr w:type="gramEnd"/>
      <w:r w:rsidRPr="003A6F80">
        <w:rPr>
          <w:rFonts w:ascii="Arial" w:eastAsia="Arial" w:hAnsi="Arial" w:cs="Arial"/>
          <w:kern w:val="0"/>
          <w:lang w:val="en-GB"/>
          <w14:ligatures w14:val="none"/>
        </w:rPr>
        <w:t xml:space="preserve"> complement the activities of other partners (Turner et al., 2024). The level of contribution highlighted here also helped me understand the accountability aspect of working in a partnership model. With structured and clear decision-making processes in partnership working, unequal power relationships can be addressed to deliver sustainable, high-quality integrated care services (Turner et al., 2024).</w:t>
      </w:r>
    </w:p>
    <w:p w14:paraId="3FAE4B32"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27" w:name="_2xndjeewr6kp" w:colFirst="0" w:colLast="0"/>
      <w:bookmarkStart w:id="28" w:name="_Toc226575253"/>
      <w:bookmarkEnd w:id="27"/>
      <w:r w:rsidRPr="00641000">
        <w:rPr>
          <w:rFonts w:ascii="Arial" w:eastAsia="Arial" w:hAnsi="Arial" w:cs="Arial"/>
          <w:b/>
          <w:bCs/>
          <w:kern w:val="0"/>
          <w:lang w:val="en-GB"/>
          <w14:ligatures w14:val="none"/>
        </w:rPr>
        <w:t>5. Product</w:t>
      </w:r>
      <w:bookmarkEnd w:id="28"/>
    </w:p>
    <w:p w14:paraId="1C878506"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29" w:name="_e55c6gsna5ml" w:colFirst="0" w:colLast="0"/>
      <w:bookmarkStart w:id="30" w:name="_Toc226575254"/>
      <w:bookmarkEnd w:id="29"/>
      <w:r w:rsidRPr="00641000">
        <w:rPr>
          <w:rFonts w:ascii="Arial" w:eastAsia="Arial" w:hAnsi="Arial" w:cs="Arial"/>
          <w:b/>
          <w:bCs/>
          <w:kern w:val="0"/>
          <w:lang w:val="en-GB"/>
          <w14:ligatures w14:val="none"/>
        </w:rPr>
        <w:t>5.1 Identifying Whether Your Group Task Was Successful</w:t>
      </w:r>
      <w:bookmarkEnd w:id="30"/>
    </w:p>
    <w:p w14:paraId="238193E7" w14:textId="5DD6961D"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According to the </w:t>
      </w:r>
      <w:r w:rsidRPr="003A6F80">
        <w:rPr>
          <w:rFonts w:ascii="Arial" w:eastAsia="Arial" w:hAnsi="Arial" w:cs="Arial"/>
          <w:b/>
          <w:bCs/>
          <w:kern w:val="0"/>
          <w:lang w:val="en-GB"/>
          <w14:ligatures w14:val="none"/>
        </w:rPr>
        <w:t>Logic Model of Integrated Care</w:t>
      </w:r>
      <w:r w:rsidRPr="003A6F80">
        <w:rPr>
          <w:rFonts w:ascii="Arial" w:eastAsia="Arial" w:hAnsi="Arial" w:cs="Arial"/>
          <w:kern w:val="0"/>
          <w:lang w:val="en-GB"/>
          <w14:ligatures w14:val="none"/>
        </w:rPr>
        <w:t xml:space="preserve">, </w:t>
      </w:r>
      <w:r w:rsidRPr="003A6F80">
        <w:rPr>
          <w:rFonts w:ascii="Arial" w:eastAsia="Arial" w:hAnsi="Arial" w:cs="Arial"/>
          <w:b/>
          <w:bCs/>
          <w:kern w:val="0"/>
          <w:lang w:val="en-GB"/>
          <w14:ligatures w14:val="none"/>
        </w:rPr>
        <w:t>service users</w:t>
      </w:r>
      <w:r w:rsidRPr="003A6F80">
        <w:rPr>
          <w:rFonts w:ascii="Arial" w:eastAsia="Arial" w:hAnsi="Arial" w:cs="Arial"/>
          <w:kern w:val="0"/>
          <w:lang w:val="en-GB"/>
          <w14:ligatures w14:val="none"/>
        </w:rPr>
        <w:t xml:space="preserve"> need to experience being supported through a robust and coordinated care pathway that addresses their complex and ongoing needs (SCIE, 2024). However, the lack of contribution from one key member affected the entire subsequent workflow, particularly in terms of coordination and decision-making. This can negatively impact the overall </w:t>
      </w:r>
      <w:r w:rsidRPr="003A6F80">
        <w:rPr>
          <w:rFonts w:ascii="Arial" w:eastAsia="Arial" w:hAnsi="Arial" w:cs="Arial"/>
          <w:b/>
          <w:bCs/>
          <w:kern w:val="0"/>
          <w:lang w:val="en-GB"/>
          <w14:ligatures w14:val="none"/>
        </w:rPr>
        <w:t>service user experience</w:t>
      </w:r>
      <w:r w:rsidRPr="003A6F80">
        <w:rPr>
          <w:rFonts w:ascii="Arial" w:eastAsia="Arial" w:hAnsi="Arial" w:cs="Arial"/>
          <w:kern w:val="0"/>
          <w:lang w:val="en-GB"/>
          <w14:ligatures w14:val="none"/>
        </w:rPr>
        <w:t>, especially in integrated settings where continuity of care is essential. Additionally, the Logic Model also emphasises improving outcomes through system efficiency by enhancing service user flow and reducing delays (SCIE, 2024). However, the absence of contribution from a stakeholder significantly affected overall system efficiency due to workflow disruption and lack of coordination.</w:t>
      </w:r>
    </w:p>
    <w:p w14:paraId="3D13C5F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31" w:name="_yk87k5qr4w5k" w:colFirst="0" w:colLast="0"/>
      <w:bookmarkStart w:id="32" w:name="_Toc226575255"/>
      <w:bookmarkEnd w:id="31"/>
      <w:r w:rsidRPr="00641000">
        <w:rPr>
          <w:rFonts w:ascii="Arial" w:eastAsia="Arial" w:hAnsi="Arial" w:cs="Arial"/>
          <w:b/>
          <w:bCs/>
          <w:kern w:val="0"/>
          <w:lang w:val="en-GB"/>
          <w14:ligatures w14:val="none"/>
        </w:rPr>
        <w:t>5.2 Identifying Relevant Competencies and Skills for HSC Professionals and Steps for Growth</w:t>
      </w:r>
      <w:bookmarkEnd w:id="32"/>
    </w:p>
    <w:p w14:paraId="3A9E14F5" w14:textId="7114D08A" w:rsidR="00AD41B6" w:rsidRPr="00974CCE" w:rsidRDefault="003A6F80"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From the insights that I gathered from the discussion up to this point, I realised there are certain skills that I could develop through this experience; however, I also noted that I need to improve certain other skills as well. While I could develop my communication and collaboration skills, I observed that apart from developing my problem-solving abilities, I also need to develop systems leadership if I want to succeed and grow in this profession, particularly in the context of integrated health and social care services addressing complex issues such as drug and alcohol misuse. Contextually, systems leadership is about going out of the box to collaborate with stakeholders beyond organisational boundaries, who are often not under direct managerial control, to resolve issues existing in a system (NHS, 2015).</w:t>
      </w:r>
    </w:p>
    <w:p w14:paraId="5D96C362"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noProof/>
          <w:kern w:val="0"/>
          <w:lang w:val="en-GB"/>
          <w14:ligatures w14:val="none"/>
        </w:rPr>
        <w:lastRenderedPageBreak/>
        <w:drawing>
          <wp:inline distT="114300" distB="114300" distL="114300" distR="114300" wp14:anchorId="277A5DAB" wp14:editId="7AA3035E">
            <wp:extent cx="3390900" cy="2905125"/>
            <wp:effectExtent l="0" t="0" r="0" b="9525"/>
            <wp:docPr id="1834198166"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391432" cy="2905581"/>
                    </a:xfrm>
                    <a:prstGeom prst="rect">
                      <a:avLst/>
                    </a:prstGeom>
                  </pic:spPr>
                </pic:pic>
              </a:graphicData>
            </a:graphic>
          </wp:inline>
        </w:drawing>
      </w:r>
    </w:p>
    <w:p w14:paraId="7BD27245" w14:textId="77777777" w:rsidR="00AD41B6" w:rsidRPr="00641000" w:rsidRDefault="00AD41B6" w:rsidP="005A006A">
      <w:pPr>
        <w:spacing w:before="120" w:after="120" w:line="360" w:lineRule="auto"/>
        <w:jc w:val="center"/>
        <w:rPr>
          <w:rFonts w:ascii="Arial" w:eastAsia="Arial" w:hAnsi="Arial" w:cs="Arial"/>
          <w:b/>
          <w:bCs/>
          <w:kern w:val="0"/>
          <w:lang w:val="en-GB"/>
          <w14:ligatures w14:val="none"/>
        </w:rPr>
      </w:pPr>
      <w:r w:rsidRPr="00641000">
        <w:rPr>
          <w:rFonts w:ascii="Arial" w:eastAsia="Arial" w:hAnsi="Arial" w:cs="Arial"/>
          <w:b/>
          <w:bCs/>
          <w:kern w:val="0"/>
          <w:lang w:val="en-GB"/>
          <w14:ligatures w14:val="none"/>
        </w:rPr>
        <w:t>Figure 2: Systems Leadership Development</w:t>
      </w:r>
    </w:p>
    <w:p w14:paraId="5376C1F1"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kern w:val="0"/>
          <w:lang w:val="en-GB"/>
          <w14:ligatures w14:val="none"/>
        </w:rPr>
        <w:t>(Source: NHS, 2015)</w:t>
      </w:r>
    </w:p>
    <w:p w14:paraId="0DFB2494" w14:textId="13FD8261" w:rsidR="00AD41B6" w:rsidRPr="00974CCE" w:rsidRDefault="003A6F80"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I observed that I experienced noticeable difficulties in leading conversations during the group work on integrated drug and alcohol service planning, which enabled me to understand the importance of developing my leadership confidence. Accordingly, I need to be in a learning environment where sharing knowledge can contribute to the enhancement of my awareness of best practices (NHS, 2015). However, the development of my communication skills has contributed to the enhancement of my individual effectiveness, helping me develop collaborative ways of working, particularly in multi-agency settings involving healthcare, housing, and social care professionals, resulting in the development of my collaboration skills as well. On the other hand, I lacked problem-solving competencies, which require me to think in innovative ways while also being willing to experiment to find better ways of addressing complex service integration challenges (NHS, 2015).</w:t>
      </w:r>
    </w:p>
    <w:p w14:paraId="76B6F610"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33" w:name="_4umq9csignx6" w:colFirst="0" w:colLast="0"/>
      <w:bookmarkStart w:id="34" w:name="_Toc226575256"/>
      <w:bookmarkEnd w:id="33"/>
      <w:r w:rsidRPr="00641000">
        <w:rPr>
          <w:rFonts w:ascii="Arial" w:eastAsia="Arial" w:hAnsi="Arial" w:cs="Arial"/>
          <w:b/>
          <w:bCs/>
          <w:kern w:val="0"/>
          <w:lang w:val="en-GB"/>
          <w14:ligatures w14:val="none"/>
        </w:rPr>
        <w:t>6. Conclusion</w:t>
      </w:r>
      <w:bookmarkEnd w:id="34"/>
    </w:p>
    <w:p w14:paraId="640ABBC5" w14:textId="52DF5CA2" w:rsidR="00AD41B6" w:rsidRPr="00641000" w:rsidRDefault="00A90571"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This report has helped me understand the importance of service integration and partnership working in improving healthcare outcomes in the UK, </w:t>
      </w:r>
      <w:r w:rsidRPr="00641000">
        <w:rPr>
          <w:rFonts w:ascii="Arial" w:eastAsia="Arial" w:hAnsi="Arial" w:cs="Arial"/>
          <w:b/>
          <w:bCs/>
          <w:kern w:val="0"/>
          <w:lang w:val="en-GB"/>
          <w14:ligatures w14:val="none"/>
        </w:rPr>
        <w:t>particularly in addressing complex public health issues such as drug and alcohol misuse in Westminster</w:t>
      </w:r>
      <w:r w:rsidRPr="00641000">
        <w:rPr>
          <w:rFonts w:ascii="Arial" w:eastAsia="Arial" w:hAnsi="Arial" w:cs="Arial"/>
          <w:kern w:val="0"/>
          <w:lang w:val="en-GB"/>
          <w14:ligatures w14:val="none"/>
        </w:rPr>
        <w:t xml:space="preserve">. I learned that coordinated efforts between different professionals </w:t>
      </w:r>
      <w:proofErr w:type="gramStart"/>
      <w:r w:rsidRPr="00641000">
        <w:rPr>
          <w:rFonts w:ascii="Arial" w:eastAsia="Arial" w:hAnsi="Arial" w:cs="Arial"/>
          <w:kern w:val="0"/>
          <w:lang w:val="en-GB"/>
          <w14:ligatures w14:val="none"/>
        </w:rPr>
        <w:t>are able to</w:t>
      </w:r>
      <w:proofErr w:type="gramEnd"/>
      <w:r w:rsidRPr="00641000">
        <w:rPr>
          <w:rFonts w:ascii="Arial" w:eastAsia="Arial" w:hAnsi="Arial" w:cs="Arial"/>
          <w:kern w:val="0"/>
          <w:lang w:val="en-GB"/>
          <w14:ligatures w14:val="none"/>
        </w:rPr>
        <w:t xml:space="preserve"> support enhanced </w:t>
      </w:r>
      <w:r w:rsidRPr="00641000">
        <w:rPr>
          <w:rFonts w:ascii="Arial" w:eastAsia="Arial" w:hAnsi="Arial" w:cs="Arial"/>
          <w:b/>
          <w:bCs/>
          <w:kern w:val="0"/>
          <w:lang w:val="en-GB"/>
          <w14:ligatures w14:val="none"/>
        </w:rPr>
        <w:t>service user outcomes and engagement with care</w:t>
      </w:r>
      <w:r w:rsidRPr="00641000">
        <w:rPr>
          <w:rFonts w:ascii="Arial" w:eastAsia="Arial" w:hAnsi="Arial" w:cs="Arial"/>
          <w:kern w:val="0"/>
          <w:lang w:val="en-GB"/>
          <w14:ligatures w14:val="none"/>
        </w:rPr>
        <w:t xml:space="preserve">. The group work also made me realise the value of communication, shared roles, and ownership in </w:t>
      </w:r>
      <w:r w:rsidRPr="00641000">
        <w:rPr>
          <w:rFonts w:ascii="Arial" w:eastAsia="Arial" w:hAnsi="Arial" w:cs="Arial"/>
          <w:b/>
          <w:bCs/>
          <w:kern w:val="0"/>
          <w:lang w:val="en-GB"/>
          <w14:ligatures w14:val="none"/>
        </w:rPr>
        <w:t>multi-agency collaboration involving health, housing, and social care services</w:t>
      </w:r>
      <w:r w:rsidRPr="00641000">
        <w:rPr>
          <w:rFonts w:ascii="Arial" w:eastAsia="Arial" w:hAnsi="Arial" w:cs="Arial"/>
          <w:kern w:val="0"/>
          <w:lang w:val="en-GB"/>
          <w14:ligatures w14:val="none"/>
        </w:rPr>
        <w:t xml:space="preserve">. While our plan was effective in theory, it significantly lacked depth in its implementation. Consequently, this experience highlighted areas for my personal improvement, such as leadership as well as problem-solving skills. </w:t>
      </w:r>
      <w:proofErr w:type="gramStart"/>
      <w:r w:rsidRPr="00641000">
        <w:rPr>
          <w:rFonts w:ascii="Arial" w:eastAsia="Arial" w:hAnsi="Arial" w:cs="Arial"/>
          <w:kern w:val="0"/>
          <w:lang w:val="en-GB"/>
          <w14:ligatures w14:val="none"/>
        </w:rPr>
        <w:t xml:space="preserve">As </w:t>
      </w:r>
      <w:r w:rsidRPr="00641000">
        <w:rPr>
          <w:rFonts w:ascii="Arial" w:eastAsia="Arial" w:hAnsi="Arial" w:cs="Arial"/>
          <w:kern w:val="0"/>
          <w:lang w:val="en-GB"/>
          <w14:ligatures w14:val="none"/>
        </w:rPr>
        <w:lastRenderedPageBreak/>
        <w:t>a whole, this</w:t>
      </w:r>
      <w:proofErr w:type="gramEnd"/>
      <w:r w:rsidRPr="00641000">
        <w:rPr>
          <w:rFonts w:ascii="Arial" w:eastAsia="Arial" w:hAnsi="Arial" w:cs="Arial"/>
          <w:kern w:val="0"/>
          <w:lang w:val="en-GB"/>
          <w14:ligatures w14:val="none"/>
        </w:rPr>
        <w:t xml:space="preserve"> learning is going to support my future practice by helping me contribute to integrated and </w:t>
      </w:r>
      <w:r w:rsidRPr="00641000">
        <w:rPr>
          <w:rFonts w:ascii="Arial" w:eastAsia="Arial" w:hAnsi="Arial" w:cs="Arial"/>
          <w:b/>
          <w:bCs/>
          <w:kern w:val="0"/>
          <w:lang w:val="en-GB"/>
          <w14:ligatures w14:val="none"/>
        </w:rPr>
        <w:t>person-centred</w:t>
      </w:r>
      <w:r w:rsidRPr="00641000">
        <w:rPr>
          <w:rFonts w:ascii="Arial" w:eastAsia="Arial" w:hAnsi="Arial" w:cs="Arial"/>
          <w:kern w:val="0"/>
          <w:lang w:val="en-GB"/>
          <w14:ligatures w14:val="none"/>
        </w:rPr>
        <w:t xml:space="preserve"> healthcare services.</w:t>
      </w:r>
    </w:p>
    <w:p w14:paraId="0AD26D6E" w14:textId="77777777"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br w:type="page"/>
      </w:r>
    </w:p>
    <w:p w14:paraId="45BCC7EA" w14:textId="690844EF"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35" w:name="_Toc226575257"/>
      <w:r w:rsidRPr="00641000">
        <w:rPr>
          <w:rFonts w:ascii="Arial" w:eastAsia="Arial" w:hAnsi="Arial" w:cs="Arial"/>
          <w:b/>
          <w:bCs/>
          <w:kern w:val="0"/>
          <w:lang w:val="en-GB"/>
          <w14:ligatures w14:val="none"/>
        </w:rPr>
        <w:lastRenderedPageBreak/>
        <w:t>Reference</w:t>
      </w:r>
      <w:r w:rsidR="005A006A" w:rsidRPr="00641000">
        <w:rPr>
          <w:rFonts w:ascii="Arial" w:eastAsia="Arial" w:hAnsi="Arial" w:cs="Arial"/>
          <w:b/>
          <w:bCs/>
          <w:kern w:val="0"/>
          <w:lang w:val="en-GB"/>
          <w14:ligatures w14:val="none"/>
        </w:rPr>
        <w:t>s</w:t>
      </w:r>
      <w:bookmarkEnd w:id="35"/>
    </w:p>
    <w:p w14:paraId="188B77A4"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Alharbi, A. S. A., </w:t>
      </w:r>
      <w:proofErr w:type="spellStart"/>
      <w:r w:rsidRPr="00641000">
        <w:rPr>
          <w:rFonts w:ascii="Arial" w:eastAsia="Arial" w:hAnsi="Arial" w:cs="Arial"/>
          <w:kern w:val="0"/>
          <w:lang w:val="en-GB"/>
          <w14:ligatures w14:val="none"/>
        </w:rPr>
        <w:t>Alrehaili</w:t>
      </w:r>
      <w:proofErr w:type="spellEnd"/>
      <w:r w:rsidRPr="00641000">
        <w:rPr>
          <w:rFonts w:ascii="Arial" w:eastAsia="Arial" w:hAnsi="Arial" w:cs="Arial"/>
          <w:kern w:val="0"/>
          <w:lang w:val="en-GB"/>
          <w14:ligatures w14:val="none"/>
        </w:rPr>
        <w:t>, Y. A. M., Alhejaili, T. A. H., Al-</w:t>
      </w:r>
      <w:proofErr w:type="spellStart"/>
      <w:r w:rsidRPr="00641000">
        <w:rPr>
          <w:rFonts w:ascii="Arial" w:eastAsia="Arial" w:hAnsi="Arial" w:cs="Arial"/>
          <w:kern w:val="0"/>
          <w:lang w:val="en-GB"/>
          <w14:ligatures w14:val="none"/>
        </w:rPr>
        <w:t>Hujaili</w:t>
      </w:r>
      <w:proofErr w:type="spellEnd"/>
      <w:r w:rsidRPr="00641000">
        <w:rPr>
          <w:rFonts w:ascii="Arial" w:eastAsia="Arial" w:hAnsi="Arial" w:cs="Arial"/>
          <w:kern w:val="0"/>
          <w:lang w:val="en-GB"/>
          <w14:ligatures w14:val="none"/>
        </w:rPr>
        <w:t xml:space="preserve">, M. M. H., Alsaedi, A. B., Alsaedi, I. S., </w:t>
      </w:r>
      <w:proofErr w:type="spellStart"/>
      <w:r w:rsidRPr="00641000">
        <w:rPr>
          <w:rFonts w:ascii="Arial" w:eastAsia="Arial" w:hAnsi="Arial" w:cs="Arial"/>
          <w:kern w:val="0"/>
          <w:lang w:val="en-GB"/>
          <w14:ligatures w14:val="none"/>
        </w:rPr>
        <w:t>Aljwaedi</w:t>
      </w:r>
      <w:proofErr w:type="spellEnd"/>
      <w:r w:rsidRPr="00641000">
        <w:rPr>
          <w:rFonts w:ascii="Arial" w:eastAsia="Arial" w:hAnsi="Arial" w:cs="Arial"/>
          <w:kern w:val="0"/>
          <w:lang w:val="en-GB"/>
          <w14:ligatures w14:val="none"/>
        </w:rPr>
        <w:t xml:space="preserve">. M. </w:t>
      </w:r>
      <w:proofErr w:type="spellStart"/>
      <w:proofErr w:type="gramStart"/>
      <w:r w:rsidRPr="00641000">
        <w:rPr>
          <w:rFonts w:ascii="Arial" w:eastAsia="Arial" w:hAnsi="Arial" w:cs="Arial"/>
          <w:kern w:val="0"/>
          <w:lang w:val="en-GB"/>
          <w14:ligatures w14:val="none"/>
        </w:rPr>
        <w:t>S.Alghurabi</w:t>
      </w:r>
      <w:proofErr w:type="spellEnd"/>
      <w:proofErr w:type="gramEnd"/>
      <w:r w:rsidRPr="00641000">
        <w:rPr>
          <w:rFonts w:ascii="Arial" w:eastAsia="Arial" w:hAnsi="Arial" w:cs="Arial"/>
          <w:kern w:val="0"/>
          <w:lang w:val="en-GB"/>
          <w14:ligatures w14:val="none"/>
        </w:rPr>
        <w:t xml:space="preserve">. M. M. and AL </w:t>
      </w:r>
      <w:proofErr w:type="spellStart"/>
      <w:r w:rsidRPr="00641000">
        <w:rPr>
          <w:rFonts w:ascii="Arial" w:eastAsia="Arial" w:hAnsi="Arial" w:cs="Arial"/>
          <w:kern w:val="0"/>
          <w:lang w:val="en-GB"/>
          <w14:ligatures w14:val="none"/>
        </w:rPr>
        <w:t>mohammadi</w:t>
      </w:r>
      <w:proofErr w:type="spellEnd"/>
      <w:r w:rsidRPr="00641000">
        <w:rPr>
          <w:rFonts w:ascii="Arial" w:eastAsia="Arial" w:hAnsi="Arial" w:cs="Arial"/>
          <w:kern w:val="0"/>
          <w:lang w:val="en-GB"/>
          <w14:ligatures w14:val="none"/>
        </w:rPr>
        <w:t xml:space="preserve">. S. D. (2024). The Role of Organizational Culture in Shaping Healthcare Service Quality: A Theoretical Perspective. </w:t>
      </w:r>
      <w:r w:rsidRPr="00641000">
        <w:rPr>
          <w:rFonts w:ascii="Arial" w:eastAsia="Arial" w:hAnsi="Arial" w:cs="Arial"/>
          <w:i/>
          <w:iCs/>
          <w:kern w:val="0"/>
          <w:lang w:val="en-GB"/>
          <w14:ligatures w14:val="none"/>
        </w:rPr>
        <w:t>Journal of International Crisis and Risk Communication Research</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7</w:t>
      </w:r>
      <w:r w:rsidRPr="00641000">
        <w:rPr>
          <w:rFonts w:ascii="Arial" w:eastAsia="Arial" w:hAnsi="Arial" w:cs="Arial"/>
          <w:kern w:val="0"/>
          <w:lang w:val="en-GB"/>
          <w14:ligatures w14:val="none"/>
        </w:rPr>
        <w:t>(S5), 321.</w:t>
      </w:r>
    </w:p>
    <w:p w14:paraId="090E5BC4"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Davis, K., Schoenbaum, S. C., and Audet, A. M. (2005). A 2020 vision of patient-</w:t>
      </w:r>
      <w:proofErr w:type="spellStart"/>
      <w:r w:rsidRPr="00641000">
        <w:rPr>
          <w:rFonts w:ascii="Arial" w:eastAsia="Arial" w:hAnsi="Arial" w:cs="Arial"/>
          <w:kern w:val="0"/>
          <w:lang w:val="en-GB"/>
          <w14:ligatures w14:val="none"/>
        </w:rPr>
        <w:t>centered</w:t>
      </w:r>
      <w:proofErr w:type="spellEnd"/>
      <w:r w:rsidRPr="00641000">
        <w:rPr>
          <w:rFonts w:ascii="Arial" w:eastAsia="Arial" w:hAnsi="Arial" w:cs="Arial"/>
          <w:kern w:val="0"/>
          <w:lang w:val="en-GB"/>
          <w14:ligatures w14:val="none"/>
        </w:rPr>
        <w:t xml:space="preserve"> primary care. </w:t>
      </w:r>
      <w:r w:rsidRPr="00641000">
        <w:rPr>
          <w:rFonts w:ascii="Arial" w:eastAsia="Arial" w:hAnsi="Arial" w:cs="Arial"/>
          <w:i/>
          <w:iCs/>
          <w:kern w:val="0"/>
          <w:lang w:val="en-GB"/>
          <w14:ligatures w14:val="none"/>
        </w:rPr>
        <w:t>Journal of general internal medicine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20</w:t>
      </w:r>
      <w:r w:rsidRPr="00641000">
        <w:rPr>
          <w:rFonts w:ascii="Arial" w:eastAsia="Arial" w:hAnsi="Arial" w:cs="Arial"/>
          <w:kern w:val="0"/>
          <w:lang w:val="en-GB"/>
          <w14:ligatures w14:val="none"/>
        </w:rPr>
        <w:t>(10), 953-957.</w:t>
      </w:r>
    </w:p>
    <w:p w14:paraId="06E31F36"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de Leede-</w:t>
      </w:r>
      <w:proofErr w:type="spellStart"/>
      <w:r w:rsidRPr="00641000">
        <w:rPr>
          <w:rFonts w:ascii="Arial" w:eastAsia="Arial" w:hAnsi="Arial" w:cs="Arial"/>
          <w:kern w:val="0"/>
          <w:lang w:val="en-GB"/>
          <w14:ligatures w14:val="none"/>
        </w:rPr>
        <w:t>Brunsveld</w:t>
      </w:r>
      <w:proofErr w:type="spellEnd"/>
      <w:r w:rsidRPr="00641000">
        <w:rPr>
          <w:rFonts w:ascii="Arial" w:eastAsia="Arial" w:hAnsi="Arial" w:cs="Arial"/>
          <w:kern w:val="0"/>
          <w:lang w:val="en-GB"/>
          <w14:ligatures w14:val="none"/>
        </w:rPr>
        <w:t xml:space="preserve">, S. F. M., </w:t>
      </w:r>
      <w:proofErr w:type="spellStart"/>
      <w:r w:rsidRPr="00641000">
        <w:rPr>
          <w:rFonts w:ascii="Arial" w:eastAsia="Arial" w:hAnsi="Arial" w:cs="Arial"/>
          <w:kern w:val="0"/>
          <w:lang w:val="en-GB"/>
          <w14:ligatures w14:val="none"/>
        </w:rPr>
        <w:t>Bleijenberg</w:t>
      </w:r>
      <w:proofErr w:type="spellEnd"/>
      <w:r w:rsidRPr="00641000">
        <w:rPr>
          <w:rFonts w:ascii="Arial" w:eastAsia="Arial" w:hAnsi="Arial" w:cs="Arial"/>
          <w:kern w:val="0"/>
          <w:lang w:val="en-GB"/>
          <w14:ligatures w14:val="none"/>
        </w:rPr>
        <w:t xml:space="preserve">, N., Verhoef, J., Holtkamp, C., and Van </w:t>
      </w:r>
      <w:proofErr w:type="spellStart"/>
      <w:r w:rsidRPr="00641000">
        <w:rPr>
          <w:rFonts w:ascii="Arial" w:eastAsia="Arial" w:hAnsi="Arial" w:cs="Arial"/>
          <w:kern w:val="0"/>
          <w:lang w:val="en-GB"/>
          <w14:ligatures w14:val="none"/>
        </w:rPr>
        <w:t>Vught</w:t>
      </w:r>
      <w:proofErr w:type="spellEnd"/>
      <w:r w:rsidRPr="00641000">
        <w:rPr>
          <w:rFonts w:ascii="Arial" w:eastAsia="Arial" w:hAnsi="Arial" w:cs="Arial"/>
          <w:kern w:val="0"/>
          <w:lang w:val="en-GB"/>
          <w14:ligatures w14:val="none"/>
        </w:rPr>
        <w:t xml:space="preserve">, J. A. H. (2023). Nurse practitioners in community health care: a rapid scoping review of their role, tasks, responsibilities, and implementation in Northwest Europe. </w:t>
      </w:r>
      <w:r w:rsidRPr="00641000">
        <w:rPr>
          <w:rFonts w:ascii="Arial" w:eastAsia="Arial" w:hAnsi="Arial" w:cs="Arial"/>
          <w:i/>
          <w:iCs/>
          <w:kern w:val="0"/>
          <w:lang w:val="en-GB"/>
          <w14:ligatures w14:val="none"/>
        </w:rPr>
        <w:t>Health &amp; Social Care in the Community</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2023</w:t>
      </w:r>
      <w:r w:rsidRPr="00641000">
        <w:rPr>
          <w:rFonts w:ascii="Arial" w:eastAsia="Arial" w:hAnsi="Arial" w:cs="Arial"/>
          <w:kern w:val="0"/>
          <w:lang w:val="en-GB"/>
          <w14:ligatures w14:val="none"/>
        </w:rPr>
        <w:t>(1), 6678458.</w:t>
      </w:r>
    </w:p>
    <w:p w14:paraId="3DC5CE19"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Ferreira, J. C., Elvas, L. B., Correia, R., and Mascarenhas, M. (2025, February). Empowering health professionals with digital skills to improve patient care and daily workflows. In </w:t>
      </w:r>
      <w:r w:rsidRPr="00641000">
        <w:rPr>
          <w:rFonts w:ascii="Arial" w:eastAsia="Arial" w:hAnsi="Arial" w:cs="Arial"/>
          <w:i/>
          <w:iCs/>
          <w:kern w:val="0"/>
          <w:lang w:val="en-GB"/>
          <w14:ligatures w14:val="none"/>
        </w:rPr>
        <w:t>Healthcare</w:t>
      </w:r>
      <w:r w:rsidRPr="00641000">
        <w:rPr>
          <w:rFonts w:ascii="Arial" w:eastAsia="Arial" w:hAnsi="Arial" w:cs="Arial"/>
          <w:kern w:val="0"/>
          <w:lang w:val="en-GB"/>
          <w14:ligatures w14:val="none"/>
        </w:rPr>
        <w:t xml:space="preserve"> (Vol. 13, No. 3, p. 329). MDPI.</w:t>
      </w:r>
    </w:p>
    <w:p w14:paraId="24540C94" w14:textId="579EE133" w:rsidR="00B12A95"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Glasby, J., and Dickinson, H. (2014). </w:t>
      </w:r>
      <w:r w:rsidRPr="00641000">
        <w:rPr>
          <w:rFonts w:ascii="Arial" w:eastAsia="Arial" w:hAnsi="Arial" w:cs="Arial"/>
          <w:i/>
          <w:iCs/>
          <w:kern w:val="0"/>
          <w:lang w:val="en-GB"/>
          <w14:ligatures w14:val="none"/>
        </w:rPr>
        <w:t xml:space="preserve">Partnership working in health and social care: what is integrated care and how can we deliver </w:t>
      </w:r>
      <w:proofErr w:type="gramStart"/>
      <w:r w:rsidRPr="00641000">
        <w:rPr>
          <w:rFonts w:ascii="Arial" w:eastAsia="Arial" w:hAnsi="Arial" w:cs="Arial"/>
          <w:i/>
          <w:iCs/>
          <w:kern w:val="0"/>
          <w:lang w:val="en-GB"/>
          <w14:ligatures w14:val="none"/>
        </w:rPr>
        <w:t>it?</w:t>
      </w:r>
      <w:r w:rsidRPr="00641000">
        <w:rPr>
          <w:rFonts w:ascii="Arial" w:eastAsia="Arial" w:hAnsi="Arial" w:cs="Arial"/>
          <w:kern w:val="0"/>
          <w:lang w:val="en-GB"/>
          <w14:ligatures w14:val="none"/>
        </w:rPr>
        <w:t>.</w:t>
      </w:r>
      <w:proofErr w:type="gramEnd"/>
      <w:r w:rsidRPr="00641000">
        <w:rPr>
          <w:rFonts w:ascii="Arial" w:eastAsia="Arial" w:hAnsi="Arial" w:cs="Arial"/>
          <w:kern w:val="0"/>
          <w:lang w:val="en-GB"/>
          <w14:ligatures w14:val="none"/>
        </w:rPr>
        <w:t xml:space="preserve"> Policy Press.</w:t>
      </w:r>
    </w:p>
    <w:p w14:paraId="053249D5" w14:textId="0F0ABE42" w:rsidR="0056720B" w:rsidRPr="00641000" w:rsidRDefault="0056720B" w:rsidP="005A006A">
      <w:pPr>
        <w:spacing w:before="120" w:after="120" w:line="360" w:lineRule="auto"/>
        <w:jc w:val="both"/>
        <w:rPr>
          <w:rFonts w:ascii="Arial" w:eastAsia="Arial" w:hAnsi="Arial" w:cs="Arial"/>
          <w:kern w:val="0"/>
          <w:lang w:val="en-GB"/>
          <w14:ligatures w14:val="none"/>
        </w:rPr>
      </w:pPr>
      <w:r w:rsidRPr="0056720B">
        <w:rPr>
          <w:rFonts w:ascii="Arial" w:eastAsia="Arial" w:hAnsi="Arial" w:cs="Arial"/>
          <w:kern w:val="0"/>
          <w14:ligatures w14:val="none"/>
        </w:rPr>
        <w:t xml:space="preserve">Kokko, P., 2022. Improving the value of healthcare systems using the Triple Aim framework: A systematic literature review. </w:t>
      </w:r>
      <w:r w:rsidRPr="0056720B">
        <w:rPr>
          <w:rFonts w:ascii="Arial" w:eastAsia="Arial" w:hAnsi="Arial" w:cs="Arial"/>
          <w:i/>
          <w:iCs/>
          <w:kern w:val="0"/>
          <w14:ligatures w14:val="none"/>
        </w:rPr>
        <w:t>Health policy</w:t>
      </w:r>
      <w:r w:rsidRPr="0056720B">
        <w:rPr>
          <w:rFonts w:ascii="Arial" w:eastAsia="Arial" w:hAnsi="Arial" w:cs="Arial"/>
          <w:kern w:val="0"/>
          <w14:ligatures w14:val="none"/>
        </w:rPr>
        <w:t xml:space="preserve">, </w:t>
      </w:r>
      <w:r w:rsidRPr="0056720B">
        <w:rPr>
          <w:rFonts w:ascii="Arial" w:eastAsia="Arial" w:hAnsi="Arial" w:cs="Arial"/>
          <w:i/>
          <w:iCs/>
          <w:kern w:val="0"/>
          <w14:ligatures w14:val="none"/>
        </w:rPr>
        <w:t>126</w:t>
      </w:r>
      <w:r w:rsidRPr="0056720B">
        <w:rPr>
          <w:rFonts w:ascii="Arial" w:eastAsia="Arial" w:hAnsi="Arial" w:cs="Arial"/>
          <w:kern w:val="0"/>
          <w14:ligatures w14:val="none"/>
        </w:rPr>
        <w:t>(4), pp.302-309.</w:t>
      </w:r>
    </w:p>
    <w:p w14:paraId="2D17ED24"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Mash, R., Gaede, B., and Hugo, J. J. F. (2021). The contribution of family physicians and primary care doctors to community-orientated primary care. </w:t>
      </w:r>
      <w:r w:rsidRPr="00641000">
        <w:rPr>
          <w:rFonts w:ascii="Arial" w:eastAsia="Arial" w:hAnsi="Arial" w:cs="Arial"/>
          <w:i/>
          <w:iCs/>
          <w:kern w:val="0"/>
          <w:lang w:val="en-GB"/>
          <w14:ligatures w14:val="none"/>
        </w:rPr>
        <w:t>South African Family Practice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63</w:t>
      </w:r>
      <w:r w:rsidRPr="00641000">
        <w:rPr>
          <w:rFonts w:ascii="Arial" w:eastAsia="Arial" w:hAnsi="Arial" w:cs="Arial"/>
          <w:kern w:val="0"/>
          <w:lang w:val="en-GB"/>
          <w14:ligatures w14:val="none"/>
        </w:rPr>
        <w:t>(1).</w:t>
      </w:r>
    </w:p>
    <w:p w14:paraId="09F15838"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Miller, D., and Baumgartner, E. T. (2016). Lessons from the Community-</w:t>
      </w:r>
      <w:proofErr w:type="spellStart"/>
      <w:r w:rsidRPr="00641000">
        <w:rPr>
          <w:rFonts w:ascii="Arial" w:eastAsia="Arial" w:hAnsi="Arial" w:cs="Arial"/>
          <w:kern w:val="0"/>
          <w:lang w:val="en-GB"/>
          <w14:ligatures w14:val="none"/>
        </w:rPr>
        <w:t>Centered</w:t>
      </w:r>
      <w:proofErr w:type="spellEnd"/>
      <w:r w:rsidRPr="00641000">
        <w:rPr>
          <w:rFonts w:ascii="Arial" w:eastAsia="Arial" w:hAnsi="Arial" w:cs="Arial"/>
          <w:kern w:val="0"/>
          <w:lang w:val="en-GB"/>
          <w14:ligatures w14:val="none"/>
        </w:rPr>
        <w:t xml:space="preserve"> Health Home Demonstration Project: patient-</w:t>
      </w:r>
      <w:proofErr w:type="spellStart"/>
      <w:r w:rsidRPr="00641000">
        <w:rPr>
          <w:rFonts w:ascii="Arial" w:eastAsia="Arial" w:hAnsi="Arial" w:cs="Arial"/>
          <w:kern w:val="0"/>
          <w:lang w:val="en-GB"/>
          <w14:ligatures w14:val="none"/>
        </w:rPr>
        <w:t>centered</w:t>
      </w:r>
      <w:proofErr w:type="spellEnd"/>
      <w:r w:rsidRPr="00641000">
        <w:rPr>
          <w:rFonts w:ascii="Arial" w:eastAsia="Arial" w:hAnsi="Arial" w:cs="Arial"/>
          <w:kern w:val="0"/>
          <w:lang w:val="en-GB"/>
          <w14:ligatures w14:val="none"/>
        </w:rPr>
        <w:t xml:space="preserve"> medical homes can improve health conditions in their surrounding communities. </w:t>
      </w:r>
      <w:r w:rsidRPr="00641000">
        <w:rPr>
          <w:rFonts w:ascii="Arial" w:eastAsia="Arial" w:hAnsi="Arial" w:cs="Arial"/>
          <w:i/>
          <w:iCs/>
          <w:kern w:val="0"/>
          <w:lang w:val="en-GB"/>
          <w14:ligatures w14:val="none"/>
        </w:rPr>
        <w:t>Preventing Chronic Disease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13</w:t>
      </w:r>
      <w:r w:rsidRPr="00641000">
        <w:rPr>
          <w:rFonts w:ascii="Arial" w:eastAsia="Arial" w:hAnsi="Arial" w:cs="Arial"/>
          <w:kern w:val="0"/>
          <w:lang w:val="en-GB"/>
          <w14:ligatures w14:val="none"/>
        </w:rPr>
        <w:t>, E102.</w:t>
      </w:r>
    </w:p>
    <w:p w14:paraId="0AD22387"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proofErr w:type="spellStart"/>
      <w:r w:rsidRPr="00641000">
        <w:rPr>
          <w:rFonts w:ascii="Arial" w:eastAsia="Arial" w:hAnsi="Arial" w:cs="Arial"/>
          <w:kern w:val="0"/>
          <w:lang w:val="en-GB"/>
          <w14:ligatures w14:val="none"/>
        </w:rPr>
        <w:t>Naghibi</w:t>
      </w:r>
      <w:proofErr w:type="spellEnd"/>
      <w:r w:rsidRPr="00641000">
        <w:rPr>
          <w:rFonts w:ascii="Arial" w:eastAsia="Arial" w:hAnsi="Arial" w:cs="Arial"/>
          <w:kern w:val="0"/>
          <w:lang w:val="en-GB"/>
          <w14:ligatures w14:val="none"/>
        </w:rPr>
        <w:t>, D., Mohammadzadeh, S., and Azami-</w:t>
      </w:r>
      <w:proofErr w:type="spellStart"/>
      <w:r w:rsidRPr="00641000">
        <w:rPr>
          <w:rFonts w:ascii="Arial" w:eastAsia="Arial" w:hAnsi="Arial" w:cs="Arial"/>
          <w:kern w:val="0"/>
          <w:lang w:val="en-GB"/>
          <w14:ligatures w14:val="none"/>
        </w:rPr>
        <w:t>Aghdash</w:t>
      </w:r>
      <w:proofErr w:type="spellEnd"/>
      <w:r w:rsidRPr="00641000">
        <w:rPr>
          <w:rFonts w:ascii="Arial" w:eastAsia="Arial" w:hAnsi="Arial" w:cs="Arial"/>
          <w:kern w:val="0"/>
          <w:lang w:val="en-GB"/>
          <w14:ligatures w14:val="none"/>
        </w:rPr>
        <w:t xml:space="preserve">, S. (2021). Barriers to Evidence-Based Practice in Health System: A Systematic Review. </w:t>
      </w:r>
      <w:r w:rsidRPr="00641000">
        <w:rPr>
          <w:rFonts w:ascii="Arial" w:eastAsia="Arial" w:hAnsi="Arial" w:cs="Arial"/>
          <w:i/>
          <w:iCs/>
          <w:kern w:val="0"/>
          <w:lang w:val="en-GB"/>
          <w14:ligatures w14:val="none"/>
        </w:rPr>
        <w:t>Journal of Evidence-Based Care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11</w:t>
      </w:r>
      <w:r w:rsidRPr="00641000">
        <w:rPr>
          <w:rFonts w:ascii="Arial" w:eastAsia="Arial" w:hAnsi="Arial" w:cs="Arial"/>
          <w:kern w:val="0"/>
          <w:lang w:val="en-GB"/>
          <w14:ligatures w14:val="none"/>
        </w:rPr>
        <w:t>(2).</w:t>
      </w:r>
    </w:p>
    <w:p w14:paraId="3AA9BAF3"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National Voices. (2023). </w:t>
      </w:r>
      <w:r w:rsidRPr="00641000">
        <w:rPr>
          <w:rFonts w:ascii="Arial" w:eastAsia="Arial" w:hAnsi="Arial" w:cs="Arial"/>
          <w:i/>
          <w:iCs/>
          <w:kern w:val="0"/>
          <w:lang w:val="en-GB"/>
          <w14:ligatures w14:val="none"/>
        </w:rPr>
        <w:t>Person-centred care [Online]</w:t>
      </w:r>
      <w:r w:rsidRPr="00641000">
        <w:rPr>
          <w:rFonts w:ascii="Arial" w:eastAsia="Arial" w:hAnsi="Arial" w:cs="Arial"/>
          <w:kern w:val="0"/>
          <w:lang w:val="en-GB"/>
          <w14:ligatures w14:val="none"/>
        </w:rPr>
        <w:t xml:space="preserve">. Available at: </w:t>
      </w:r>
      <w:hyperlink r:id="rId9" w:history="1">
        <w:r w:rsidRPr="00641000">
          <w:rPr>
            <w:rFonts w:ascii="Arial" w:eastAsia="Arial" w:hAnsi="Arial" w:cs="Arial"/>
            <w:kern w:val="0"/>
            <w:u w:val="single"/>
            <w:lang w:val="en-GB"/>
            <w14:ligatures w14:val="none"/>
          </w:rPr>
          <w:t>https://www.nationalvoices.org.uk/worktheme/person-centred-care/</w:t>
        </w:r>
      </w:hyperlink>
      <w:r w:rsidRPr="00641000">
        <w:rPr>
          <w:rFonts w:ascii="Arial" w:eastAsia="Arial" w:hAnsi="Arial" w:cs="Arial"/>
          <w:kern w:val="0"/>
          <w:lang w:val="en-GB"/>
          <w14:ligatures w14:val="none"/>
        </w:rPr>
        <w:t xml:space="preserve"> [Accessed on: 7.4.2026]</w:t>
      </w:r>
    </w:p>
    <w:p w14:paraId="1C75CC01" w14:textId="77777777" w:rsidR="00B12A95" w:rsidRPr="00B12A95" w:rsidRDefault="00B12A95" w:rsidP="00B12A95">
      <w:pPr>
        <w:spacing w:before="120" w:after="120" w:line="360" w:lineRule="auto"/>
        <w:jc w:val="both"/>
        <w:rPr>
          <w:rFonts w:ascii="Arial" w:hAnsi="Arial" w:cs="Arial"/>
          <w:lang w:val="en-US"/>
        </w:rPr>
      </w:pPr>
      <w:r w:rsidRPr="00B12A95">
        <w:rPr>
          <w:rFonts w:ascii="Arial" w:hAnsi="Arial" w:cs="Arial"/>
          <w:lang w:val="en-US"/>
        </w:rPr>
        <w:t xml:space="preserve">NHS (2022) </w:t>
      </w:r>
      <w:r w:rsidRPr="00B12A95">
        <w:rPr>
          <w:rFonts w:ascii="Arial" w:hAnsi="Arial" w:cs="Arial"/>
          <w:i/>
          <w:iCs/>
          <w:lang w:val="en-US"/>
        </w:rPr>
        <w:t>Homeless Health Community of Practice – summary report</w:t>
      </w:r>
      <w:r w:rsidRPr="00B12A95">
        <w:rPr>
          <w:rFonts w:ascii="Arial" w:hAnsi="Arial" w:cs="Arial"/>
          <w:lang w:val="en-US"/>
        </w:rPr>
        <w:t xml:space="preserve">. Available at: </w:t>
      </w:r>
      <w:hyperlink r:id="rId10" w:tgtFrame="_new" w:history="1">
        <w:r w:rsidRPr="00B12A95">
          <w:rPr>
            <w:rStyle w:val="Hyperlink"/>
            <w:rFonts w:ascii="Arial" w:hAnsi="Arial" w:cs="Arial"/>
            <w:lang w:val="en-US"/>
          </w:rPr>
          <w:t>https://www.transformationpartners.nhs.uk/wp-content/uploads/2022/01/Homeless-Health-Community-of-Practice--mental-health-provisions-summary-report.pdf</w:t>
        </w:r>
      </w:hyperlink>
      <w:r w:rsidRPr="00B12A95">
        <w:rPr>
          <w:rFonts w:ascii="Arial" w:hAnsi="Arial" w:cs="Arial"/>
          <w:lang w:val="en-US"/>
        </w:rPr>
        <w:t xml:space="preserve"> (Accessed: 2 April 2026).</w:t>
      </w:r>
    </w:p>
    <w:p w14:paraId="6E200007"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lastRenderedPageBreak/>
        <w:t xml:space="preserve">NHS. (2015). </w:t>
      </w:r>
      <w:r w:rsidRPr="00641000">
        <w:rPr>
          <w:rFonts w:ascii="Arial" w:eastAsia="Arial" w:hAnsi="Arial" w:cs="Arial"/>
          <w:i/>
          <w:iCs/>
          <w:kern w:val="0"/>
          <w:lang w:val="en-GB"/>
          <w14:ligatures w14:val="none"/>
        </w:rPr>
        <w:t>Developing Systems Leadership [Online]</w:t>
      </w:r>
      <w:r w:rsidRPr="00641000">
        <w:rPr>
          <w:rFonts w:ascii="Arial" w:eastAsia="Arial" w:hAnsi="Arial" w:cs="Arial"/>
          <w:kern w:val="0"/>
          <w:lang w:val="en-GB"/>
          <w14:ligatures w14:val="none"/>
        </w:rPr>
        <w:t xml:space="preserve">. Available at: </w:t>
      </w:r>
      <w:hyperlink r:id="rId11" w:history="1">
        <w:r w:rsidRPr="00641000">
          <w:rPr>
            <w:rFonts w:ascii="Arial" w:eastAsia="Arial" w:hAnsi="Arial" w:cs="Arial"/>
            <w:kern w:val="0"/>
            <w:u w:val="single"/>
            <w:lang w:val="en-GB"/>
            <w14:ligatures w14:val="none"/>
          </w:rPr>
          <w:t>https://www.leadershipacademy.nhs.uk/wp-content/uploads/dlm_uploads/2018/10/Developing-Systems-Leadership-July-2017.pdf</w:t>
        </w:r>
      </w:hyperlink>
      <w:r w:rsidRPr="00641000">
        <w:rPr>
          <w:rFonts w:ascii="Arial" w:eastAsia="Arial" w:hAnsi="Arial" w:cs="Arial"/>
          <w:kern w:val="0"/>
          <w:lang w:val="en-GB"/>
          <w14:ligatures w14:val="none"/>
        </w:rPr>
        <w:t xml:space="preserve"> [Accessed on: 8.4.2026]</w:t>
      </w:r>
    </w:p>
    <w:p w14:paraId="5CADF930"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Noel, L., Chen, Q., Petruzzi, L. J., Phillips, F., Garay, R., Valdez, C., Aranda. M. P. and Jones, B. (2022). Interprofessional collaboration between social workers and community health workers to address health and mental health in the United States: A systematised review. </w:t>
      </w:r>
      <w:r w:rsidRPr="00641000">
        <w:rPr>
          <w:rFonts w:ascii="Arial" w:eastAsia="Arial" w:hAnsi="Arial" w:cs="Arial"/>
          <w:i/>
          <w:iCs/>
          <w:kern w:val="0"/>
          <w:lang w:val="en-GB"/>
          <w14:ligatures w14:val="none"/>
        </w:rPr>
        <w:t>Health &amp; social care in the community</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30</w:t>
      </w:r>
      <w:r w:rsidRPr="00641000">
        <w:rPr>
          <w:rFonts w:ascii="Arial" w:eastAsia="Arial" w:hAnsi="Arial" w:cs="Arial"/>
          <w:kern w:val="0"/>
          <w:lang w:val="en-GB"/>
          <w14:ligatures w14:val="none"/>
        </w:rPr>
        <w:t>(6), e6240-e6254.</w:t>
      </w:r>
    </w:p>
    <w:p w14:paraId="193D8EF7"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Nuffield Trust. (2021). </w:t>
      </w:r>
      <w:r w:rsidRPr="00641000">
        <w:rPr>
          <w:rFonts w:ascii="Arial" w:eastAsia="Arial" w:hAnsi="Arial" w:cs="Arial"/>
          <w:i/>
          <w:iCs/>
          <w:kern w:val="0"/>
          <w:lang w:val="en-GB"/>
          <w14:ligatures w14:val="none"/>
        </w:rPr>
        <w:t>Integrating health and social care [Online]</w:t>
      </w:r>
      <w:r w:rsidRPr="00641000">
        <w:rPr>
          <w:rFonts w:ascii="Arial" w:eastAsia="Arial" w:hAnsi="Arial" w:cs="Arial"/>
          <w:kern w:val="0"/>
          <w:lang w:val="en-GB"/>
          <w14:ligatures w14:val="none"/>
        </w:rPr>
        <w:t xml:space="preserve">. Available at: </w:t>
      </w:r>
      <w:hyperlink r:id="rId12" w:history="1">
        <w:r w:rsidRPr="00641000">
          <w:rPr>
            <w:rFonts w:ascii="Arial" w:eastAsia="Arial" w:hAnsi="Arial" w:cs="Arial"/>
            <w:kern w:val="0"/>
            <w:u w:val="single"/>
            <w:lang w:val="en-GB"/>
            <w14:ligatures w14:val="none"/>
          </w:rPr>
          <w:t>https://www.nuffieldtrust.org.uk/sites/default/files/2021-12/integrated-care-web.pdf</w:t>
        </w:r>
      </w:hyperlink>
      <w:r w:rsidRPr="00641000">
        <w:rPr>
          <w:rFonts w:ascii="Arial" w:eastAsia="Arial" w:hAnsi="Arial" w:cs="Arial"/>
          <w:kern w:val="0"/>
          <w:lang w:val="en-GB"/>
          <w14:ligatures w14:val="none"/>
        </w:rPr>
        <w:t xml:space="preserve"> [Accessed on: 7.4.2026]</w:t>
      </w:r>
    </w:p>
    <w:p w14:paraId="69A25C1D"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proofErr w:type="spellStart"/>
      <w:r w:rsidRPr="00641000">
        <w:rPr>
          <w:rFonts w:ascii="Arial" w:eastAsia="Arial" w:hAnsi="Arial" w:cs="Arial"/>
          <w:kern w:val="0"/>
          <w:lang w:val="en-GB"/>
          <w14:ligatures w14:val="none"/>
        </w:rPr>
        <w:t>Odoemelam</w:t>
      </w:r>
      <w:proofErr w:type="spellEnd"/>
      <w:r w:rsidRPr="00641000">
        <w:rPr>
          <w:rFonts w:ascii="Arial" w:eastAsia="Arial" w:hAnsi="Arial" w:cs="Arial"/>
          <w:kern w:val="0"/>
          <w:lang w:val="en-GB"/>
          <w14:ligatures w14:val="none"/>
        </w:rPr>
        <w:t xml:space="preserve">, C. C., and </w:t>
      </w:r>
      <w:proofErr w:type="spellStart"/>
      <w:r w:rsidRPr="00641000">
        <w:rPr>
          <w:rFonts w:ascii="Arial" w:eastAsia="Arial" w:hAnsi="Arial" w:cs="Arial"/>
          <w:kern w:val="0"/>
          <w:lang w:val="en-GB"/>
          <w14:ligatures w14:val="none"/>
        </w:rPr>
        <w:t>Orighomisan</w:t>
      </w:r>
      <w:proofErr w:type="spellEnd"/>
      <w:r w:rsidRPr="00641000">
        <w:rPr>
          <w:rFonts w:ascii="Arial" w:eastAsia="Arial" w:hAnsi="Arial" w:cs="Arial"/>
          <w:kern w:val="0"/>
          <w:lang w:val="en-GB"/>
          <w14:ligatures w14:val="none"/>
        </w:rPr>
        <w:t xml:space="preserve">, M. B. (2025). Breaking Barriers: Effective Communication as a Frontier for Reducing Healthcare Disparities in Okada, Edo State, Nigeria. </w:t>
      </w:r>
      <w:r w:rsidRPr="00641000">
        <w:rPr>
          <w:rFonts w:ascii="Arial" w:eastAsia="Arial" w:hAnsi="Arial" w:cs="Arial"/>
          <w:i/>
          <w:iCs/>
          <w:kern w:val="0"/>
          <w:lang w:val="en-GB"/>
          <w14:ligatures w14:val="none"/>
        </w:rPr>
        <w:t>International Journal of Sub-Saharan African Research</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3</w:t>
      </w:r>
      <w:r w:rsidRPr="00641000">
        <w:rPr>
          <w:rFonts w:ascii="Arial" w:eastAsia="Arial" w:hAnsi="Arial" w:cs="Arial"/>
          <w:kern w:val="0"/>
          <w:lang w:val="en-GB"/>
          <w14:ligatures w14:val="none"/>
        </w:rPr>
        <w:t>(2), 150-164.</w:t>
      </w:r>
    </w:p>
    <w:p w14:paraId="14B4C231"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SCIE. (2024). </w:t>
      </w:r>
      <w:r w:rsidRPr="00641000">
        <w:rPr>
          <w:rFonts w:ascii="Arial" w:eastAsia="Arial" w:hAnsi="Arial" w:cs="Arial"/>
          <w:i/>
          <w:iCs/>
          <w:kern w:val="0"/>
          <w:lang w:val="en-GB"/>
          <w14:ligatures w14:val="none"/>
        </w:rPr>
        <w:t>Logic model for integrated care [Online]</w:t>
      </w:r>
      <w:r w:rsidRPr="00641000">
        <w:rPr>
          <w:rFonts w:ascii="Arial" w:eastAsia="Arial" w:hAnsi="Arial" w:cs="Arial"/>
          <w:kern w:val="0"/>
          <w:lang w:val="en-GB"/>
          <w14:ligatures w14:val="none"/>
        </w:rPr>
        <w:t xml:space="preserve">. Available at: </w:t>
      </w:r>
      <w:hyperlink r:id="rId13" w:history="1">
        <w:r w:rsidRPr="00641000">
          <w:rPr>
            <w:rFonts w:ascii="Arial" w:eastAsia="Arial" w:hAnsi="Arial" w:cs="Arial"/>
            <w:kern w:val="0"/>
            <w:u w:val="single"/>
            <w:lang w:val="en-GB"/>
            <w14:ligatures w14:val="none"/>
          </w:rPr>
          <w:t>https://www.scie.org.uk/integrated-care/logic-model-for-integrated-care/</w:t>
        </w:r>
      </w:hyperlink>
      <w:r w:rsidRPr="00641000">
        <w:rPr>
          <w:rFonts w:ascii="Arial" w:eastAsia="Arial" w:hAnsi="Arial" w:cs="Arial"/>
          <w:kern w:val="0"/>
          <w:lang w:val="en-GB"/>
          <w14:ligatures w14:val="none"/>
        </w:rPr>
        <w:t xml:space="preserve"> [Accessed on: 7.4.2026]</w:t>
      </w:r>
    </w:p>
    <w:p w14:paraId="758A9CBA"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Sheehy. R. (2017). </w:t>
      </w:r>
      <w:r w:rsidRPr="00641000">
        <w:rPr>
          <w:rFonts w:ascii="Arial" w:eastAsia="Arial" w:hAnsi="Arial" w:cs="Arial"/>
          <w:i/>
          <w:iCs/>
          <w:kern w:val="0"/>
          <w:lang w:val="en-GB"/>
          <w14:ligatures w14:val="none"/>
        </w:rPr>
        <w:t>Partnership Working in Health and Social Care: The Bridge Perspective [Online]</w:t>
      </w:r>
      <w:r w:rsidRPr="00641000">
        <w:rPr>
          <w:rFonts w:ascii="Arial" w:eastAsia="Arial" w:hAnsi="Arial" w:cs="Arial"/>
          <w:kern w:val="0"/>
          <w:lang w:val="en-GB"/>
          <w14:ligatures w14:val="none"/>
        </w:rPr>
        <w:t xml:space="preserve">. Available at: </w:t>
      </w:r>
      <w:hyperlink r:id="rId14" w:history="1">
        <w:r w:rsidRPr="00641000">
          <w:rPr>
            <w:rFonts w:ascii="Arial" w:eastAsia="Arial" w:hAnsi="Arial" w:cs="Arial"/>
            <w:kern w:val="0"/>
            <w:u w:val="single"/>
            <w:lang w:val="en-GB"/>
            <w14:ligatures w14:val="none"/>
          </w:rPr>
          <w:t>https://www.therecoveryplace.co.uk/partnership-working-in-health-and-social-care-the-bridge-perspective/</w:t>
        </w:r>
      </w:hyperlink>
      <w:r w:rsidRPr="00641000">
        <w:rPr>
          <w:rFonts w:ascii="Arial" w:eastAsia="Arial" w:hAnsi="Arial" w:cs="Arial"/>
          <w:kern w:val="0"/>
          <w:lang w:val="en-GB"/>
          <w14:ligatures w14:val="none"/>
        </w:rPr>
        <w:t xml:space="preserve"> [Accessed on: 7.4.2026]</w:t>
      </w:r>
    </w:p>
    <w:p w14:paraId="61AB7DFC"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Turner, R. R., Hart, J., Carr, N., Bull, E., Fraser, J., and Byrne-Davis, L. (2024). Interview study exploring how global health partnership principles are enacted and recommendations for practice. </w:t>
      </w:r>
      <w:r w:rsidRPr="00641000">
        <w:rPr>
          <w:rFonts w:ascii="Arial" w:eastAsia="Arial" w:hAnsi="Arial" w:cs="Arial"/>
          <w:i/>
          <w:iCs/>
          <w:kern w:val="0"/>
          <w:lang w:val="en-GB"/>
          <w14:ligatures w14:val="none"/>
        </w:rPr>
        <w:t>BMJ open</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14</w:t>
      </w:r>
      <w:r w:rsidRPr="00641000">
        <w:rPr>
          <w:rFonts w:ascii="Arial" w:eastAsia="Arial" w:hAnsi="Arial" w:cs="Arial"/>
          <w:kern w:val="0"/>
          <w:lang w:val="en-GB"/>
          <w14:ligatures w14:val="none"/>
        </w:rPr>
        <w:t>(6), e076475.</w:t>
      </w:r>
    </w:p>
    <w:p w14:paraId="0B0D147A"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UK Legislation. (2022). </w:t>
      </w:r>
      <w:r w:rsidRPr="00641000">
        <w:rPr>
          <w:rFonts w:ascii="Arial" w:eastAsia="Arial" w:hAnsi="Arial" w:cs="Arial"/>
          <w:i/>
          <w:iCs/>
          <w:kern w:val="0"/>
          <w:lang w:val="en-GB"/>
          <w14:ligatures w14:val="none"/>
        </w:rPr>
        <w:t>Health and Care Act 2022 [Online]</w:t>
      </w:r>
      <w:r w:rsidRPr="00641000">
        <w:rPr>
          <w:rFonts w:ascii="Arial" w:eastAsia="Arial" w:hAnsi="Arial" w:cs="Arial"/>
          <w:kern w:val="0"/>
          <w:lang w:val="en-GB"/>
          <w14:ligatures w14:val="none"/>
        </w:rPr>
        <w:t xml:space="preserve">. Retrieved from: </w:t>
      </w:r>
      <w:hyperlink r:id="rId15" w:history="1">
        <w:r w:rsidRPr="00641000">
          <w:rPr>
            <w:rFonts w:ascii="Arial" w:eastAsia="Arial" w:hAnsi="Arial" w:cs="Arial"/>
            <w:kern w:val="0"/>
            <w:u w:val="single"/>
            <w:lang w:val="en-GB"/>
            <w14:ligatures w14:val="none"/>
          </w:rPr>
          <w:t>https://www.legislation.gov.uk/ukpga/2022/31/pdfs/ukpga_20220031_en.pdf</w:t>
        </w:r>
      </w:hyperlink>
      <w:r w:rsidRPr="00641000">
        <w:rPr>
          <w:rFonts w:ascii="Arial" w:eastAsia="Arial" w:hAnsi="Arial" w:cs="Arial"/>
          <w:kern w:val="0"/>
          <w:lang w:val="en-GB"/>
          <w14:ligatures w14:val="none"/>
        </w:rPr>
        <w:t xml:space="preserve"> [Retrieved on: 8.4.2026]</w:t>
      </w:r>
    </w:p>
    <w:p w14:paraId="0FD73D54" w14:textId="77777777" w:rsidR="00B12A95" w:rsidRPr="00B12A95" w:rsidRDefault="00B12A95" w:rsidP="00B12A95">
      <w:pPr>
        <w:spacing w:before="120" w:after="120" w:line="360" w:lineRule="auto"/>
        <w:jc w:val="both"/>
        <w:rPr>
          <w:rFonts w:ascii="Arial" w:hAnsi="Arial" w:cs="Arial"/>
          <w:lang w:val="en-US"/>
        </w:rPr>
      </w:pPr>
      <w:r w:rsidRPr="00B12A95">
        <w:rPr>
          <w:rFonts w:ascii="Arial" w:hAnsi="Arial" w:cs="Arial"/>
          <w:lang w:val="en-US"/>
        </w:rPr>
        <w:t xml:space="preserve">Westminster City Council (2024) </w:t>
      </w:r>
      <w:r w:rsidRPr="00B12A95">
        <w:rPr>
          <w:rFonts w:ascii="Arial" w:hAnsi="Arial" w:cs="Arial"/>
          <w:i/>
          <w:iCs/>
          <w:lang w:val="en-US"/>
        </w:rPr>
        <w:t>Multiple disadvantage in Westminster: Population Needs Assessment</w:t>
      </w:r>
      <w:r w:rsidRPr="00B12A95">
        <w:rPr>
          <w:rFonts w:ascii="Arial" w:hAnsi="Arial" w:cs="Arial"/>
          <w:lang w:val="en-US"/>
        </w:rPr>
        <w:t xml:space="preserve">. Available at: </w:t>
      </w:r>
      <w:hyperlink r:id="rId16" w:tgtFrame="_new" w:history="1">
        <w:r w:rsidRPr="00B12A95">
          <w:rPr>
            <w:rStyle w:val="Hyperlink"/>
            <w:rFonts w:ascii="Arial" w:hAnsi="Arial" w:cs="Arial"/>
            <w:lang w:val="en-US"/>
          </w:rPr>
          <w:t>https://www.westminster.gov.uk/sites/default/files/media/documents/Multi%20Disadvantage%20in%20Westminster%20-%20Population%20Needs%20Assesment.pdf</w:t>
        </w:r>
      </w:hyperlink>
      <w:r w:rsidRPr="00B12A95">
        <w:rPr>
          <w:rFonts w:ascii="Arial" w:hAnsi="Arial" w:cs="Arial"/>
          <w:lang w:val="en-US"/>
        </w:rPr>
        <w:t xml:space="preserve"> (Accessed: 2 April 2026).</w:t>
      </w:r>
    </w:p>
    <w:sectPr w:rsidR="00B12A95" w:rsidRPr="00B12A95" w:rsidSect="00AD41B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84D59" w14:textId="77777777" w:rsidR="00C26C8A" w:rsidRDefault="00C26C8A">
      <w:pPr>
        <w:spacing w:after="0" w:line="240" w:lineRule="auto"/>
      </w:pPr>
      <w:r>
        <w:separator/>
      </w:r>
    </w:p>
  </w:endnote>
  <w:endnote w:type="continuationSeparator" w:id="0">
    <w:p w14:paraId="3F1132CC" w14:textId="77777777" w:rsidR="00C26C8A" w:rsidRDefault="00C26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szCs w:val="24"/>
      </w:rPr>
      <w:id w:val="2067220871"/>
      <w:docPartObj>
        <w:docPartGallery w:val="Page Numbers (Bottom of Page)"/>
        <w:docPartUnique/>
      </w:docPartObj>
    </w:sdtPr>
    <w:sdtEndPr>
      <w:rPr>
        <w:noProof/>
        <w:sz w:val="22"/>
        <w:szCs w:val="22"/>
      </w:rPr>
    </w:sdtEndPr>
    <w:sdtContent>
      <w:p w14:paraId="51739D83" w14:textId="233D59CF" w:rsidR="00AD41B6" w:rsidRPr="00E4370C" w:rsidRDefault="00AD41B6" w:rsidP="00E4370C">
        <w:pPr>
          <w:pStyle w:val="Footer"/>
          <w:jc w:val="right"/>
        </w:pPr>
        <w:r w:rsidRPr="00E4370C">
          <w:fldChar w:fldCharType="begin"/>
        </w:r>
        <w:r w:rsidRPr="00E4370C">
          <w:instrText xml:space="preserve"> PAGE   \* MERGEFORMAT </w:instrText>
        </w:r>
        <w:r w:rsidRPr="00E4370C">
          <w:fldChar w:fldCharType="separate"/>
        </w:r>
        <w:r w:rsidRPr="00E4370C">
          <w:rPr>
            <w:noProof/>
          </w:rPr>
          <w:t>2</w:t>
        </w:r>
        <w:r w:rsidRPr="00E4370C">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35CDD" w14:textId="77777777" w:rsidR="00C26C8A" w:rsidRDefault="00C26C8A">
      <w:pPr>
        <w:spacing w:after="0" w:line="240" w:lineRule="auto"/>
      </w:pPr>
      <w:r>
        <w:separator/>
      </w:r>
    </w:p>
  </w:footnote>
  <w:footnote w:type="continuationSeparator" w:id="0">
    <w:p w14:paraId="2205878B" w14:textId="77777777" w:rsidR="00C26C8A" w:rsidRDefault="00C26C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1B6"/>
    <w:rsid w:val="000424BF"/>
    <w:rsid w:val="000A6E5F"/>
    <w:rsid w:val="000D5974"/>
    <w:rsid w:val="0011419B"/>
    <w:rsid w:val="001403D4"/>
    <w:rsid w:val="0018607D"/>
    <w:rsid w:val="001A6061"/>
    <w:rsid w:val="0021361A"/>
    <w:rsid w:val="00281B71"/>
    <w:rsid w:val="0029053D"/>
    <w:rsid w:val="00382E80"/>
    <w:rsid w:val="003A6F80"/>
    <w:rsid w:val="00430206"/>
    <w:rsid w:val="00511836"/>
    <w:rsid w:val="0056720B"/>
    <w:rsid w:val="005A006A"/>
    <w:rsid w:val="005F40EE"/>
    <w:rsid w:val="00601654"/>
    <w:rsid w:val="006234B6"/>
    <w:rsid w:val="00641000"/>
    <w:rsid w:val="006E233B"/>
    <w:rsid w:val="00775FA7"/>
    <w:rsid w:val="008718C5"/>
    <w:rsid w:val="008A451E"/>
    <w:rsid w:val="00974CCE"/>
    <w:rsid w:val="00992388"/>
    <w:rsid w:val="009B23BF"/>
    <w:rsid w:val="00A56877"/>
    <w:rsid w:val="00A90571"/>
    <w:rsid w:val="00AD41B6"/>
    <w:rsid w:val="00AE5DEC"/>
    <w:rsid w:val="00B12A95"/>
    <w:rsid w:val="00B36180"/>
    <w:rsid w:val="00C26C8A"/>
    <w:rsid w:val="00DA3642"/>
    <w:rsid w:val="00E4370C"/>
    <w:rsid w:val="00EE3B18"/>
    <w:rsid w:val="00F22C96"/>
    <w:rsid w:val="00F46A1A"/>
    <w:rsid w:val="00FB1B5F"/>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C999F"/>
  <w15:chartTrackingRefBased/>
  <w15:docId w15:val="{2A5C9E79-0DD9-4C49-89D3-CE27EB0A9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1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D41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41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41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41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41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1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1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1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1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D41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41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41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41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41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1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1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1B6"/>
    <w:rPr>
      <w:rFonts w:eastAsiaTheme="majorEastAsia" w:cstheme="majorBidi"/>
      <w:color w:val="272727" w:themeColor="text1" w:themeTint="D8"/>
    </w:rPr>
  </w:style>
  <w:style w:type="paragraph" w:styleId="Title">
    <w:name w:val="Title"/>
    <w:basedOn w:val="Normal"/>
    <w:next w:val="Normal"/>
    <w:link w:val="TitleChar"/>
    <w:uiPriority w:val="10"/>
    <w:qFormat/>
    <w:rsid w:val="00AD41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1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1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1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1B6"/>
    <w:pPr>
      <w:spacing w:before="160"/>
      <w:jc w:val="center"/>
    </w:pPr>
    <w:rPr>
      <w:i/>
      <w:iCs/>
      <w:color w:val="404040" w:themeColor="text1" w:themeTint="BF"/>
    </w:rPr>
  </w:style>
  <w:style w:type="character" w:customStyle="1" w:styleId="QuoteChar">
    <w:name w:val="Quote Char"/>
    <w:basedOn w:val="DefaultParagraphFont"/>
    <w:link w:val="Quote"/>
    <w:uiPriority w:val="29"/>
    <w:rsid w:val="00AD41B6"/>
    <w:rPr>
      <w:i/>
      <w:iCs/>
      <w:color w:val="404040" w:themeColor="text1" w:themeTint="BF"/>
    </w:rPr>
  </w:style>
  <w:style w:type="paragraph" w:styleId="ListParagraph">
    <w:name w:val="List Paragraph"/>
    <w:basedOn w:val="Normal"/>
    <w:uiPriority w:val="34"/>
    <w:qFormat/>
    <w:rsid w:val="00AD41B6"/>
    <w:pPr>
      <w:ind w:left="720"/>
      <w:contextualSpacing/>
    </w:pPr>
  </w:style>
  <w:style w:type="character" w:styleId="IntenseEmphasis">
    <w:name w:val="Intense Emphasis"/>
    <w:basedOn w:val="DefaultParagraphFont"/>
    <w:uiPriority w:val="21"/>
    <w:qFormat/>
    <w:rsid w:val="00AD41B6"/>
    <w:rPr>
      <w:i/>
      <w:iCs/>
      <w:color w:val="2F5496" w:themeColor="accent1" w:themeShade="BF"/>
    </w:rPr>
  </w:style>
  <w:style w:type="paragraph" w:styleId="IntenseQuote">
    <w:name w:val="Intense Quote"/>
    <w:basedOn w:val="Normal"/>
    <w:next w:val="Normal"/>
    <w:link w:val="IntenseQuoteChar"/>
    <w:uiPriority w:val="30"/>
    <w:qFormat/>
    <w:rsid w:val="00AD41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41B6"/>
    <w:rPr>
      <w:i/>
      <w:iCs/>
      <w:color w:val="2F5496" w:themeColor="accent1" w:themeShade="BF"/>
    </w:rPr>
  </w:style>
  <w:style w:type="character" w:styleId="IntenseReference">
    <w:name w:val="Intense Reference"/>
    <w:basedOn w:val="DefaultParagraphFont"/>
    <w:uiPriority w:val="32"/>
    <w:qFormat/>
    <w:rsid w:val="00AD41B6"/>
    <w:rPr>
      <w:b/>
      <w:bCs/>
      <w:smallCaps/>
      <w:color w:val="2F5496" w:themeColor="accent1" w:themeShade="BF"/>
      <w:spacing w:val="5"/>
    </w:rPr>
  </w:style>
  <w:style w:type="paragraph" w:styleId="Footer">
    <w:name w:val="footer"/>
    <w:basedOn w:val="Normal"/>
    <w:link w:val="FooterChar"/>
    <w:uiPriority w:val="99"/>
    <w:unhideWhenUsed/>
    <w:rsid w:val="00AD41B6"/>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AD41B6"/>
    <w:rPr>
      <w:rFonts w:ascii="Arial" w:eastAsia="Arial" w:hAnsi="Arial" w:cs="Arial"/>
      <w:kern w:val="0"/>
      <w:lang w:val=""/>
      <w14:ligatures w14:val="none"/>
    </w:rPr>
  </w:style>
  <w:style w:type="paragraph" w:styleId="TOC1">
    <w:name w:val="toc 1"/>
    <w:basedOn w:val="Normal"/>
    <w:next w:val="Normal"/>
    <w:autoRedefine/>
    <w:uiPriority w:val="39"/>
    <w:unhideWhenUsed/>
    <w:rsid w:val="005A006A"/>
    <w:pPr>
      <w:spacing w:after="100"/>
    </w:pPr>
  </w:style>
  <w:style w:type="paragraph" w:styleId="TOC2">
    <w:name w:val="toc 2"/>
    <w:basedOn w:val="Normal"/>
    <w:next w:val="Normal"/>
    <w:autoRedefine/>
    <w:uiPriority w:val="39"/>
    <w:unhideWhenUsed/>
    <w:rsid w:val="005A006A"/>
    <w:pPr>
      <w:spacing w:after="100"/>
      <w:ind w:left="220"/>
    </w:pPr>
  </w:style>
  <w:style w:type="character" w:styleId="Hyperlink">
    <w:name w:val="Hyperlink"/>
    <w:basedOn w:val="DefaultParagraphFont"/>
    <w:uiPriority w:val="99"/>
    <w:unhideWhenUsed/>
    <w:rsid w:val="005A006A"/>
    <w:rPr>
      <w:color w:val="0563C1" w:themeColor="hyperlink"/>
      <w:u w:val="single"/>
    </w:rPr>
  </w:style>
  <w:style w:type="character" w:styleId="UnresolvedMention">
    <w:name w:val="Unresolved Mention"/>
    <w:basedOn w:val="DefaultParagraphFont"/>
    <w:uiPriority w:val="99"/>
    <w:semiHidden/>
    <w:unhideWhenUsed/>
    <w:rsid w:val="00B12A95"/>
    <w:rPr>
      <w:color w:val="605E5C"/>
      <w:shd w:val="clear" w:color="auto" w:fill="E1DFDD"/>
    </w:rPr>
  </w:style>
  <w:style w:type="paragraph" w:styleId="Header">
    <w:name w:val="header"/>
    <w:basedOn w:val="Normal"/>
    <w:link w:val="HeaderChar"/>
    <w:uiPriority w:val="99"/>
    <w:unhideWhenUsed/>
    <w:rsid w:val="00E437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37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376798">
      <w:bodyDiv w:val="1"/>
      <w:marLeft w:val="0"/>
      <w:marRight w:val="0"/>
      <w:marTop w:val="0"/>
      <w:marBottom w:val="0"/>
      <w:divBdr>
        <w:top w:val="none" w:sz="0" w:space="0" w:color="auto"/>
        <w:left w:val="none" w:sz="0" w:space="0" w:color="auto"/>
        <w:bottom w:val="none" w:sz="0" w:space="0" w:color="auto"/>
        <w:right w:val="none" w:sz="0" w:space="0" w:color="auto"/>
      </w:divBdr>
    </w:div>
    <w:div w:id="549461595">
      <w:bodyDiv w:val="1"/>
      <w:marLeft w:val="0"/>
      <w:marRight w:val="0"/>
      <w:marTop w:val="0"/>
      <w:marBottom w:val="0"/>
      <w:divBdr>
        <w:top w:val="none" w:sz="0" w:space="0" w:color="auto"/>
        <w:left w:val="none" w:sz="0" w:space="0" w:color="auto"/>
        <w:bottom w:val="none" w:sz="0" w:space="0" w:color="auto"/>
        <w:right w:val="none" w:sz="0" w:space="0" w:color="auto"/>
      </w:divBdr>
    </w:div>
    <w:div w:id="1268272349">
      <w:bodyDiv w:val="1"/>
      <w:marLeft w:val="0"/>
      <w:marRight w:val="0"/>
      <w:marTop w:val="0"/>
      <w:marBottom w:val="0"/>
      <w:divBdr>
        <w:top w:val="none" w:sz="0" w:space="0" w:color="auto"/>
        <w:left w:val="none" w:sz="0" w:space="0" w:color="auto"/>
        <w:bottom w:val="none" w:sz="0" w:space="0" w:color="auto"/>
        <w:right w:val="none" w:sz="0" w:space="0" w:color="auto"/>
      </w:divBdr>
    </w:div>
    <w:div w:id="1553810975">
      <w:bodyDiv w:val="1"/>
      <w:marLeft w:val="0"/>
      <w:marRight w:val="0"/>
      <w:marTop w:val="0"/>
      <w:marBottom w:val="0"/>
      <w:divBdr>
        <w:top w:val="none" w:sz="0" w:space="0" w:color="auto"/>
        <w:left w:val="none" w:sz="0" w:space="0" w:color="auto"/>
        <w:bottom w:val="none" w:sz="0" w:space="0" w:color="auto"/>
        <w:right w:val="none" w:sz="0" w:space="0" w:color="auto"/>
      </w:divBdr>
    </w:div>
    <w:div w:id="1654990084">
      <w:bodyDiv w:val="1"/>
      <w:marLeft w:val="0"/>
      <w:marRight w:val="0"/>
      <w:marTop w:val="0"/>
      <w:marBottom w:val="0"/>
      <w:divBdr>
        <w:top w:val="none" w:sz="0" w:space="0" w:color="auto"/>
        <w:left w:val="none" w:sz="0" w:space="0" w:color="auto"/>
        <w:bottom w:val="none" w:sz="0" w:space="0" w:color="auto"/>
        <w:right w:val="none" w:sz="0" w:space="0" w:color="auto"/>
      </w:divBdr>
    </w:div>
    <w:div w:id="1752968455">
      <w:bodyDiv w:val="1"/>
      <w:marLeft w:val="0"/>
      <w:marRight w:val="0"/>
      <w:marTop w:val="0"/>
      <w:marBottom w:val="0"/>
      <w:divBdr>
        <w:top w:val="none" w:sz="0" w:space="0" w:color="auto"/>
        <w:left w:val="none" w:sz="0" w:space="0" w:color="auto"/>
        <w:bottom w:val="none" w:sz="0" w:space="0" w:color="auto"/>
        <w:right w:val="none" w:sz="0" w:space="0" w:color="auto"/>
      </w:divBdr>
    </w:div>
    <w:div w:id="1766421374">
      <w:bodyDiv w:val="1"/>
      <w:marLeft w:val="0"/>
      <w:marRight w:val="0"/>
      <w:marTop w:val="0"/>
      <w:marBottom w:val="0"/>
      <w:divBdr>
        <w:top w:val="none" w:sz="0" w:space="0" w:color="auto"/>
        <w:left w:val="none" w:sz="0" w:space="0" w:color="auto"/>
        <w:bottom w:val="none" w:sz="0" w:space="0" w:color="auto"/>
        <w:right w:val="none" w:sz="0" w:space="0" w:color="auto"/>
      </w:divBdr>
    </w:div>
    <w:div w:id="1876187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org.uk/integrated-care/logic-model-for-integrated-car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www.nuffieldtrust.org.uk/sites/default/files/2021-12/integrated-care-web.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estminster.gov.uk/sites/default/files/media/documents/Multi%20Disadvantage%20in%20Westminster%20-%20Population%20Needs%20Assesment.pdf"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leadershipacademy.nhs.uk/wp-content/uploads/dlm_uploads/2018/10/Developing-Systems-Leadership-July-2017.pdf" TargetMode="External"/><Relationship Id="rId5" Type="http://schemas.openxmlformats.org/officeDocument/2006/relationships/endnotes" Target="endnotes.xml"/><Relationship Id="rId15" Type="http://schemas.openxmlformats.org/officeDocument/2006/relationships/hyperlink" Target="https://www.legislation.gov.uk/ukpga/2022/31/pdfs/ukpga_20220031_en.pdf" TargetMode="External"/><Relationship Id="rId10" Type="http://schemas.openxmlformats.org/officeDocument/2006/relationships/hyperlink" Target="https://www.transformationpartners.nhs.uk/wp-content/uploads/2022/01/Homeless-Health-Community-of-Practice--mental-health-provisions-summary-report.pdf" TargetMode="External"/><Relationship Id="rId4" Type="http://schemas.openxmlformats.org/officeDocument/2006/relationships/footnotes" Target="footnotes.xml"/><Relationship Id="rId9" Type="http://schemas.openxmlformats.org/officeDocument/2006/relationships/hyperlink" Target="https://www.nationalvoices.org.uk/worktheme/person-centred-care/" TargetMode="External"/><Relationship Id="rId14" Type="http://schemas.openxmlformats.org/officeDocument/2006/relationships/hyperlink" Target="https://www.therecoveryplace.co.uk/partnership-working-in-health-and-social-care-the-bridge-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13</Pages>
  <Words>3426</Words>
  <Characters>21958</Characters>
  <Application>Microsoft Office Word</Application>
  <DocSecurity>0</DocSecurity>
  <Lines>350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17563</cp:lastModifiedBy>
  <cp:revision>3</cp:revision>
  <dcterms:created xsi:type="dcterms:W3CDTF">2026-04-08T10:19:00Z</dcterms:created>
  <dcterms:modified xsi:type="dcterms:W3CDTF">2026-04-10T06:56:00Z</dcterms:modified>
</cp:coreProperties>
</file>