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90E305" w14:textId="77777777" w:rsidR="005C2178" w:rsidRDefault="005C2178" w:rsidP="005C2178">
      <w:pPr>
        <w:jc w:val="center"/>
        <w:rPr>
          <w:sz w:val="40"/>
          <w:szCs w:val="40"/>
          <w:u w:val="single"/>
        </w:rPr>
      </w:pPr>
      <w:r w:rsidRPr="008C0716">
        <w:rPr>
          <w:sz w:val="40"/>
          <w:szCs w:val="40"/>
          <w:u w:val="single"/>
        </w:rPr>
        <w:t>Critical Commentary on ‘The Rule of St Benedict’</w:t>
      </w:r>
      <w:r>
        <w:rPr>
          <w:sz w:val="40"/>
          <w:szCs w:val="40"/>
          <w:u w:val="single"/>
        </w:rPr>
        <w:t xml:space="preserve"> </w:t>
      </w:r>
      <w:r w:rsidRPr="008C0716">
        <w:rPr>
          <w:sz w:val="40"/>
          <w:szCs w:val="40"/>
          <w:u w:val="single"/>
        </w:rPr>
        <w:t>Extract.</w:t>
      </w:r>
    </w:p>
    <w:p w14:paraId="137A81C3" w14:textId="77777777" w:rsidR="005C2178" w:rsidRPr="008C0716" w:rsidRDefault="005C2178" w:rsidP="005C2178">
      <w:pPr>
        <w:pStyle w:val="NoSpacing"/>
        <w:jc w:val="right"/>
        <w:rPr>
          <w:sz w:val="16"/>
          <w:szCs w:val="16"/>
        </w:rPr>
      </w:pPr>
      <w:r w:rsidRPr="008C0716">
        <w:rPr>
          <w:sz w:val="16"/>
          <w:szCs w:val="16"/>
        </w:rPr>
        <w:t>Darren Tierney</w:t>
      </w:r>
    </w:p>
    <w:p w14:paraId="5DD0D5E7" w14:textId="77777777" w:rsidR="005C2178" w:rsidRPr="008C0716" w:rsidRDefault="005C2178" w:rsidP="005C2178">
      <w:pPr>
        <w:pStyle w:val="NoSpacing"/>
        <w:jc w:val="right"/>
        <w:rPr>
          <w:sz w:val="16"/>
          <w:szCs w:val="16"/>
        </w:rPr>
      </w:pPr>
      <w:r w:rsidRPr="008C0716">
        <w:rPr>
          <w:sz w:val="16"/>
          <w:szCs w:val="16"/>
        </w:rPr>
        <w:t>Level 6</w:t>
      </w:r>
    </w:p>
    <w:p w14:paraId="2FAAE45F" w14:textId="77777777" w:rsidR="005C2178" w:rsidRDefault="005C2178" w:rsidP="005C2178">
      <w:pPr>
        <w:pStyle w:val="NoSpacing"/>
        <w:jc w:val="right"/>
        <w:rPr>
          <w:sz w:val="16"/>
          <w:szCs w:val="16"/>
        </w:rPr>
      </w:pPr>
      <w:r w:rsidRPr="008C0716">
        <w:rPr>
          <w:sz w:val="16"/>
          <w:szCs w:val="16"/>
        </w:rPr>
        <w:t>27/02/2024</w:t>
      </w:r>
    </w:p>
    <w:p w14:paraId="27BB0379" w14:textId="77777777" w:rsidR="009D6579" w:rsidRDefault="009D6579"/>
    <w:p w14:paraId="1A0E7CD5" w14:textId="77777777" w:rsidR="005C2178" w:rsidRDefault="005C2178" w:rsidP="005C2178">
      <w:pPr>
        <w:ind w:firstLine="720"/>
      </w:pPr>
    </w:p>
    <w:p w14:paraId="4B2C3228" w14:textId="03344D88" w:rsidR="001E44F4" w:rsidRDefault="005C2178" w:rsidP="001E44F4">
      <w:pPr>
        <w:ind w:firstLine="720"/>
      </w:pPr>
      <w:r>
        <w:t xml:space="preserve">In this </w:t>
      </w:r>
      <w:r w:rsidR="001E44F4">
        <w:t>c</w:t>
      </w:r>
      <w:r>
        <w:t>ritical commentary I will be looking at an extract from the ‘Rule of St Benedict’.</w:t>
      </w:r>
      <w:r>
        <w:rPr>
          <w:rStyle w:val="FootnoteReference"/>
        </w:rPr>
        <w:footnoteReference w:id="1"/>
      </w:r>
      <w:r>
        <w:t xml:space="preserve"> Benedict himself was an early medieval monk that was active in the 7</w:t>
      </w:r>
      <w:r w:rsidRPr="008C0716">
        <w:rPr>
          <w:vertAlign w:val="superscript"/>
        </w:rPr>
        <w:t>th</w:t>
      </w:r>
      <w:r>
        <w:t xml:space="preserve"> century and spent a lot of time in hermitage</w:t>
      </w:r>
      <w:r w:rsidR="001E44F4">
        <w:t xml:space="preserve"> and lived a simple life</w:t>
      </w:r>
      <w:r>
        <w:t xml:space="preserve"> </w:t>
      </w:r>
      <w:r w:rsidR="001E44F4">
        <w:t>as</w:t>
      </w:r>
      <w:r>
        <w:t xml:space="preserve"> the desert fathers</w:t>
      </w:r>
      <w:r w:rsidR="001E44F4">
        <w:t xml:space="preserve"> once did</w:t>
      </w:r>
      <w:r>
        <w:t xml:space="preserve">. It could be speculated that the rule put forth by Benedict was the origin for modern day monastic practices, but some took the rule to be a loose guideline rather than a strict set of laws set out by Benedict. </w:t>
      </w:r>
      <w:r w:rsidR="001E44F4">
        <w:t xml:space="preserve">Due to the age of the </w:t>
      </w:r>
      <w:proofErr w:type="gramStart"/>
      <w:r w:rsidR="001E44F4">
        <w:t>document</w:t>
      </w:r>
      <w:proofErr w:type="gramEnd"/>
      <w:r w:rsidR="00481866">
        <w:t xml:space="preserve"> </w:t>
      </w:r>
      <w:r>
        <w:t xml:space="preserve">it is difficult to tell if the core material has been changed from </w:t>
      </w:r>
      <w:r w:rsidR="001E44F4">
        <w:t>Benedict’s</w:t>
      </w:r>
      <w:r>
        <w:t xml:space="preserve"> original statement.</w:t>
      </w:r>
      <w:r>
        <w:rPr>
          <w:rStyle w:val="FootnoteReference"/>
        </w:rPr>
        <w:footnoteReference w:id="2"/>
      </w:r>
      <w:r w:rsidR="007B59FA" w:rsidRPr="007B59FA">
        <w:t xml:space="preserve"> </w:t>
      </w:r>
      <w:r w:rsidR="007B59FA">
        <w:t>‘Throughout the Rule, Benedict reveals a great awareness of and grip of the present. But he links that present to the beyond rather than to the future.’</w:t>
      </w:r>
      <w:r w:rsidR="007B59FA">
        <w:rPr>
          <w:rStyle w:val="FootnoteReference"/>
        </w:rPr>
        <w:footnoteReference w:id="3"/>
      </w:r>
    </w:p>
    <w:p w14:paraId="02C8ECC2" w14:textId="6C9D566F" w:rsidR="005C2178" w:rsidRDefault="001E44F4" w:rsidP="001E44F4">
      <w:pPr>
        <w:ind w:firstLine="720"/>
      </w:pPr>
      <w:r>
        <w:t xml:space="preserve"> </w:t>
      </w:r>
      <w:r w:rsidR="005C2178">
        <w:t xml:space="preserve">The extract from the rule states that there are ‘four types of monks’: coenobites, anchorites, </w:t>
      </w:r>
      <w:proofErr w:type="spellStart"/>
      <w:r w:rsidR="005C2178">
        <w:t>sarabaites</w:t>
      </w:r>
      <w:proofErr w:type="spellEnd"/>
      <w:r w:rsidR="005C2178">
        <w:t xml:space="preserve"> and </w:t>
      </w:r>
      <w:proofErr w:type="spellStart"/>
      <w:r w:rsidR="005C2178">
        <w:t>gyrovagues</w:t>
      </w:r>
      <w:proofErr w:type="spellEnd"/>
      <w:r w:rsidR="005C2178">
        <w:t>. Although this extract only describes the former two. The first type of monks are coenobites, these monks are simply described with two short statements initially, ‘those who live in monasteries’ and that they ‘serve under the rule of an abbot’.</w:t>
      </w:r>
      <w:r w:rsidR="005C2178">
        <w:rPr>
          <w:rStyle w:val="FootnoteReference"/>
        </w:rPr>
        <w:footnoteReference w:id="4"/>
      </w:r>
      <w:r w:rsidR="005C2178">
        <w:t xml:space="preserve"> The lack of description makes it seem that these types of monks are not the focus of the text, but the first two types of monks exist in tandem rather than being distinct archetypes.</w:t>
      </w:r>
      <w:r>
        <w:t xml:space="preserve"> T</w:t>
      </w:r>
      <w:r w:rsidR="005C2178">
        <w:t xml:space="preserve">he sparse description of the </w:t>
      </w:r>
      <w:r>
        <w:t>c</w:t>
      </w:r>
      <w:r w:rsidR="005C2178">
        <w:t>oenobite almost seems to lack importance, but when we look in detail, we see this is a very necessary part in the evolution of a monk</w:t>
      </w:r>
      <w:r>
        <w:t>,</w:t>
      </w:r>
      <w:r w:rsidR="005C2178">
        <w:t xml:space="preserve"> and Benedict even states that this is his preferred type of monk </w:t>
      </w:r>
      <w:r>
        <w:t>out of the four</w:t>
      </w:r>
      <w:r w:rsidR="005C2178">
        <w:t>.</w:t>
      </w:r>
      <w:r w:rsidR="005C2178">
        <w:rPr>
          <w:rStyle w:val="FootnoteReference"/>
        </w:rPr>
        <w:footnoteReference w:id="5"/>
      </w:r>
    </w:p>
    <w:p w14:paraId="1FAACB78" w14:textId="77777777" w:rsidR="005C2178" w:rsidRDefault="005C2178" w:rsidP="005C2178">
      <w:pPr>
        <w:ind w:firstLine="720"/>
      </w:pPr>
    </w:p>
    <w:p w14:paraId="34E4D91F" w14:textId="2AE1015D" w:rsidR="005C2178" w:rsidRDefault="005C2178" w:rsidP="005C2178">
      <w:pPr>
        <w:ind w:firstLine="720"/>
      </w:pPr>
      <w:r>
        <w:t>The second type of monks seems to be the focus of this text</w:t>
      </w:r>
      <w:r w:rsidR="001E44F4">
        <w:t>,</w:t>
      </w:r>
      <w:r>
        <w:t xml:space="preserve"> and we are given a colourful description of </w:t>
      </w:r>
      <w:r w:rsidR="001E44F4">
        <w:t>an anchorite</w:t>
      </w:r>
      <w:r>
        <w:t xml:space="preserve">. It </w:t>
      </w:r>
      <w:r w:rsidR="001E44F4">
        <w:t>describes</w:t>
      </w:r>
      <w:r>
        <w:t xml:space="preserve"> that th</w:t>
      </w:r>
      <w:r w:rsidR="001E44F4">
        <w:t>ese</w:t>
      </w:r>
      <w:r>
        <w:t xml:space="preserve"> type</w:t>
      </w:r>
      <w:r w:rsidR="001E44F4">
        <w:t>s</w:t>
      </w:r>
      <w:r>
        <w:t xml:space="preserve"> of monk</w:t>
      </w:r>
      <w:r w:rsidR="001E44F4">
        <w:t>s are</w:t>
      </w:r>
      <w:r>
        <w:t xml:space="preserve"> ‘those who</w:t>
      </w:r>
      <w:r w:rsidR="001E44F4">
        <w:t xml:space="preserve"> [are]</w:t>
      </w:r>
      <w:r>
        <w:t xml:space="preserve"> not in the first fervour of their conversion, but after long probation in a monastery’.</w:t>
      </w:r>
      <w:r>
        <w:rPr>
          <w:rStyle w:val="FootnoteReference"/>
        </w:rPr>
        <w:footnoteReference w:id="6"/>
      </w:r>
      <w:r>
        <w:t xml:space="preserve"> </w:t>
      </w:r>
      <w:r w:rsidR="007B59FA">
        <w:t>This describes a</w:t>
      </w:r>
      <w:r>
        <w:t xml:space="preserve"> monk that takes learning and training in a monastery and chooses to become a hermit after </w:t>
      </w:r>
      <w:r w:rsidR="001E44F4">
        <w:t>gaining wisdom</w:t>
      </w:r>
      <w:r>
        <w:t xml:space="preserve"> ‘in association with many brethren how to fight against the devil’.</w:t>
      </w:r>
      <w:r>
        <w:rPr>
          <w:rStyle w:val="FootnoteReference"/>
        </w:rPr>
        <w:footnoteReference w:id="7"/>
      </w:r>
      <w:r>
        <w:t xml:space="preserve"> As these virtues are mirrored from the apostolic traditions of the conception of Christianity, in fashion the rule associates the fight against the devil with the ancient tradition of the myth of the desert fathers.</w:t>
      </w:r>
      <w:r>
        <w:rPr>
          <w:rStyle w:val="FootnoteReference"/>
        </w:rPr>
        <w:footnoteReference w:id="8"/>
      </w:r>
      <w:r>
        <w:t xml:space="preserve"> Burton suggests that these ideologies between the desert fathers and the rule of </w:t>
      </w:r>
      <w:r>
        <w:lastRenderedPageBreak/>
        <w:t>St Benedict could be fused. They do not need to be at the opposite extremes of the monastic experience.</w:t>
      </w:r>
      <w:r>
        <w:rPr>
          <w:rStyle w:val="FootnoteReference"/>
        </w:rPr>
        <w:footnoteReference w:id="9"/>
      </w:r>
    </w:p>
    <w:p w14:paraId="6CDF9D71" w14:textId="77777777" w:rsidR="005C2178" w:rsidRDefault="005C2178" w:rsidP="005C2178">
      <w:pPr>
        <w:ind w:firstLine="720"/>
      </w:pPr>
    </w:p>
    <w:p w14:paraId="19D37CF4" w14:textId="638A0846" w:rsidR="005C2178" w:rsidRDefault="005C2178" w:rsidP="0063358E">
      <w:pPr>
        <w:ind w:firstLine="720"/>
      </w:pPr>
      <w:r>
        <w:t>The third and fourth monk types are ones that Benedict dislikes, and they are mentioned directly after the extract</w:t>
      </w:r>
      <w:r w:rsidR="007B59FA">
        <w:t>. T</w:t>
      </w:r>
      <w:r>
        <w:t xml:space="preserve">hey give a good counterpart to the </w:t>
      </w:r>
      <w:r w:rsidR="007B59FA">
        <w:t>c</w:t>
      </w:r>
      <w:r>
        <w:t xml:space="preserve">oenobites and the </w:t>
      </w:r>
      <w:r w:rsidR="007B59FA">
        <w:t>a</w:t>
      </w:r>
      <w:r>
        <w:t xml:space="preserve">nchorites. The </w:t>
      </w:r>
      <w:proofErr w:type="spellStart"/>
      <w:r>
        <w:t>sarabaites</w:t>
      </w:r>
      <w:proofErr w:type="spellEnd"/>
      <w:r>
        <w:t xml:space="preserve"> are described to almost be heretical, and benedict specifically detests them, they have not been tested ‘like gold in the furnace’ by any rule such as the </w:t>
      </w:r>
      <w:r w:rsidR="001E44F4">
        <w:t>c</w:t>
      </w:r>
      <w:r>
        <w:t xml:space="preserve">oenobitic monks, they are self-serving and ‘lying to God’. The </w:t>
      </w:r>
      <w:proofErr w:type="spellStart"/>
      <w:r>
        <w:t>gyrovagues</w:t>
      </w:r>
      <w:proofErr w:type="spellEnd"/>
      <w:r>
        <w:t xml:space="preserve"> are detailed to be faithless hermits and travellers, profiting through the ‘snares of greed’ and are in ‘every way worse tha</w:t>
      </w:r>
      <w:r w:rsidR="007B59FA">
        <w:t>n</w:t>
      </w:r>
      <w:r>
        <w:t xml:space="preserve"> the </w:t>
      </w:r>
      <w:proofErr w:type="spellStart"/>
      <w:r>
        <w:t>sarabaites</w:t>
      </w:r>
      <w:proofErr w:type="spellEnd"/>
      <w:r>
        <w:t>’. Benedict then states that we should ‘proceed with God’s help to ma</w:t>
      </w:r>
      <w:r w:rsidR="007B59FA">
        <w:t>k</w:t>
      </w:r>
      <w:r>
        <w:t>e provision for the coenobites who are the most effective kind of monks’ showing hi</w:t>
      </w:r>
      <w:r w:rsidR="007B59FA">
        <w:t xml:space="preserve">s favour towards coenobitic </w:t>
      </w:r>
      <w:r>
        <w:t>monkhood.</w:t>
      </w:r>
      <w:r>
        <w:rPr>
          <w:rStyle w:val="FootnoteReference"/>
        </w:rPr>
        <w:footnoteReference w:id="10"/>
      </w:r>
      <w:r>
        <w:t xml:space="preserve"> </w:t>
      </w:r>
      <w:r w:rsidR="007B59FA">
        <w:t>We see this in</w:t>
      </w:r>
      <w:r w:rsidR="0063358E">
        <w:t xml:space="preserve"> monastic houses such as the Cistercians</w:t>
      </w:r>
      <w:r w:rsidR="007B59FA">
        <w:t>, where they</w:t>
      </w:r>
      <w:r w:rsidR="0063358E">
        <w:t xml:space="preserve"> professed their aim was a literal enactment of the Rule</w:t>
      </w:r>
      <w:r w:rsidR="007B59FA">
        <w:t>, and their practices followed this tradition</w:t>
      </w:r>
      <w:r w:rsidR="0063358E">
        <w:t>.</w:t>
      </w:r>
      <w:r w:rsidR="0063358E">
        <w:rPr>
          <w:rStyle w:val="FootnoteReference"/>
        </w:rPr>
        <w:footnoteReference w:id="11"/>
      </w:r>
      <w:r>
        <w:t xml:space="preserve">   </w:t>
      </w:r>
    </w:p>
    <w:p w14:paraId="616D5CED" w14:textId="77777777" w:rsidR="005C2178" w:rsidRDefault="005C2178" w:rsidP="005C2178">
      <w:pPr>
        <w:ind w:firstLine="720"/>
      </w:pPr>
    </w:p>
    <w:p w14:paraId="489ACEDC" w14:textId="193D03EC" w:rsidR="005C2178" w:rsidRDefault="005C2178" w:rsidP="007B59FA">
      <w:pPr>
        <w:ind w:firstLine="720"/>
      </w:pPr>
      <w:r>
        <w:t>The final sentence of the extract states that after there is rigorous training with the monastery, the monk is ‘able now to live without the help of others, and by their own strength and God’s assistance, to fight against the temptation of the mind and body’.</w:t>
      </w:r>
      <w:r>
        <w:rPr>
          <w:rStyle w:val="FootnoteReference"/>
        </w:rPr>
        <w:footnoteReference w:id="12"/>
      </w:r>
      <w:r>
        <w:t xml:space="preserve"> This suggest</w:t>
      </w:r>
      <w:r w:rsidR="007B59FA">
        <w:t>s</w:t>
      </w:r>
      <w:r>
        <w:t xml:space="preserve"> the anchorite is one of a higher stage of enlightenment</w:t>
      </w:r>
      <w:r w:rsidR="00D93704">
        <w:t>, although strength in coenobites is what is necessary for the fortitude of the monastery to be upheld.</w:t>
      </w:r>
      <w:r>
        <w:t xml:space="preserve"> </w:t>
      </w:r>
      <w:r w:rsidR="00D93704">
        <w:t>T</w:t>
      </w:r>
      <w:r>
        <w:t xml:space="preserve">he ability to take the sins of the world and mankind on your shoulders is strength worth having, just as St </w:t>
      </w:r>
      <w:r w:rsidR="00F81CA2">
        <w:t>B</w:t>
      </w:r>
      <w:r>
        <w:t>enedict himself lived the pious life as a hermit.</w:t>
      </w:r>
      <w:r w:rsidR="007B59FA">
        <w:t xml:space="preserve"> </w:t>
      </w:r>
      <w:r>
        <w:t>It is through this meticulous and strict training that one achieves the ability to live free of all sin as God intended. This specific distinction is detailed more further into the text, as monks that become hermits in their first fervour of their conversion are simply misguided, to know solitary life under the authority of God and properly combat the devil for the greater good of humanity, one should lead a life of commune and comradery.</w:t>
      </w:r>
      <w:r w:rsidR="00481866">
        <w:t xml:space="preserve"> </w:t>
      </w:r>
    </w:p>
    <w:p w14:paraId="75FEA549" w14:textId="77777777" w:rsidR="005C2178" w:rsidRDefault="005C2178" w:rsidP="005C2178">
      <w:pPr>
        <w:ind w:firstLine="720"/>
      </w:pPr>
    </w:p>
    <w:p w14:paraId="70A59B90" w14:textId="680C81F6" w:rsidR="005C2178" w:rsidRDefault="005C2178"/>
    <w:p w14:paraId="2E9D1F63" w14:textId="77777777" w:rsidR="00F81CA2" w:rsidRDefault="00F81CA2"/>
    <w:p w14:paraId="4A20C749" w14:textId="5D1F9C89" w:rsidR="007B59FA" w:rsidRDefault="007B59FA"/>
    <w:p w14:paraId="471FF7DF" w14:textId="77777777" w:rsidR="007B59FA" w:rsidRDefault="007B59FA"/>
    <w:p w14:paraId="366ED9F4" w14:textId="77777777" w:rsidR="007B59FA" w:rsidRDefault="007B59FA"/>
    <w:p w14:paraId="4D1D3712" w14:textId="77777777" w:rsidR="007B59FA" w:rsidRDefault="007B59FA"/>
    <w:p w14:paraId="63D55443" w14:textId="77777777" w:rsidR="007B59FA" w:rsidRDefault="007B59FA"/>
    <w:p w14:paraId="14E1105A" w14:textId="77777777" w:rsidR="007B59FA" w:rsidRDefault="007B59FA"/>
    <w:p w14:paraId="48730007" w14:textId="77777777" w:rsidR="00F81CA2" w:rsidRPr="00EB6307" w:rsidRDefault="00F81CA2" w:rsidP="00F81CA2">
      <w:pPr>
        <w:ind w:firstLine="720"/>
        <w:jc w:val="center"/>
        <w:rPr>
          <w:sz w:val="40"/>
          <w:szCs w:val="40"/>
          <w:u w:val="single"/>
        </w:rPr>
      </w:pPr>
      <w:r w:rsidRPr="00EB6307">
        <w:rPr>
          <w:sz w:val="40"/>
          <w:szCs w:val="40"/>
          <w:u w:val="single"/>
        </w:rPr>
        <w:lastRenderedPageBreak/>
        <w:t>Bibliography</w:t>
      </w:r>
    </w:p>
    <w:p w14:paraId="7ED4F4FD" w14:textId="77777777" w:rsidR="00F81CA2" w:rsidRPr="00EB6307" w:rsidRDefault="00F81CA2" w:rsidP="00F81CA2">
      <w:pPr>
        <w:rPr>
          <w:sz w:val="32"/>
          <w:szCs w:val="32"/>
          <w:u w:val="single"/>
        </w:rPr>
      </w:pPr>
      <w:r w:rsidRPr="00EB6307">
        <w:rPr>
          <w:sz w:val="32"/>
          <w:szCs w:val="32"/>
          <w:u w:val="single"/>
        </w:rPr>
        <w:t>Primary Sources</w:t>
      </w:r>
    </w:p>
    <w:p w14:paraId="4AC7960E" w14:textId="36A93FB0" w:rsidR="00F81CA2" w:rsidRPr="00EB6307" w:rsidRDefault="00501E09" w:rsidP="00F81CA2">
      <w:r>
        <w:t xml:space="preserve">Benedict of </w:t>
      </w:r>
      <w:proofErr w:type="spellStart"/>
      <w:r>
        <w:t>Nursia</w:t>
      </w:r>
      <w:proofErr w:type="spellEnd"/>
      <w:r>
        <w:t>,</w:t>
      </w:r>
      <w:r w:rsidR="00F81CA2">
        <w:t xml:space="preserve"> </w:t>
      </w:r>
      <w:r w:rsidR="00F81CA2">
        <w:rPr>
          <w:i/>
          <w:iCs/>
        </w:rPr>
        <w:t>The Rule of</w:t>
      </w:r>
      <w:r>
        <w:rPr>
          <w:i/>
          <w:iCs/>
        </w:rPr>
        <w:t xml:space="preserve"> </w:t>
      </w:r>
      <w:r w:rsidR="00F81CA2">
        <w:rPr>
          <w:i/>
          <w:iCs/>
        </w:rPr>
        <w:t>Benedict</w:t>
      </w:r>
      <w:r>
        <w:rPr>
          <w:i/>
          <w:iCs/>
        </w:rPr>
        <w:t>,</w:t>
      </w:r>
      <w:r>
        <w:t xml:space="preserve"> trans. C. White, ed. C. White, (London: Penguin Group, 2008)  </w:t>
      </w:r>
      <w:r>
        <w:rPr>
          <w:i/>
          <w:iCs/>
        </w:rPr>
        <w:t xml:space="preserve"> </w:t>
      </w:r>
      <w:r w:rsidR="00F81CA2">
        <w:t xml:space="preserve"> </w:t>
      </w:r>
    </w:p>
    <w:p w14:paraId="65D47292" w14:textId="77777777" w:rsidR="00F81CA2" w:rsidRDefault="00F81CA2" w:rsidP="00F81CA2">
      <w:pPr>
        <w:rPr>
          <w:sz w:val="32"/>
          <w:szCs w:val="32"/>
          <w:u w:val="single"/>
        </w:rPr>
      </w:pPr>
      <w:r w:rsidRPr="00EB6307">
        <w:rPr>
          <w:sz w:val="32"/>
          <w:szCs w:val="32"/>
          <w:u w:val="single"/>
        </w:rPr>
        <w:t>Secondary Sources</w:t>
      </w:r>
    </w:p>
    <w:p w14:paraId="223C42ED" w14:textId="7E9DB5BE" w:rsidR="00F81CA2" w:rsidRPr="0063358E" w:rsidRDefault="00F81CA2" w:rsidP="00F81CA2">
      <w:pPr>
        <w:rPr>
          <w:sz w:val="32"/>
          <w:szCs w:val="32"/>
          <w:u w:val="single"/>
        </w:rPr>
      </w:pPr>
      <w:r>
        <w:t>Burton,</w:t>
      </w:r>
      <w:r w:rsidR="0063358E">
        <w:t xml:space="preserve"> J., Kerr, J.,</w:t>
      </w:r>
      <w:r>
        <w:t xml:space="preserve"> </w:t>
      </w:r>
      <w:r>
        <w:rPr>
          <w:i/>
          <w:iCs/>
        </w:rPr>
        <w:t>The Cistercians in the Middle Ages</w:t>
      </w:r>
      <w:r w:rsidR="0063358E">
        <w:rPr>
          <w:i/>
          <w:iCs/>
        </w:rPr>
        <w:t xml:space="preserve"> </w:t>
      </w:r>
      <w:r w:rsidR="0063358E">
        <w:t>(Woodbridge: The Boydell Press, 2011)</w:t>
      </w:r>
    </w:p>
    <w:p w14:paraId="21182C96" w14:textId="77777777" w:rsidR="00D05007" w:rsidRDefault="0063358E" w:rsidP="00D05007">
      <w:proofErr w:type="spellStart"/>
      <w:r>
        <w:t>Matarasso</w:t>
      </w:r>
      <w:proofErr w:type="spellEnd"/>
      <w:r>
        <w:t>, P.,</w:t>
      </w:r>
      <w:r w:rsidR="00D05007">
        <w:t xml:space="preserve"> </w:t>
      </w:r>
      <w:r w:rsidR="00D05007">
        <w:rPr>
          <w:i/>
          <w:iCs/>
        </w:rPr>
        <w:t xml:space="preserve">The Cistercian World: Monastic Writings of the Twelfth Century </w:t>
      </w:r>
      <w:r w:rsidR="00D05007">
        <w:t>(London: Penguin Group, 1993)</w:t>
      </w:r>
      <w:r w:rsidR="00D05007" w:rsidRPr="00D05007">
        <w:t xml:space="preserve"> </w:t>
      </w:r>
    </w:p>
    <w:p w14:paraId="5133A675" w14:textId="4E7607DB" w:rsidR="00D05007" w:rsidRPr="0063358E" w:rsidRDefault="00D05007" w:rsidP="00D05007">
      <w:r>
        <w:t xml:space="preserve">Murray, P., Chained to Christ: Benedict of </w:t>
      </w:r>
      <w:proofErr w:type="spellStart"/>
      <w:r>
        <w:t>Nursia</w:t>
      </w:r>
      <w:proofErr w:type="spellEnd"/>
      <w:r>
        <w:t xml:space="preserve">, A.D. 480-1980, </w:t>
      </w:r>
      <w:r>
        <w:rPr>
          <w:i/>
          <w:iCs/>
        </w:rPr>
        <w:t>The Furrow</w:t>
      </w:r>
      <w:r>
        <w:t>, 31, 7 (1980) 460-466</w:t>
      </w:r>
    </w:p>
    <w:p w14:paraId="3E6C57F2" w14:textId="77777777" w:rsidR="00D05007" w:rsidRPr="00501E09" w:rsidRDefault="00D05007" w:rsidP="00D05007">
      <w:r>
        <w:t xml:space="preserve">Ward, B., </w:t>
      </w:r>
      <w:r w:rsidRPr="00501E09">
        <w:rPr>
          <w:i/>
          <w:iCs/>
        </w:rPr>
        <w:t xml:space="preserve">The </w:t>
      </w:r>
      <w:r>
        <w:rPr>
          <w:i/>
          <w:iCs/>
        </w:rPr>
        <w:t>S</w:t>
      </w:r>
      <w:r w:rsidRPr="00501E09">
        <w:rPr>
          <w:i/>
          <w:iCs/>
        </w:rPr>
        <w:t xml:space="preserve">ayings of </w:t>
      </w:r>
      <w:r>
        <w:rPr>
          <w:i/>
          <w:iCs/>
        </w:rPr>
        <w:t>the D</w:t>
      </w:r>
      <w:r w:rsidRPr="00501E09">
        <w:rPr>
          <w:i/>
          <w:iCs/>
        </w:rPr>
        <w:t xml:space="preserve">esert </w:t>
      </w:r>
      <w:r>
        <w:rPr>
          <w:i/>
          <w:iCs/>
        </w:rPr>
        <w:t>F</w:t>
      </w:r>
      <w:r w:rsidRPr="00501E09">
        <w:rPr>
          <w:i/>
          <w:iCs/>
        </w:rPr>
        <w:t>athers</w:t>
      </w:r>
      <w:r>
        <w:rPr>
          <w:i/>
          <w:iCs/>
        </w:rPr>
        <w:t>: The Alphabetical Collection,</w:t>
      </w:r>
      <w:r>
        <w:t xml:space="preserve"> (Oxford: Cistercian Publications, 1975)</w:t>
      </w:r>
      <w:r>
        <w:rPr>
          <w:i/>
          <w:iCs/>
        </w:rPr>
        <w:t xml:space="preserve"> </w:t>
      </w:r>
    </w:p>
    <w:p w14:paraId="03B817BA" w14:textId="4585C7B8" w:rsidR="00F81CA2" w:rsidRPr="0063358E" w:rsidRDefault="00F81CA2">
      <w:pPr>
        <w:rPr>
          <w:i/>
          <w:iCs/>
        </w:rPr>
      </w:pPr>
    </w:p>
    <w:sectPr w:rsidR="00F81CA2" w:rsidRPr="006335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AE1380" w14:textId="77777777" w:rsidR="00CE07B0" w:rsidRDefault="00CE07B0" w:rsidP="005C2178">
      <w:pPr>
        <w:spacing w:after="0" w:line="240" w:lineRule="auto"/>
      </w:pPr>
      <w:r>
        <w:separator/>
      </w:r>
    </w:p>
  </w:endnote>
  <w:endnote w:type="continuationSeparator" w:id="0">
    <w:p w14:paraId="65445B65" w14:textId="77777777" w:rsidR="00CE07B0" w:rsidRDefault="00CE07B0" w:rsidP="005C2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022D3A" w14:textId="77777777" w:rsidR="00CE07B0" w:rsidRDefault="00CE07B0" w:rsidP="005C2178">
      <w:pPr>
        <w:spacing w:after="0" w:line="240" w:lineRule="auto"/>
      </w:pPr>
      <w:r>
        <w:separator/>
      </w:r>
    </w:p>
  </w:footnote>
  <w:footnote w:type="continuationSeparator" w:id="0">
    <w:p w14:paraId="053975A6" w14:textId="77777777" w:rsidR="00CE07B0" w:rsidRDefault="00CE07B0" w:rsidP="005C2178">
      <w:pPr>
        <w:spacing w:after="0" w:line="240" w:lineRule="auto"/>
      </w:pPr>
      <w:r>
        <w:continuationSeparator/>
      </w:r>
    </w:p>
  </w:footnote>
  <w:footnote w:id="1">
    <w:p w14:paraId="0998F66E" w14:textId="22953D63" w:rsidR="005C2178" w:rsidRDefault="005C2178">
      <w:pPr>
        <w:pStyle w:val="FootnoteText"/>
      </w:pPr>
      <w:r>
        <w:rPr>
          <w:rStyle w:val="FootnoteReference"/>
        </w:rPr>
        <w:footnoteRef/>
      </w:r>
      <w:r>
        <w:t xml:space="preserve"> </w:t>
      </w:r>
      <w:r w:rsidR="00501E09">
        <w:t xml:space="preserve">Benedict of </w:t>
      </w:r>
      <w:proofErr w:type="spellStart"/>
      <w:r w:rsidR="00501E09">
        <w:t>Nursia</w:t>
      </w:r>
      <w:proofErr w:type="spellEnd"/>
      <w:r w:rsidR="00501E09">
        <w:t xml:space="preserve">, </w:t>
      </w:r>
      <w:r w:rsidR="00501E09">
        <w:rPr>
          <w:i/>
          <w:iCs/>
        </w:rPr>
        <w:t>The Rule of Benedict,</w:t>
      </w:r>
      <w:r w:rsidR="00501E09">
        <w:t xml:space="preserve"> trans. C. White, ed. C. White, (London: Penguin Group, 2008)</w:t>
      </w:r>
      <w:r>
        <w:t xml:space="preserve"> p. 54</w:t>
      </w:r>
    </w:p>
  </w:footnote>
  <w:footnote w:id="2">
    <w:p w14:paraId="42E29E06" w14:textId="3E98B72E" w:rsidR="005C2178" w:rsidRPr="0063358E" w:rsidRDefault="005C2178" w:rsidP="0063358E">
      <w:pPr>
        <w:pStyle w:val="NoSpacing"/>
        <w:rPr>
          <w:sz w:val="32"/>
          <w:szCs w:val="32"/>
          <w:u w:val="single"/>
        </w:rPr>
      </w:pPr>
      <w:r>
        <w:rPr>
          <w:rStyle w:val="FootnoteReference"/>
        </w:rPr>
        <w:footnoteRef/>
      </w:r>
      <w:r>
        <w:t xml:space="preserve"> </w:t>
      </w:r>
      <w:r w:rsidR="0063358E" w:rsidRPr="0063358E">
        <w:rPr>
          <w:sz w:val="20"/>
          <w:szCs w:val="20"/>
        </w:rPr>
        <w:t xml:space="preserve">J. Burton, J. Kerr, </w:t>
      </w:r>
      <w:r w:rsidR="0063358E" w:rsidRPr="0063358E">
        <w:rPr>
          <w:i/>
          <w:iCs/>
          <w:sz w:val="20"/>
          <w:szCs w:val="20"/>
        </w:rPr>
        <w:t xml:space="preserve">The Cistercians in the Middle Ages </w:t>
      </w:r>
      <w:r w:rsidR="0063358E" w:rsidRPr="0063358E">
        <w:rPr>
          <w:sz w:val="20"/>
          <w:szCs w:val="20"/>
        </w:rPr>
        <w:t xml:space="preserve">(Woodbridge: The Boydell Press, 2011) </w:t>
      </w:r>
      <w:r w:rsidRPr="0063358E">
        <w:rPr>
          <w:sz w:val="20"/>
          <w:szCs w:val="20"/>
        </w:rPr>
        <w:t>pp. 3-4</w:t>
      </w:r>
    </w:p>
  </w:footnote>
  <w:footnote w:id="3">
    <w:p w14:paraId="0CC1D5D0" w14:textId="77777777" w:rsidR="007B59FA" w:rsidRDefault="007B59FA" w:rsidP="007B59FA">
      <w:pPr>
        <w:pStyle w:val="NoSpacing"/>
      </w:pPr>
      <w:r>
        <w:rPr>
          <w:rStyle w:val="FootnoteReference"/>
        </w:rPr>
        <w:footnoteRef/>
      </w:r>
      <w:r>
        <w:t xml:space="preserve"> </w:t>
      </w:r>
      <w:r w:rsidRPr="007B59FA">
        <w:rPr>
          <w:sz w:val="20"/>
          <w:szCs w:val="20"/>
        </w:rPr>
        <w:t xml:space="preserve">P. Murray, Chained to Christ: Benedict of </w:t>
      </w:r>
      <w:proofErr w:type="spellStart"/>
      <w:r w:rsidRPr="007B59FA">
        <w:rPr>
          <w:sz w:val="20"/>
          <w:szCs w:val="20"/>
        </w:rPr>
        <w:t>Nursia</w:t>
      </w:r>
      <w:proofErr w:type="spellEnd"/>
      <w:r w:rsidRPr="007B59FA">
        <w:rPr>
          <w:sz w:val="20"/>
          <w:szCs w:val="20"/>
        </w:rPr>
        <w:t xml:space="preserve">, A.D. 480-1980, </w:t>
      </w:r>
      <w:r w:rsidRPr="007B59FA">
        <w:rPr>
          <w:i/>
          <w:iCs/>
          <w:sz w:val="20"/>
          <w:szCs w:val="20"/>
        </w:rPr>
        <w:t>The Furrow</w:t>
      </w:r>
      <w:r w:rsidRPr="007B59FA">
        <w:rPr>
          <w:sz w:val="20"/>
          <w:szCs w:val="20"/>
        </w:rPr>
        <w:t xml:space="preserve">, 31, 7 (1980) 460-466, p. </w:t>
      </w:r>
      <w:proofErr w:type="gramStart"/>
      <w:r w:rsidRPr="007B59FA">
        <w:rPr>
          <w:sz w:val="20"/>
          <w:szCs w:val="20"/>
        </w:rPr>
        <w:t>461</w:t>
      </w:r>
      <w:proofErr w:type="gramEnd"/>
    </w:p>
  </w:footnote>
  <w:footnote w:id="4">
    <w:p w14:paraId="712F8818" w14:textId="12AF806D" w:rsidR="005C2178" w:rsidRDefault="005C2178" w:rsidP="005C2178">
      <w:pPr>
        <w:pStyle w:val="FootnoteText"/>
      </w:pPr>
      <w:r>
        <w:rPr>
          <w:rStyle w:val="FootnoteReference"/>
        </w:rPr>
        <w:footnoteRef/>
      </w:r>
      <w:r>
        <w:t xml:space="preserve"> </w:t>
      </w:r>
      <w:r w:rsidR="00501E09">
        <w:t xml:space="preserve">Benedict of </w:t>
      </w:r>
      <w:proofErr w:type="spellStart"/>
      <w:r w:rsidR="00501E09">
        <w:t>Nursia</w:t>
      </w:r>
      <w:proofErr w:type="spellEnd"/>
      <w:r>
        <w:t xml:space="preserve">, </w:t>
      </w:r>
      <w:r>
        <w:rPr>
          <w:i/>
          <w:iCs/>
        </w:rPr>
        <w:t>The Rule of Benedict</w:t>
      </w:r>
      <w:r>
        <w:t>, p. 54</w:t>
      </w:r>
    </w:p>
  </w:footnote>
  <w:footnote w:id="5">
    <w:p w14:paraId="4784F4B6" w14:textId="5F3404C6" w:rsidR="005C2178" w:rsidRDefault="005C2178" w:rsidP="005C2178">
      <w:pPr>
        <w:pStyle w:val="FootnoteText"/>
      </w:pPr>
      <w:r>
        <w:rPr>
          <w:rStyle w:val="FootnoteReference"/>
        </w:rPr>
        <w:footnoteRef/>
      </w:r>
      <w:r>
        <w:t xml:space="preserve"> </w:t>
      </w:r>
      <w:r w:rsidR="00501E09">
        <w:t xml:space="preserve">Benedict of </w:t>
      </w:r>
      <w:proofErr w:type="spellStart"/>
      <w:r w:rsidR="00501E09">
        <w:t>Nursia</w:t>
      </w:r>
      <w:proofErr w:type="spellEnd"/>
      <w:r w:rsidR="00501E09">
        <w:t xml:space="preserve">, </w:t>
      </w:r>
      <w:r w:rsidR="00501E09">
        <w:rPr>
          <w:i/>
          <w:iCs/>
        </w:rPr>
        <w:t>The Rule of Benedict</w:t>
      </w:r>
      <w:r>
        <w:t>, p. 55</w:t>
      </w:r>
    </w:p>
  </w:footnote>
  <w:footnote w:id="6">
    <w:p w14:paraId="78101199" w14:textId="70337D8D" w:rsidR="005C2178" w:rsidRDefault="005C2178">
      <w:pPr>
        <w:pStyle w:val="FootnoteText"/>
      </w:pPr>
      <w:r>
        <w:rPr>
          <w:rStyle w:val="FootnoteReference"/>
        </w:rPr>
        <w:footnoteRef/>
      </w:r>
      <w:r>
        <w:t xml:space="preserve"> </w:t>
      </w:r>
      <w:r w:rsidR="00501E09">
        <w:t xml:space="preserve">Benedict of </w:t>
      </w:r>
      <w:proofErr w:type="spellStart"/>
      <w:r w:rsidR="00501E09">
        <w:t>Nursia</w:t>
      </w:r>
      <w:proofErr w:type="spellEnd"/>
      <w:r w:rsidR="00501E09">
        <w:t xml:space="preserve">, </w:t>
      </w:r>
      <w:r w:rsidR="00501E09">
        <w:rPr>
          <w:i/>
          <w:iCs/>
        </w:rPr>
        <w:t>The Rule of Benedict</w:t>
      </w:r>
      <w:r w:rsidR="00501E09">
        <w:t xml:space="preserve">, </w:t>
      </w:r>
      <w:r>
        <w:t>p. 54</w:t>
      </w:r>
    </w:p>
  </w:footnote>
  <w:footnote w:id="7">
    <w:p w14:paraId="4A6A3947" w14:textId="61931DCB" w:rsidR="005C2178" w:rsidRDefault="005C2178" w:rsidP="005C2178">
      <w:pPr>
        <w:pStyle w:val="FootnoteText"/>
      </w:pPr>
      <w:r>
        <w:rPr>
          <w:rStyle w:val="FootnoteReference"/>
        </w:rPr>
        <w:footnoteRef/>
      </w:r>
      <w:r>
        <w:t xml:space="preserve"> </w:t>
      </w:r>
      <w:r w:rsidR="00501E09">
        <w:t xml:space="preserve">Benedict of </w:t>
      </w:r>
      <w:proofErr w:type="spellStart"/>
      <w:r w:rsidR="00501E09">
        <w:t>Nursia</w:t>
      </w:r>
      <w:proofErr w:type="spellEnd"/>
      <w:r w:rsidR="00501E09">
        <w:t xml:space="preserve">, </w:t>
      </w:r>
      <w:r w:rsidR="00501E09">
        <w:rPr>
          <w:i/>
          <w:iCs/>
        </w:rPr>
        <w:t>The Rule of Benedict</w:t>
      </w:r>
      <w:r w:rsidR="00501E09">
        <w:t xml:space="preserve">, </w:t>
      </w:r>
      <w:r>
        <w:t>p. 54</w:t>
      </w:r>
    </w:p>
  </w:footnote>
  <w:footnote w:id="8">
    <w:p w14:paraId="6824296A" w14:textId="675DD2B8" w:rsidR="005C2178" w:rsidRDefault="005C2178" w:rsidP="005C2178">
      <w:pPr>
        <w:pStyle w:val="FootnoteText"/>
      </w:pPr>
      <w:r>
        <w:rPr>
          <w:rStyle w:val="FootnoteReference"/>
        </w:rPr>
        <w:footnoteRef/>
      </w:r>
      <w:r>
        <w:t xml:space="preserve"> </w:t>
      </w:r>
      <w:r w:rsidR="0063358E">
        <w:t xml:space="preserve">B. Ward, </w:t>
      </w:r>
      <w:r w:rsidR="0063358E" w:rsidRPr="00501E09">
        <w:rPr>
          <w:i/>
          <w:iCs/>
        </w:rPr>
        <w:t xml:space="preserve">The </w:t>
      </w:r>
      <w:r w:rsidR="0063358E">
        <w:rPr>
          <w:i/>
          <w:iCs/>
        </w:rPr>
        <w:t>S</w:t>
      </w:r>
      <w:r w:rsidR="0063358E" w:rsidRPr="00501E09">
        <w:rPr>
          <w:i/>
          <w:iCs/>
        </w:rPr>
        <w:t xml:space="preserve">ayings of </w:t>
      </w:r>
      <w:r w:rsidR="0063358E">
        <w:rPr>
          <w:i/>
          <w:iCs/>
        </w:rPr>
        <w:t>the D</w:t>
      </w:r>
      <w:r w:rsidR="0063358E" w:rsidRPr="00501E09">
        <w:rPr>
          <w:i/>
          <w:iCs/>
        </w:rPr>
        <w:t xml:space="preserve">esert </w:t>
      </w:r>
      <w:r w:rsidR="0063358E">
        <w:rPr>
          <w:i/>
          <w:iCs/>
        </w:rPr>
        <w:t>F</w:t>
      </w:r>
      <w:r w:rsidR="0063358E" w:rsidRPr="00501E09">
        <w:rPr>
          <w:i/>
          <w:iCs/>
        </w:rPr>
        <w:t>athers</w:t>
      </w:r>
      <w:r w:rsidR="0063358E">
        <w:rPr>
          <w:i/>
          <w:iCs/>
        </w:rPr>
        <w:t>: The Alphabetical Collection,</w:t>
      </w:r>
      <w:r w:rsidR="0063358E">
        <w:t xml:space="preserve"> (Oxford: Cistercian Publications, 1975)</w:t>
      </w:r>
      <w:r w:rsidR="00F81CA2">
        <w:t xml:space="preserve"> p. xxvi</w:t>
      </w:r>
    </w:p>
  </w:footnote>
  <w:footnote w:id="9">
    <w:p w14:paraId="4E55B26E" w14:textId="6B339D75" w:rsidR="005C2178" w:rsidRDefault="005C2178" w:rsidP="005C2178">
      <w:pPr>
        <w:pStyle w:val="FootnoteText"/>
      </w:pPr>
      <w:r>
        <w:rPr>
          <w:rStyle w:val="FootnoteReference"/>
        </w:rPr>
        <w:footnoteRef/>
      </w:r>
      <w:r>
        <w:t xml:space="preserve"> </w:t>
      </w:r>
      <w:r w:rsidR="0063358E" w:rsidRPr="0063358E">
        <w:t xml:space="preserve">Burton, </w:t>
      </w:r>
      <w:r w:rsidR="0063358E" w:rsidRPr="0063358E">
        <w:rPr>
          <w:i/>
          <w:iCs/>
        </w:rPr>
        <w:t>The Cistercians in the Middle Ages</w:t>
      </w:r>
      <w:r w:rsidR="0063358E">
        <w:rPr>
          <w:i/>
          <w:iCs/>
        </w:rPr>
        <w:t xml:space="preserve">, </w:t>
      </w:r>
      <w:r>
        <w:t>pp. 4-5</w:t>
      </w:r>
    </w:p>
  </w:footnote>
  <w:footnote w:id="10">
    <w:p w14:paraId="4517D9C8" w14:textId="3F84FED1" w:rsidR="005C2178" w:rsidRDefault="005C2178" w:rsidP="005C2178">
      <w:pPr>
        <w:pStyle w:val="FootnoteText"/>
      </w:pPr>
      <w:r>
        <w:rPr>
          <w:rStyle w:val="FootnoteReference"/>
        </w:rPr>
        <w:footnoteRef/>
      </w:r>
      <w:r>
        <w:t xml:space="preserve">  </w:t>
      </w:r>
      <w:r w:rsidR="00501E09">
        <w:t xml:space="preserve">Benedict of </w:t>
      </w:r>
      <w:proofErr w:type="spellStart"/>
      <w:r w:rsidR="00501E09">
        <w:t>Nursia</w:t>
      </w:r>
      <w:proofErr w:type="spellEnd"/>
      <w:r w:rsidR="00501E09">
        <w:t xml:space="preserve">, </w:t>
      </w:r>
      <w:r w:rsidR="00501E09">
        <w:rPr>
          <w:i/>
          <w:iCs/>
        </w:rPr>
        <w:t>The Rule of Benedict</w:t>
      </w:r>
      <w:r w:rsidR="00D05007">
        <w:t>,</w:t>
      </w:r>
      <w:r>
        <w:t xml:space="preserve"> pp. 54-55</w:t>
      </w:r>
    </w:p>
  </w:footnote>
  <w:footnote w:id="11">
    <w:p w14:paraId="6BA12E44" w14:textId="27C007CE" w:rsidR="0063358E" w:rsidRPr="00D05007" w:rsidRDefault="0063358E" w:rsidP="00D05007">
      <w:pPr>
        <w:pStyle w:val="NoSpacing"/>
      </w:pPr>
      <w:r>
        <w:rPr>
          <w:rStyle w:val="FootnoteReference"/>
        </w:rPr>
        <w:footnoteRef/>
      </w:r>
      <w:r>
        <w:t xml:space="preserve"> </w:t>
      </w:r>
      <w:r w:rsidR="00D05007">
        <w:t xml:space="preserve">P. </w:t>
      </w:r>
      <w:proofErr w:type="spellStart"/>
      <w:r w:rsidR="00D05007" w:rsidRPr="00D05007">
        <w:rPr>
          <w:sz w:val="20"/>
          <w:szCs w:val="20"/>
        </w:rPr>
        <w:t>Matarasso</w:t>
      </w:r>
      <w:proofErr w:type="spellEnd"/>
      <w:r w:rsidR="00D05007" w:rsidRPr="00D05007">
        <w:rPr>
          <w:sz w:val="20"/>
          <w:szCs w:val="20"/>
        </w:rPr>
        <w:t xml:space="preserve">, The Cistercian World: Monastic Writings of the Twelfth Century (London: Penguin Group, 1993) </w:t>
      </w:r>
      <w:r w:rsidRPr="00D05007">
        <w:rPr>
          <w:sz w:val="20"/>
          <w:szCs w:val="20"/>
        </w:rPr>
        <w:t>p.</w:t>
      </w:r>
      <w:r w:rsidR="00D05007">
        <w:rPr>
          <w:sz w:val="20"/>
          <w:szCs w:val="20"/>
        </w:rPr>
        <w:t xml:space="preserve"> </w:t>
      </w:r>
      <w:r w:rsidRPr="00D05007">
        <w:rPr>
          <w:sz w:val="20"/>
          <w:szCs w:val="20"/>
        </w:rPr>
        <w:t xml:space="preserve">10 </w:t>
      </w:r>
    </w:p>
  </w:footnote>
  <w:footnote w:id="12">
    <w:p w14:paraId="3F0A95AA" w14:textId="6F18F9FA" w:rsidR="005C2178" w:rsidRDefault="005C2178" w:rsidP="005C2178">
      <w:pPr>
        <w:pStyle w:val="FootnoteText"/>
      </w:pPr>
      <w:r>
        <w:rPr>
          <w:rStyle w:val="FootnoteReference"/>
        </w:rPr>
        <w:footnoteRef/>
      </w:r>
      <w:r>
        <w:t xml:space="preserve"> </w:t>
      </w:r>
      <w:r w:rsidR="00501E09">
        <w:t xml:space="preserve">Benedict of </w:t>
      </w:r>
      <w:proofErr w:type="spellStart"/>
      <w:r w:rsidR="00501E09">
        <w:t>Nursia</w:t>
      </w:r>
      <w:proofErr w:type="spellEnd"/>
      <w:r w:rsidR="00501E09">
        <w:t xml:space="preserve">, </w:t>
      </w:r>
      <w:r w:rsidR="00501E09">
        <w:rPr>
          <w:i/>
          <w:iCs/>
        </w:rPr>
        <w:t>The Rule of Benedict</w:t>
      </w:r>
      <w:r w:rsidR="00501E09">
        <w:t xml:space="preserve">, </w:t>
      </w:r>
      <w:r w:rsidR="00D93704" w:rsidRPr="00D93704">
        <w:t>p. 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178"/>
    <w:rsid w:val="001E44F4"/>
    <w:rsid w:val="002D7C45"/>
    <w:rsid w:val="00481866"/>
    <w:rsid w:val="00501E09"/>
    <w:rsid w:val="005C2178"/>
    <w:rsid w:val="0063358E"/>
    <w:rsid w:val="007B59FA"/>
    <w:rsid w:val="009D6579"/>
    <w:rsid w:val="00CB794A"/>
    <w:rsid w:val="00CE07B0"/>
    <w:rsid w:val="00D05007"/>
    <w:rsid w:val="00D93704"/>
    <w:rsid w:val="00E732FE"/>
    <w:rsid w:val="00F81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F7C86"/>
  <w15:chartTrackingRefBased/>
  <w15:docId w15:val="{468F2983-97FE-4D6B-94F6-9DC6C8266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178"/>
  </w:style>
  <w:style w:type="paragraph" w:styleId="Heading1">
    <w:name w:val="heading 1"/>
    <w:basedOn w:val="Normal"/>
    <w:next w:val="Normal"/>
    <w:link w:val="Heading1Char"/>
    <w:uiPriority w:val="9"/>
    <w:qFormat/>
    <w:rsid w:val="005C2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2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2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2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2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2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2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2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2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2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178"/>
    <w:rPr>
      <w:rFonts w:eastAsiaTheme="majorEastAsia" w:cstheme="majorBidi"/>
      <w:color w:val="272727" w:themeColor="text1" w:themeTint="D8"/>
    </w:rPr>
  </w:style>
  <w:style w:type="paragraph" w:styleId="Title">
    <w:name w:val="Title"/>
    <w:basedOn w:val="Normal"/>
    <w:next w:val="Normal"/>
    <w:link w:val="TitleChar"/>
    <w:uiPriority w:val="10"/>
    <w:qFormat/>
    <w:rsid w:val="005C2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178"/>
    <w:pPr>
      <w:spacing w:before="160"/>
      <w:jc w:val="center"/>
    </w:pPr>
    <w:rPr>
      <w:i/>
      <w:iCs/>
      <w:color w:val="404040" w:themeColor="text1" w:themeTint="BF"/>
    </w:rPr>
  </w:style>
  <w:style w:type="character" w:customStyle="1" w:styleId="QuoteChar">
    <w:name w:val="Quote Char"/>
    <w:basedOn w:val="DefaultParagraphFont"/>
    <w:link w:val="Quote"/>
    <w:uiPriority w:val="29"/>
    <w:rsid w:val="005C2178"/>
    <w:rPr>
      <w:i/>
      <w:iCs/>
      <w:color w:val="404040" w:themeColor="text1" w:themeTint="BF"/>
    </w:rPr>
  </w:style>
  <w:style w:type="paragraph" w:styleId="ListParagraph">
    <w:name w:val="List Paragraph"/>
    <w:basedOn w:val="Normal"/>
    <w:uiPriority w:val="34"/>
    <w:qFormat/>
    <w:rsid w:val="005C2178"/>
    <w:pPr>
      <w:ind w:left="720"/>
      <w:contextualSpacing/>
    </w:pPr>
  </w:style>
  <w:style w:type="character" w:styleId="IntenseEmphasis">
    <w:name w:val="Intense Emphasis"/>
    <w:basedOn w:val="DefaultParagraphFont"/>
    <w:uiPriority w:val="21"/>
    <w:qFormat/>
    <w:rsid w:val="005C2178"/>
    <w:rPr>
      <w:i/>
      <w:iCs/>
      <w:color w:val="0F4761" w:themeColor="accent1" w:themeShade="BF"/>
    </w:rPr>
  </w:style>
  <w:style w:type="paragraph" w:styleId="IntenseQuote">
    <w:name w:val="Intense Quote"/>
    <w:basedOn w:val="Normal"/>
    <w:next w:val="Normal"/>
    <w:link w:val="IntenseQuoteChar"/>
    <w:uiPriority w:val="30"/>
    <w:qFormat/>
    <w:rsid w:val="005C2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2178"/>
    <w:rPr>
      <w:i/>
      <w:iCs/>
      <w:color w:val="0F4761" w:themeColor="accent1" w:themeShade="BF"/>
    </w:rPr>
  </w:style>
  <w:style w:type="character" w:styleId="IntenseReference">
    <w:name w:val="Intense Reference"/>
    <w:basedOn w:val="DefaultParagraphFont"/>
    <w:uiPriority w:val="32"/>
    <w:qFormat/>
    <w:rsid w:val="005C2178"/>
    <w:rPr>
      <w:b/>
      <w:bCs/>
      <w:smallCaps/>
      <w:color w:val="0F4761" w:themeColor="accent1" w:themeShade="BF"/>
      <w:spacing w:val="5"/>
    </w:rPr>
  </w:style>
  <w:style w:type="paragraph" w:styleId="NoSpacing">
    <w:name w:val="No Spacing"/>
    <w:uiPriority w:val="1"/>
    <w:qFormat/>
    <w:rsid w:val="005C2178"/>
    <w:pPr>
      <w:spacing w:after="0" w:line="240" w:lineRule="auto"/>
    </w:pPr>
  </w:style>
  <w:style w:type="paragraph" w:styleId="FootnoteText">
    <w:name w:val="footnote text"/>
    <w:basedOn w:val="Normal"/>
    <w:link w:val="FootnoteTextChar"/>
    <w:uiPriority w:val="99"/>
    <w:semiHidden/>
    <w:unhideWhenUsed/>
    <w:rsid w:val="005C21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2178"/>
    <w:rPr>
      <w:sz w:val="20"/>
      <w:szCs w:val="20"/>
    </w:rPr>
  </w:style>
  <w:style w:type="character" w:styleId="FootnoteReference">
    <w:name w:val="footnote reference"/>
    <w:basedOn w:val="DefaultParagraphFont"/>
    <w:uiPriority w:val="99"/>
    <w:semiHidden/>
    <w:unhideWhenUsed/>
    <w:rsid w:val="005C217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757</Words>
  <Characters>4315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4</cp:revision>
  <dcterms:created xsi:type="dcterms:W3CDTF">2024-03-03T12:57:00Z</dcterms:created>
  <dcterms:modified xsi:type="dcterms:W3CDTF">2024-03-03T20:20:00Z</dcterms:modified>
</cp:coreProperties>
</file>