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7591B667" w:rsidP="0C734C71" w:rsidRDefault="7591B667" w14:paraId="62378FEB" w14:noSpellErr="1" w14:textId="07009CCE">
      <w:pPr>
        <w:rPr>
          <w:rFonts w:eastAsia="Times New Roman" w:cs="Times New Roman"/>
          <w:sz w:val="32"/>
          <w:szCs w:val="32"/>
        </w:rPr>
      </w:pPr>
      <w:r w:rsidRPr="5A49379C" w:rsidR="7591B667">
        <w:rPr>
          <w:rFonts w:eastAsia="Times New Roman" w:cs="Times New Roman"/>
          <w:sz w:val="32"/>
          <w:szCs w:val="32"/>
        </w:rPr>
        <w:t>S</w:t>
      </w:r>
      <w:r w:rsidRPr="5A49379C" w:rsidR="57921CB3">
        <w:rPr>
          <w:rFonts w:eastAsia="Times New Roman" w:cs="Times New Roman"/>
          <w:sz w:val="32"/>
          <w:szCs w:val="32"/>
        </w:rPr>
        <w:t>T</w:t>
      </w:r>
      <w:r w:rsidRPr="5A49379C" w:rsidR="7591B667">
        <w:rPr>
          <w:rFonts w:eastAsia="Times New Roman" w:cs="Times New Roman"/>
          <w:sz w:val="32"/>
          <w:szCs w:val="32"/>
        </w:rPr>
        <w:t>UDENT NAME: UZMA MUHAMMAD</w:t>
      </w:r>
    </w:p>
    <w:p w:rsidR="7591B667" w:rsidP="0C734C71" w:rsidRDefault="7591B667" w14:paraId="2AAB1D96" w14:textId="39408409">
      <w:pPr>
        <w:rPr>
          <w:rFonts w:eastAsia="Times New Roman" w:cs="Times New Roman"/>
          <w:sz w:val="32"/>
          <w:szCs w:val="32"/>
        </w:rPr>
      </w:pPr>
      <w:r w:rsidRPr="0C734C71">
        <w:rPr>
          <w:rFonts w:eastAsia="Times New Roman" w:cs="Times New Roman"/>
          <w:sz w:val="32"/>
          <w:szCs w:val="32"/>
        </w:rPr>
        <w:t>STUDENT NO: 2406912</w:t>
      </w:r>
    </w:p>
    <w:p w:rsidR="7591B667" w:rsidP="0C734C71" w:rsidRDefault="7591B667" w14:paraId="2723168C" w14:textId="7E216FF3">
      <w:pPr>
        <w:rPr>
          <w:rFonts w:eastAsia="Times New Roman" w:cs="Times New Roman"/>
          <w:sz w:val="32"/>
          <w:szCs w:val="32"/>
        </w:rPr>
      </w:pPr>
      <w:r w:rsidRPr="0C734C71">
        <w:rPr>
          <w:rFonts w:eastAsia="Times New Roman" w:cs="Times New Roman"/>
          <w:sz w:val="32"/>
          <w:szCs w:val="32"/>
        </w:rPr>
        <w:t>M</w:t>
      </w:r>
      <w:r w:rsidRPr="0C734C71" w:rsidR="18874554">
        <w:rPr>
          <w:rFonts w:eastAsia="Times New Roman" w:cs="Times New Roman"/>
          <w:sz w:val="32"/>
          <w:szCs w:val="32"/>
        </w:rPr>
        <w:t>ODULE: INTRODUCTION TO PHYSIOLOGY</w:t>
      </w:r>
    </w:p>
    <w:p w:rsidR="18874554" w:rsidP="0C734C71" w:rsidRDefault="18874554" w14:paraId="423AD6FA" w14:noSpellErr="1" w14:textId="4F38DBB8">
      <w:pPr>
        <w:rPr>
          <w:rFonts w:eastAsia="Times New Roman" w:cs="Times New Roman"/>
          <w:sz w:val="32"/>
          <w:szCs w:val="32"/>
        </w:rPr>
      </w:pPr>
      <w:r w:rsidRPr="5A49379C" w:rsidR="18874554">
        <w:rPr>
          <w:rFonts w:eastAsia="Times New Roman" w:cs="Times New Roman"/>
          <w:sz w:val="32"/>
          <w:szCs w:val="32"/>
        </w:rPr>
        <w:t>MODUL</w:t>
      </w:r>
      <w:r w:rsidRPr="5A49379C" w:rsidR="6AB8A6F9">
        <w:rPr>
          <w:rFonts w:eastAsia="Times New Roman" w:cs="Times New Roman"/>
          <w:sz w:val="32"/>
          <w:szCs w:val="32"/>
        </w:rPr>
        <w:t>E</w:t>
      </w:r>
      <w:r w:rsidRPr="5A49379C" w:rsidR="18874554">
        <w:rPr>
          <w:rFonts w:eastAsia="Times New Roman" w:cs="Times New Roman"/>
          <w:sz w:val="32"/>
          <w:szCs w:val="32"/>
        </w:rPr>
        <w:t xml:space="preserve"> CODE: BMHP5023</w:t>
      </w:r>
    </w:p>
    <w:p w:rsidR="18874554" w:rsidP="0C734C71" w:rsidRDefault="18874554" w14:paraId="2EF7D01E" w14:textId="3FDC7836">
      <w:pPr>
        <w:rPr>
          <w:rFonts w:eastAsia="Times New Roman" w:cs="Times New Roman"/>
          <w:sz w:val="32"/>
          <w:szCs w:val="32"/>
        </w:rPr>
      </w:pPr>
      <w:r w:rsidRPr="0C734C71">
        <w:rPr>
          <w:rFonts w:eastAsia="Times New Roman" w:cs="Times New Roman"/>
          <w:sz w:val="32"/>
          <w:szCs w:val="32"/>
        </w:rPr>
        <w:t>ASSIGNMENT TITLE: CASE STUDY REPORT</w:t>
      </w:r>
    </w:p>
    <w:p w:rsidR="18874554" w:rsidP="0C734C71" w:rsidRDefault="18874554" w14:paraId="07CD9080" w14:textId="79C9F335">
      <w:r w:rsidRPr="0C734C71">
        <w:rPr>
          <w:rFonts w:eastAsia="Times New Roman" w:cs="Times New Roman"/>
          <w:sz w:val="32"/>
          <w:szCs w:val="32"/>
        </w:rPr>
        <w:t>LECTURER: ROBERT NARTOWSKI</w:t>
      </w:r>
    </w:p>
    <w:p w:rsidR="00FA45DB" w:rsidP="00FA45DB" w:rsidRDefault="00FA45DB" w14:paraId="1A6139F2" w14:textId="77777777">
      <w:pPr>
        <w:rPr>
          <w:lang w:val="en-US"/>
        </w:rPr>
      </w:pPr>
    </w:p>
    <w:p w:rsidR="00FA45DB" w:rsidP="00FA45DB" w:rsidRDefault="00FA45DB" w14:paraId="1EF8B755" w14:textId="77777777">
      <w:pPr>
        <w:rPr>
          <w:lang w:val="en-US"/>
        </w:rPr>
      </w:pPr>
    </w:p>
    <w:p w:rsidR="00FA45DB" w:rsidP="00FA45DB" w:rsidRDefault="00FA45DB" w14:paraId="469DF71E" w14:textId="77777777">
      <w:pPr>
        <w:rPr>
          <w:lang w:val="en-US"/>
        </w:rPr>
      </w:pPr>
    </w:p>
    <w:p w:rsidR="00FA45DB" w:rsidP="5A49379C" w:rsidRDefault="00FA45DB" w14:paraId="0E992D20" w14:noSpellErr="1" w14:textId="3B4DFA94">
      <w:pPr>
        <w:pStyle w:val="Normal"/>
        <w:rPr>
          <w:lang w:val="en-US"/>
        </w:rPr>
      </w:pPr>
    </w:p>
    <w:p w:rsidR="00FA45DB" w:rsidP="00FA45DB" w:rsidRDefault="00FA45DB" w14:paraId="2564D22F" w14:textId="77777777">
      <w:pPr>
        <w:rPr>
          <w:lang w:val="en-US"/>
        </w:rPr>
      </w:pPr>
    </w:p>
    <w:p w:rsidR="00FA45DB" w:rsidP="00FA45DB" w:rsidRDefault="00FA45DB" w14:paraId="27E01956" w14:textId="77777777">
      <w:pPr>
        <w:rPr>
          <w:lang w:val="en-US"/>
        </w:rPr>
      </w:pPr>
    </w:p>
    <w:p w:rsidRPr="00FA45DB" w:rsidR="00FA45DB" w:rsidP="00FA45DB" w:rsidRDefault="00FA45DB" w14:paraId="5B38BDED" w14:textId="77777777">
      <w:pPr>
        <w:rPr>
          <w:lang w:val="en-US"/>
        </w:rPr>
      </w:pPr>
    </w:p>
    <w:p w:rsidR="00FA45DB" w:rsidRDefault="179D01B0" w14:paraId="6C3411FB" w14:textId="3428734C">
      <w:r>
        <w:t>CONTENT,</w:t>
      </w:r>
    </w:p>
    <w:p w:rsidR="55407996" w:rsidP="6D1BB7D8" w:rsidRDefault="55407996" w14:paraId="5DBF840A" w14:noSpellErr="1" w14:textId="2F25CAE9">
      <w:pPr>
        <w:pStyle w:val="ListParagraph"/>
        <w:numPr>
          <w:ilvl w:val="0"/>
          <w:numId w:val="13"/>
        </w:numPr>
        <w:rPr/>
      </w:pPr>
      <w:r w:rsidR="55407996">
        <w:rPr/>
        <w:t>I</w:t>
      </w:r>
      <w:r w:rsidR="5FB09EAC">
        <w:rPr/>
        <w:t>ntroduction</w:t>
      </w:r>
    </w:p>
    <w:p w:rsidR="55407996" w:rsidP="6D1BB7D8" w:rsidRDefault="55407996" w14:paraId="372E0C75" w14:noSpellErr="1" w14:textId="5D4E4E4A">
      <w:pPr>
        <w:pStyle w:val="ListParagraph"/>
        <w:ind w:left="720"/>
      </w:pPr>
      <w:r w:rsidR="55407996">
        <w:rPr/>
        <w:t>1.1</w:t>
      </w:r>
      <w:r w:rsidR="6BA0DB53">
        <w:rPr/>
        <w:t xml:space="preserve"> </w:t>
      </w:r>
      <w:r w:rsidR="55407996">
        <w:rPr/>
        <w:t>W</w:t>
      </w:r>
      <w:r w:rsidR="0A3D8E7A">
        <w:rPr/>
        <w:t>hat is asthma</w:t>
      </w:r>
    </w:p>
    <w:p w:rsidR="55407996" w:rsidP="6D1BB7D8" w:rsidRDefault="55407996" w14:paraId="1F857DC1" w14:textId="01B9AF0D">
      <w:pPr>
        <w:pStyle w:val="ListParagraph"/>
        <w:ind w:left="720"/>
      </w:pPr>
      <w:r w:rsidR="55407996">
        <w:rPr/>
        <w:t>1.2 Why adolescents are at risk now</w:t>
      </w:r>
    </w:p>
    <w:p w:rsidR="1B9DBD57" w:rsidP="6D1BB7D8" w:rsidRDefault="1B9DBD57" w14:paraId="308EDB8D" w14:textId="78B2D725">
      <w:pPr>
        <w:pStyle w:val="ListParagraph"/>
        <w:ind w:left="720"/>
      </w:pPr>
      <w:r w:rsidR="1B9DBD57">
        <w:rPr/>
        <w:t xml:space="preserve">2. Respiratory system &amp; </w:t>
      </w:r>
      <w:r w:rsidR="6B4D36D0">
        <w:rPr/>
        <w:t>mechanical respiration</w:t>
      </w:r>
    </w:p>
    <w:p w:rsidR="6B4D36D0" w:rsidP="6D1BB7D8" w:rsidRDefault="6B4D36D0" w14:paraId="607C62B3" w14:noSpellErr="1" w14:textId="0E4BAC75">
      <w:pPr>
        <w:pStyle w:val="ListParagraph"/>
        <w:ind w:left="720"/>
      </w:pPr>
      <w:r w:rsidR="6B4D36D0">
        <w:rPr/>
        <w:t xml:space="preserve">3. Gas </w:t>
      </w:r>
      <w:r w:rsidR="31FD8EBE">
        <w:rPr/>
        <w:t>exchange in the lungs</w:t>
      </w:r>
    </w:p>
    <w:p w:rsidR="31FD8EBE" w:rsidP="5A49379C" w:rsidRDefault="31FD8EBE" w14:paraId="77AEB02E" w14:textId="6D36E521">
      <w:pPr>
        <w:pStyle w:val="ListParagraph"/>
        <w:ind w:left="720"/>
      </w:pPr>
      <w:r w:rsidR="31FD8EBE">
        <w:rPr/>
        <w:t>4. Asthma pathophysiology &amp; impact of irritants</w:t>
      </w:r>
      <w:r w:rsidR="35391189">
        <w:rPr/>
        <w:t>/infection</w:t>
      </w:r>
    </w:p>
    <w:p w:rsidR="35391189" w:rsidP="5A49379C" w:rsidRDefault="35391189" w14:paraId="75E44453" w14:textId="6C56FD50">
      <w:pPr>
        <w:pStyle w:val="ListParagraph"/>
        <w:ind w:left="720"/>
      </w:pPr>
      <w:r w:rsidR="35391189">
        <w:rPr/>
        <w:t>5. Recording and tracking respiratory function</w:t>
      </w:r>
    </w:p>
    <w:p w:rsidR="35391189" w:rsidP="5A49379C" w:rsidRDefault="35391189" w14:paraId="746F0FAC" w14:textId="6028F094">
      <w:pPr>
        <w:pStyle w:val="ListParagraph"/>
        <w:ind w:left="720"/>
      </w:pPr>
      <w:r w:rsidR="35391189">
        <w:rPr/>
        <w:t xml:space="preserve">6. Evidence-based lifestyle changes with behaviour- </w:t>
      </w:r>
      <w:r w:rsidR="0E23F0AC">
        <w:rPr/>
        <w:t>change</w:t>
      </w:r>
      <w:r w:rsidR="35391189">
        <w:rPr/>
        <w:t xml:space="preserve"> t</w:t>
      </w:r>
      <w:r w:rsidR="118D2849">
        <w:rPr/>
        <w:t xml:space="preserve">heory </w:t>
      </w:r>
    </w:p>
    <w:p w:rsidR="7D387E6C" w:rsidP="5A49379C" w:rsidRDefault="7D387E6C" w14:paraId="48F0216D" w14:textId="7F17F989">
      <w:pPr>
        <w:pStyle w:val="ListParagraph"/>
        <w:ind w:left="720"/>
      </w:pPr>
      <w:r w:rsidR="7D387E6C">
        <w:rPr/>
        <w:t>7. Conclusion</w:t>
      </w:r>
    </w:p>
    <w:p w:rsidR="7D387E6C" w:rsidP="5A49379C" w:rsidRDefault="7D387E6C" w14:paraId="3B6735A3" w14:textId="5FF9870D">
      <w:pPr>
        <w:pStyle w:val="ListParagraph"/>
        <w:ind w:left="720"/>
      </w:pPr>
      <w:r w:rsidR="7D387E6C">
        <w:rPr/>
        <w:t>8. References</w:t>
      </w:r>
    </w:p>
    <w:p w:rsidR="5A49379C" w:rsidP="5A49379C" w:rsidRDefault="5A49379C" w14:paraId="09D0F453" w14:textId="75658B7E">
      <w:pPr>
        <w:pStyle w:val="ListParagraph"/>
        <w:ind w:left="720"/>
      </w:pPr>
    </w:p>
    <w:p w:rsidR="5A49379C" w:rsidP="5A49379C" w:rsidRDefault="5A49379C" w14:paraId="338721A2" w14:textId="542DFBF8">
      <w:pPr>
        <w:pStyle w:val="ListParagraph"/>
        <w:ind w:left="720"/>
      </w:pPr>
    </w:p>
    <w:p w:rsidR="5A49379C" w:rsidP="5A49379C" w:rsidRDefault="5A49379C" w14:paraId="7D178B42" w14:textId="2D1DAE5A">
      <w:pPr>
        <w:pStyle w:val="ListParagraph"/>
        <w:ind w:left="720"/>
      </w:pPr>
    </w:p>
    <w:p w:rsidR="00FA45DB" w:rsidP="0036609E" w:rsidRDefault="00FA45DB" w14:paraId="24A2B2DC" w14:textId="77777777"/>
    <w:p w:rsidR="00FA45DB" w:rsidP="0036609E" w:rsidRDefault="00FA45DB" w14:paraId="10B47253" w14:textId="77777777"/>
    <w:p w:rsidR="00FA45DB" w:rsidP="0036609E" w:rsidRDefault="00FA45DB" w14:paraId="759289CE" w14:textId="77777777"/>
    <w:p w:rsidR="00FA45DB" w:rsidP="0036609E" w:rsidRDefault="00FA45DB" w14:paraId="11BD91C2" w14:textId="77777777"/>
    <w:p w:rsidR="00FA45DB" w:rsidP="0036609E" w:rsidRDefault="00FA45DB" w14:paraId="308D84F0" w14:textId="77777777"/>
    <w:p w:rsidR="00FA45DB" w:rsidP="0036609E" w:rsidRDefault="00FA45DB" w14:paraId="4031AD46" w14:textId="77777777"/>
    <w:p w:rsidR="00FA45DB" w:rsidP="0036609E" w:rsidRDefault="00FA45DB" w14:paraId="4CD13836" w14:textId="77777777"/>
    <w:p w:rsidR="00FA45DB" w:rsidP="0036609E" w:rsidRDefault="00FA45DB" w14:paraId="11664B08" w14:textId="77777777"/>
    <w:p w:rsidR="00FA45DB" w:rsidP="0036609E" w:rsidRDefault="00FA45DB" w14:paraId="1C593C76" w14:textId="77777777"/>
    <w:p w:rsidR="00FA45DB" w:rsidP="0036609E" w:rsidRDefault="00FA45DB" w14:paraId="26714A71" w14:textId="77777777"/>
    <w:p w:rsidRPr="0036609E" w:rsidR="0036609E" w:rsidP="0036609E" w:rsidRDefault="0036609E" w14:paraId="6341A724" w14:textId="77777777">
      <w:pPr>
        <w:pStyle w:val="Heading1"/>
      </w:pPr>
      <w:r>
        <w:t>Introduction</w:t>
      </w:r>
    </w:p>
    <w:p w:rsidRPr="0036609E" w:rsidR="0036609E" w:rsidP="0036609E" w:rsidRDefault="0036609E" w14:paraId="68B604F7" w14:textId="0770D700">
      <w:pPr>
        <w:rPr>
          <w:lang w:val="en-US"/>
        </w:rPr>
      </w:pPr>
      <w:r w:rsidRPr="5A49379C" w:rsidR="0036609E">
        <w:rPr>
          <w:lang w:val="en-US"/>
        </w:rPr>
        <w:t xml:space="preserve">Asthma is a chronic inflammatory disorder of the airways </w:t>
      </w:r>
      <w:r w:rsidRPr="5A49379C" w:rsidR="0036609E">
        <w:rPr>
          <w:lang w:val="en-US"/>
        </w:rPr>
        <w:t>characterised</w:t>
      </w:r>
      <w:r w:rsidRPr="5A49379C" w:rsidR="0036609E">
        <w:rPr>
          <w:lang w:val="en-US"/>
        </w:rPr>
        <w:t xml:space="preserve"> by variable symptoms such as wheeze, cough, chest tightness and nocturnal </w:t>
      </w:r>
      <w:r w:rsidRPr="5A49379C" w:rsidR="29D6ED1D">
        <w:rPr>
          <w:lang w:val="en-US"/>
        </w:rPr>
        <w:t>dyspnea</w:t>
      </w:r>
      <w:r w:rsidRPr="5A49379C" w:rsidR="0036609E">
        <w:rPr>
          <w:lang w:val="en-US"/>
        </w:rPr>
        <w:t xml:space="preserve"> that reflect fluctuating airflow limitation; contemporary guidance defines it by this variability plus airway hyper-responsiveness, which justifies a management approach that targets inflammation and not merely bronchospasm (Global Initiative for Asthma, 2024). In an adolescent clinic, the rationale is preventive: exacerbations are predictable consequences of modifiable exposures and suboptimal self-management, so early identification of risk and structured monitoring can reduce attacks and unscheduled care (Global Initiative for Asthma, 2024). The economic cost is non-trivial for families and services; recent US data show higher annual medical expenditure for children and adolescents with asthma events compared to peers without events, underscoring the value of clinic-led prevention (Wang and </w:t>
      </w:r>
      <w:r w:rsidRPr="5A49379C" w:rsidR="0036609E">
        <w:rPr>
          <w:lang w:val="en-US"/>
        </w:rPr>
        <w:t>Nurmagambetov</w:t>
      </w:r>
      <w:r w:rsidRPr="5A49379C" w:rsidR="0036609E">
        <w:rPr>
          <w:lang w:val="en-US"/>
        </w:rPr>
        <w:t xml:space="preserve">, 2024). </w:t>
      </w:r>
    </w:p>
    <w:p w:rsidRPr="0036609E" w:rsidR="0036609E" w:rsidP="0036609E" w:rsidRDefault="001625A3" w14:paraId="29E95F5C" w14:textId="77777777">
      <w:pPr>
        <w:rPr>
          <w:lang w:val="en-US"/>
        </w:rPr>
      </w:pPr>
      <w:r w:rsidRPr="001625A3">
        <w:rPr>
          <w:lang w:val="en-US"/>
        </w:rPr>
        <w:t xml:space="preserve">The risk in adolescents is increased due to their increased prevalence of vaping and smoking among this age group and independent relationships between the </w:t>
      </w:r>
      <w:proofErr w:type="spellStart"/>
      <w:r w:rsidRPr="001625A3">
        <w:rPr>
          <w:lang w:val="en-US"/>
        </w:rPr>
        <w:t>behaviours</w:t>
      </w:r>
      <w:proofErr w:type="spellEnd"/>
      <w:r w:rsidRPr="001625A3">
        <w:rPr>
          <w:lang w:val="en-US"/>
        </w:rPr>
        <w:t xml:space="preserve"> and respiratory symptoms and asthma diagnosis; the smoking </w:t>
      </w:r>
      <w:proofErr w:type="spellStart"/>
      <w:r w:rsidRPr="001625A3">
        <w:rPr>
          <w:lang w:val="en-US"/>
        </w:rPr>
        <w:t>behaviour</w:t>
      </w:r>
      <w:proofErr w:type="spellEnd"/>
      <w:r w:rsidRPr="001625A3">
        <w:rPr>
          <w:lang w:val="en-US"/>
        </w:rPr>
        <w:t xml:space="preserve"> overlaps with peer contexts (clubs, crowded indoor venues) where respiratory virus exposure is more prevalent, thus increasing the cumulative risk of exacerbation (Wills et al., 2020). The most common cause of an acute attack is viral infections in school-aged populations, which is why seasonal rises occur after school terms and the periods of the highest rates of indoor mixing (Grayson et al., 2019). To ensure safe self-management, symptom-based action plans incorporating peak flow zones offer a clear implementation of step-up therapy and urgent follow-up to convert day-to-day measurements into timely decision-making (Centers for Disease Control and Prevention, 2024).</w:t>
      </w:r>
      <w:r w:rsidRPr="0036609E" w:rsidR="0036609E">
        <w:rPr>
          <w:lang w:val="en-US"/>
        </w:rPr>
        <w:t xml:space="preserve"> </w:t>
      </w:r>
    </w:p>
    <w:p w:rsidRPr="0036609E" w:rsidR="0036609E" w:rsidP="0036609E" w:rsidRDefault="0036609E" w14:paraId="78FC07E9" w14:textId="77777777">
      <w:pPr>
        <w:pStyle w:val="Heading2"/>
      </w:pPr>
      <w:r>
        <w:t>What is asthma?</w:t>
      </w:r>
    </w:p>
    <w:p w:rsidRPr="0036609E" w:rsidR="0036609E" w:rsidP="0036609E" w:rsidRDefault="0036609E" w14:paraId="77C87E63" w14:textId="59B07B15">
      <w:pPr>
        <w:rPr>
          <w:lang w:val="en-US"/>
        </w:rPr>
      </w:pPr>
      <w:r w:rsidRPr="5A49379C" w:rsidR="0036609E">
        <w:rPr>
          <w:lang w:val="en-US"/>
        </w:rPr>
        <w:t xml:space="preserve">Asthma is best understood as chronic airway inflammation causing variable expiratory airflow limitation and symptoms that fluctuate with triggers; this pathophysiology justifies anti-inflammatory preventers and continuous monitoring rather than episodic, symptom-only relief (Global Initiative for Asthma, 2024). Typical features include wheeze, cough, chest </w:t>
      </w:r>
      <w:r w:rsidRPr="5A49379C" w:rsidR="0036609E">
        <w:rPr>
          <w:lang w:val="en-US"/>
        </w:rPr>
        <w:t>tightness</w:t>
      </w:r>
      <w:r w:rsidRPr="5A49379C" w:rsidR="0036609E">
        <w:rPr>
          <w:lang w:val="en-US"/>
        </w:rPr>
        <w:t xml:space="preserve"> and night waking, with </w:t>
      </w:r>
      <w:r w:rsidRPr="5A49379C" w:rsidR="2DB0B534">
        <w:rPr>
          <w:lang w:val="en-US"/>
        </w:rPr>
        <w:t>spirometry</w:t>
      </w:r>
      <w:r w:rsidRPr="5A49379C" w:rsidR="0036609E">
        <w:rPr>
          <w:lang w:val="en-US"/>
        </w:rPr>
        <w:t xml:space="preserve"> variability or peak-flow variability supporting diagnosis and management; because adolescents </w:t>
      </w:r>
      <w:r w:rsidRPr="5A49379C" w:rsidR="0036609E">
        <w:rPr>
          <w:lang w:val="en-US"/>
        </w:rPr>
        <w:t>frequently</w:t>
      </w:r>
      <w:r w:rsidRPr="5A49379C" w:rsidR="0036609E">
        <w:rPr>
          <w:lang w:val="en-US"/>
        </w:rPr>
        <w:t xml:space="preserve"> underestimate symptoms, objective measures strengthen clinical judgement (Global Initiative for Asthma, 2024). </w:t>
      </w:r>
    </w:p>
    <w:p w:rsidRPr="0036609E" w:rsidR="0036609E" w:rsidP="0036609E" w:rsidRDefault="0036609E" w14:paraId="61A588D5" w14:textId="77777777">
      <w:pPr>
        <w:pStyle w:val="Heading2"/>
      </w:pPr>
      <w:r>
        <w:t xml:space="preserve">Why adolescents are at risk now </w:t>
      </w:r>
    </w:p>
    <w:p w:rsidRPr="0036609E" w:rsidR="0036609E" w:rsidP="0036609E" w:rsidRDefault="001625A3" w14:paraId="267F50BC" w14:textId="77777777">
      <w:pPr>
        <w:rPr>
          <w:lang w:val="en-US"/>
        </w:rPr>
      </w:pPr>
      <w:r w:rsidRPr="001625A3">
        <w:rPr>
          <w:lang w:val="en-US"/>
        </w:rPr>
        <w:t xml:space="preserve">The use of current e-cigarettes is associated with increased odds of wheeze and current asthma that is independent of cigarette smoking, supporting the claim that vaping is not a vapid substitute in this cohort; and the risk is </w:t>
      </w:r>
      <w:proofErr w:type="spellStart"/>
      <w:r w:rsidRPr="001625A3">
        <w:rPr>
          <w:lang w:val="en-US"/>
        </w:rPr>
        <w:t>realised</w:t>
      </w:r>
      <w:proofErr w:type="spellEnd"/>
      <w:r w:rsidRPr="001625A3">
        <w:rPr>
          <w:lang w:val="en-US"/>
        </w:rPr>
        <w:t xml:space="preserve"> in places and situations where indoor, crowded social environments allow frequent exposure and support nicotine consumption (</w:t>
      </w:r>
      <w:proofErr w:type="spellStart"/>
      <w:r w:rsidRPr="001625A3">
        <w:rPr>
          <w:lang w:val="en-US"/>
        </w:rPr>
        <w:t>Alqahtani</w:t>
      </w:r>
      <w:proofErr w:type="spellEnd"/>
      <w:r w:rsidRPr="001625A3">
        <w:rPr>
          <w:lang w:val="en-US"/>
        </w:rPr>
        <w:t xml:space="preserve"> et al., 2020). The infection-driven exacerbation spikes also occur in adolescents in the times of high community transmission, which confirms the clinic focus on vaccination, smoking venue avoidance, and timely intervention when the symptoms or peak flow worsen (Grayson et al., 2019).</w:t>
      </w:r>
      <w:r w:rsidRPr="0036609E" w:rsidR="0036609E">
        <w:rPr>
          <w:lang w:val="en-US"/>
        </w:rPr>
        <w:t xml:space="preserve"> </w:t>
      </w:r>
    </w:p>
    <w:p w:rsidRPr="0036609E" w:rsidR="0036609E" w:rsidP="0036609E" w:rsidRDefault="0036609E" w14:paraId="7D4911B6" w14:textId="77777777">
      <w:pPr>
        <w:pStyle w:val="Heading1"/>
      </w:pPr>
      <w:r>
        <w:t>Respiratory system &amp; mechanical respiration</w:t>
      </w:r>
    </w:p>
    <w:p w:rsidRPr="0036609E" w:rsidR="0036609E" w:rsidP="0036609E" w:rsidRDefault="0036609E" w14:paraId="77397604" w14:textId="77777777">
      <w:pPr>
        <w:rPr>
          <w:lang w:val="en-US"/>
        </w:rPr>
      </w:pPr>
      <w:r w:rsidRPr="0036609E">
        <w:rPr>
          <w:lang w:val="en-US"/>
        </w:rPr>
        <w:t xml:space="preserve">The respiratory tract comprises conducting segments that condition air and respiratory zones that exchange gases; ciliated epithelium and mucus trap particulates and microbes, which is why irritant exposure or viral damage to cilia increases downstream inflammatory load and symptoms (Global Initiative for Asthma, 2024). </w:t>
      </w:r>
    </w:p>
    <w:p w:rsidRPr="001625A3" w:rsidR="001625A3" w:rsidP="001625A3" w:rsidRDefault="001625A3" w14:paraId="72715DE1" w14:textId="77777777">
      <w:pPr>
        <w:rPr>
          <w:lang w:val="en-US"/>
        </w:rPr>
      </w:pPr>
      <w:r w:rsidRPr="001625A3">
        <w:rPr>
          <w:lang w:val="en-US"/>
        </w:rPr>
        <w:t xml:space="preserve">The upper tract, nose, pharynx and larynx, warms, filters and humidify the inspired air, decreasing the amount of particulate delivery to the lower airways, and in the case of adolescents inhaling aerosols emitted by vaping devices the conditioning capacity is overwhelmed by chemical load, increasing the risk of mucosal irritation (Wills et al., 2020). </w:t>
      </w:r>
    </w:p>
    <w:p w:rsidRPr="001625A3" w:rsidR="001625A3" w:rsidP="001625A3" w:rsidRDefault="001625A3" w14:paraId="022B6645" w14:textId="77777777">
      <w:pPr>
        <w:rPr>
          <w:lang w:val="en-US"/>
        </w:rPr>
      </w:pPr>
      <w:r w:rsidRPr="001625A3">
        <w:rPr>
          <w:lang w:val="en-US"/>
        </w:rPr>
        <w:t xml:space="preserve">The lower tract passes between trachea and bronchi on to bronchioles, and finally, to alveoli; in type I </w:t>
      </w:r>
      <w:proofErr w:type="spellStart"/>
      <w:r w:rsidRPr="001625A3">
        <w:rPr>
          <w:lang w:val="en-US"/>
        </w:rPr>
        <w:t>pneumocytes</w:t>
      </w:r>
      <w:proofErr w:type="spellEnd"/>
      <w:r w:rsidRPr="001625A3">
        <w:rPr>
          <w:lang w:val="en-US"/>
        </w:rPr>
        <w:t xml:space="preserve">, there is a thin diffusion surface and in type II </w:t>
      </w:r>
      <w:proofErr w:type="spellStart"/>
      <w:r w:rsidRPr="001625A3">
        <w:rPr>
          <w:lang w:val="en-US"/>
        </w:rPr>
        <w:t>pneumocytes</w:t>
      </w:r>
      <w:proofErr w:type="spellEnd"/>
      <w:r w:rsidRPr="001625A3">
        <w:rPr>
          <w:lang w:val="en-US"/>
        </w:rPr>
        <w:t xml:space="preserve">, there is the surfactant to stabilize alveoli by reducing their surface tension, which maintains their patency at low lung volumes but limits ventilation-perfusion mismatch (Biophysical Journal, 2024). Histological samples are used to reveal that approximately 95% of the alveolar cover is covered by type I cells and that surfactant turnover is maintained by a greater number of type II cells, which is a division of </w:t>
      </w:r>
      <w:proofErr w:type="spellStart"/>
      <w:r w:rsidRPr="001625A3">
        <w:rPr>
          <w:lang w:val="en-US"/>
        </w:rPr>
        <w:t>labour</w:t>
      </w:r>
      <w:proofErr w:type="spellEnd"/>
      <w:r w:rsidRPr="001625A3">
        <w:rPr>
          <w:lang w:val="en-US"/>
        </w:rPr>
        <w:t xml:space="preserve"> that clarifies why </w:t>
      </w:r>
      <w:proofErr w:type="spellStart"/>
      <w:r w:rsidRPr="001625A3">
        <w:rPr>
          <w:lang w:val="en-US"/>
        </w:rPr>
        <w:t>oedema</w:t>
      </w:r>
      <w:proofErr w:type="spellEnd"/>
      <w:r w:rsidRPr="001625A3">
        <w:rPr>
          <w:lang w:val="en-US"/>
        </w:rPr>
        <w:t xml:space="preserve"> or surfactant malfunction leads to the rapid dysfunction of the exchange (University of Leeds Histology Guide, 2018). </w:t>
      </w:r>
    </w:p>
    <w:p w:rsidRPr="0036609E" w:rsidR="0036609E" w:rsidP="001625A3" w:rsidRDefault="001625A3" w14:paraId="55FF1D56" w14:textId="77777777">
      <w:pPr>
        <w:rPr>
          <w:lang w:val="en-US"/>
        </w:rPr>
      </w:pPr>
      <w:r w:rsidRPr="001625A3">
        <w:rPr>
          <w:lang w:val="en-US"/>
        </w:rPr>
        <w:t xml:space="preserve">Mechanical respiration requires the maintenance of a sub-atmospheric pressure in the </w:t>
      </w:r>
      <w:proofErr w:type="spellStart"/>
      <w:r w:rsidRPr="001625A3">
        <w:rPr>
          <w:lang w:val="en-US"/>
        </w:rPr>
        <w:t>intrathoracic</w:t>
      </w:r>
      <w:proofErr w:type="spellEnd"/>
      <w:r w:rsidRPr="001625A3">
        <w:rPr>
          <w:lang w:val="en-US"/>
        </w:rPr>
        <w:t xml:space="preserve"> cavity through intercostal movement and diaphragm descent; any airflow is based on pressure gradients, and resistance increases rapidly due to airway radius reduction, which is in line with the </w:t>
      </w:r>
      <w:proofErr w:type="spellStart"/>
      <w:r w:rsidRPr="001625A3">
        <w:rPr>
          <w:lang w:val="en-US"/>
        </w:rPr>
        <w:t>Poiseuille</w:t>
      </w:r>
      <w:proofErr w:type="spellEnd"/>
      <w:r w:rsidRPr="001625A3">
        <w:rPr>
          <w:lang w:val="en-US"/>
        </w:rPr>
        <w:t xml:space="preserve"> relationship explaining why small-</w:t>
      </w:r>
      <w:proofErr w:type="spellStart"/>
      <w:r w:rsidRPr="001625A3">
        <w:rPr>
          <w:lang w:val="en-US"/>
        </w:rPr>
        <w:t>calibre</w:t>
      </w:r>
      <w:proofErr w:type="spellEnd"/>
      <w:r w:rsidRPr="001625A3">
        <w:rPr>
          <w:lang w:val="en-US"/>
        </w:rPr>
        <w:t xml:space="preserve"> adolescent bronchioles are especially susceptible to the effects of irritants (Campbell and </w:t>
      </w:r>
      <w:proofErr w:type="spellStart"/>
      <w:r w:rsidRPr="001625A3">
        <w:rPr>
          <w:lang w:val="en-US"/>
        </w:rPr>
        <w:t>Sapra</w:t>
      </w:r>
      <w:proofErr w:type="spellEnd"/>
      <w:r w:rsidRPr="001625A3">
        <w:rPr>
          <w:lang w:val="en-US"/>
        </w:rPr>
        <w:t>, 2023).</w:t>
      </w:r>
      <w:r w:rsidRPr="0036609E" w:rsidR="0036609E">
        <w:rPr>
          <w:lang w:val="en-US"/>
        </w:rPr>
        <w:t xml:space="preserve"> </w:t>
      </w:r>
    </w:p>
    <w:p w:rsidRPr="0036609E" w:rsidR="0036609E" w:rsidP="0036609E" w:rsidRDefault="0036609E" w14:paraId="371555E5" w14:textId="77777777">
      <w:pPr>
        <w:pStyle w:val="Heading1"/>
      </w:pPr>
      <w:r>
        <w:t>Gas exchange in the lungs</w:t>
      </w:r>
    </w:p>
    <w:p w:rsidRPr="0036609E" w:rsidR="0036609E" w:rsidP="0036609E" w:rsidRDefault="0036609E" w14:paraId="488D0104" w14:textId="77777777">
      <w:pPr>
        <w:rPr>
          <w:lang w:val="en-US"/>
        </w:rPr>
      </w:pPr>
      <w:r w:rsidRPr="0036609E">
        <w:rPr>
          <w:lang w:val="en-US"/>
        </w:rPr>
        <w:t xml:space="preserve">Gas transfer across the alveolar–capillary membrane follows Fick’s law: diffusion is proportional to surface area and partial-pressure gradient and inversely proportional to membrane thickness; thus </w:t>
      </w:r>
      <w:proofErr w:type="spellStart"/>
      <w:r w:rsidRPr="0036609E">
        <w:rPr>
          <w:lang w:val="en-US"/>
        </w:rPr>
        <w:t>oedema</w:t>
      </w:r>
      <w:proofErr w:type="spellEnd"/>
      <w:r w:rsidRPr="0036609E">
        <w:rPr>
          <w:lang w:val="en-US"/>
        </w:rPr>
        <w:t xml:space="preserve"> and inflammatory thickening slow oxygen uptake first because oxygen is less soluble than carbon dioxide (European Respiratory Society, 2021). </w:t>
      </w:r>
    </w:p>
    <w:p w:rsidRPr="0036609E" w:rsidR="0036609E" w:rsidP="0036609E" w:rsidRDefault="0036609E" w14:paraId="646CD396" w14:textId="38C55AA1">
      <w:pPr>
        <w:rPr>
          <w:lang w:val="en-US"/>
        </w:rPr>
      </w:pPr>
      <w:r w:rsidRPr="5A49379C" w:rsidR="0036609E">
        <w:rPr>
          <w:lang w:val="en-US"/>
        </w:rPr>
        <w:t xml:space="preserve">Oxygen binds to </w:t>
      </w:r>
      <w:r w:rsidRPr="5A49379C" w:rsidR="60D8F05D">
        <w:rPr>
          <w:lang w:val="en-US"/>
        </w:rPr>
        <w:t>hemoglobin</w:t>
      </w:r>
      <w:r w:rsidRPr="5A49379C" w:rsidR="0036609E">
        <w:rPr>
          <w:lang w:val="en-US"/>
        </w:rPr>
        <w:t xml:space="preserve"> for transport while carbon dioxide travels </w:t>
      </w:r>
      <w:r w:rsidRPr="5A49379C" w:rsidR="0036609E">
        <w:rPr>
          <w:lang w:val="en-US"/>
        </w:rPr>
        <w:t>mainly as</w:t>
      </w:r>
      <w:r w:rsidRPr="5A49379C" w:rsidR="0036609E">
        <w:rPr>
          <w:lang w:val="en-US"/>
        </w:rPr>
        <w:t xml:space="preserve"> bicarbonate; efficient exchange also requires matched ventilation and perfusion, so mucus plugging or bronchospasm creates regional mismatch that worsens </w:t>
      </w:r>
      <w:r w:rsidRPr="5A49379C" w:rsidR="0D683948">
        <w:rPr>
          <w:lang w:val="en-US"/>
        </w:rPr>
        <w:t>hypoxemia</w:t>
      </w:r>
      <w:r w:rsidRPr="5A49379C" w:rsidR="0036609E">
        <w:rPr>
          <w:lang w:val="en-US"/>
        </w:rPr>
        <w:t xml:space="preserve"> during attacks, reinforcing the clinical need to restore airway </w:t>
      </w:r>
      <w:r w:rsidRPr="5A49379C" w:rsidR="400A08D5">
        <w:rPr>
          <w:lang w:val="en-US"/>
        </w:rPr>
        <w:t>caliber</w:t>
      </w:r>
      <w:r w:rsidRPr="5A49379C" w:rsidR="0036609E">
        <w:rPr>
          <w:lang w:val="en-US"/>
        </w:rPr>
        <w:t xml:space="preserve"> promptly (Springer, 2021). </w:t>
      </w:r>
    </w:p>
    <w:p w:rsidRPr="0036609E" w:rsidR="0036609E" w:rsidP="0036609E" w:rsidRDefault="0036609E" w14:paraId="3DFE193A" w14:textId="77777777">
      <w:pPr>
        <w:pStyle w:val="Heading1"/>
      </w:pPr>
      <w:r>
        <w:t>Asthma pathophysiology &amp; impact of irritants/infection</w:t>
      </w:r>
    </w:p>
    <w:p w:rsidRPr="001625A3" w:rsidR="001625A3" w:rsidP="001625A3" w:rsidRDefault="001625A3" w14:paraId="581AA9F3" w14:textId="77777777">
      <w:pPr>
        <w:rPr>
          <w:lang w:val="en-US"/>
        </w:rPr>
      </w:pPr>
      <w:r w:rsidRPr="001625A3">
        <w:rPr>
          <w:lang w:val="en-US"/>
        </w:rPr>
        <w:t xml:space="preserve">Epithelial and immune pathways triggered by airway allergens and irritants include mast cells and eosinophils and release mediators that cause smooth-muscle constriction, </w:t>
      </w:r>
      <w:proofErr w:type="spellStart"/>
      <w:r w:rsidRPr="001625A3">
        <w:rPr>
          <w:lang w:val="en-US"/>
        </w:rPr>
        <w:t>oedema</w:t>
      </w:r>
      <w:proofErr w:type="spellEnd"/>
      <w:r w:rsidRPr="001625A3">
        <w:rPr>
          <w:lang w:val="en-US"/>
        </w:rPr>
        <w:t xml:space="preserve"> and </w:t>
      </w:r>
      <w:proofErr w:type="spellStart"/>
      <w:r w:rsidRPr="001625A3">
        <w:rPr>
          <w:lang w:val="en-US"/>
        </w:rPr>
        <w:t>hypersecretion</w:t>
      </w:r>
      <w:proofErr w:type="spellEnd"/>
      <w:r w:rsidRPr="001625A3">
        <w:rPr>
          <w:lang w:val="en-US"/>
        </w:rPr>
        <w:t xml:space="preserve"> of mucus; this cascade is why inhaled corticosteroids should be used even with the infrequent symptoms in adolescents to curb inflammation that perpetrates future risk (Global Initiative for Asthma, 2024).</w:t>
      </w:r>
    </w:p>
    <w:p w:rsidRPr="001625A3" w:rsidR="001625A3" w:rsidP="001625A3" w:rsidRDefault="001625A3" w14:paraId="11F6ADFD" w14:textId="77777777">
      <w:pPr>
        <w:rPr>
          <w:lang w:val="en-US"/>
        </w:rPr>
      </w:pPr>
      <w:r w:rsidRPr="001625A3">
        <w:rPr>
          <w:lang w:val="en-US"/>
        </w:rPr>
        <w:t xml:space="preserve">The functional outcome is increased airway resistance, dynamic hyperinflation and decreased peak expiratory flow and FEV1, which have characteristic nocturnal variability, which are measurably diminished and link to symptom diaries and action-plan zones, which the clinic insists on routine peak-flow technique and trend review to identify early deterioration (NHLBI, 2025). </w:t>
      </w:r>
    </w:p>
    <w:p w:rsidRPr="0036609E" w:rsidR="0036609E" w:rsidP="001625A3" w:rsidRDefault="001625A3" w14:paraId="3F7D8D2A" w14:textId="77777777">
      <w:pPr>
        <w:rPr>
          <w:lang w:val="en-US"/>
        </w:rPr>
      </w:pPr>
      <w:r w:rsidRPr="001625A3">
        <w:rPr>
          <w:lang w:val="en-US"/>
        </w:rPr>
        <w:t xml:space="preserve">The effect of smoking, vaping and infections is high-impact in adolescents, and their combined burden is visible in clinical cases; an 18-year-old daily </w:t>
      </w:r>
      <w:proofErr w:type="spellStart"/>
      <w:r w:rsidRPr="001625A3">
        <w:rPr>
          <w:lang w:val="en-US"/>
        </w:rPr>
        <w:t>vaper</w:t>
      </w:r>
      <w:proofErr w:type="spellEnd"/>
      <w:r w:rsidRPr="001625A3">
        <w:rPr>
          <w:lang w:val="en-US"/>
        </w:rPr>
        <w:t xml:space="preserve"> with moderate persistent asthma can be presented with severe exacerbation requiring hospital care, which is an example of how the frequent exposure of the aerosol impacts the acute risk and the consumption of resources in case of underlying airway hyper-responsiveness (CHEST, 2024). According to population data, the use of e-cigarettes is linked to increased chances of current asthma and wheeze even in never-smokers, which indicates a direct irritant effect that has public-health implications on school and venue policies (</w:t>
      </w:r>
      <w:proofErr w:type="spellStart"/>
      <w:r w:rsidRPr="001625A3">
        <w:rPr>
          <w:lang w:val="en-US"/>
        </w:rPr>
        <w:t>Alqahtani</w:t>
      </w:r>
      <w:proofErr w:type="spellEnd"/>
      <w:r w:rsidRPr="001625A3">
        <w:rPr>
          <w:lang w:val="en-US"/>
        </w:rPr>
        <w:t xml:space="preserve"> et al., 2020). Viral drivers have continued to be critical in all contexts, and the literature supports the prevention of crowded ill-ventilated indoor environments during surges, and the importance of vaccination schedules in the indirect reduction of exacerbation risk through the prevention of infections (Grayson et al., 2019; Annals of Allergy, 2025). Lastly, the cost aspect also concerns families and services; compared to management of the office setting, emergency-based treatment is much more expensive, and, thus, clinic-level prevention and early-step intervention facilitated by the data is not only safer but also is more cost-effective (Hasegawa et al., 2020).</w:t>
      </w:r>
    </w:p>
    <w:p w:rsidRPr="0036609E" w:rsidR="0036609E" w:rsidP="0036609E" w:rsidRDefault="0036609E" w14:paraId="4E9D5E52" w14:textId="77777777">
      <w:pPr>
        <w:pStyle w:val="Heading1"/>
      </w:pPr>
      <w:r>
        <w:t>Recording and tracking respiratory function</w:t>
      </w:r>
    </w:p>
    <w:p w:rsidRPr="0036609E" w:rsidR="0036609E" w:rsidP="0036609E" w:rsidRDefault="0036609E" w14:paraId="0638565F" w14:textId="77777777">
      <w:pPr>
        <w:rPr>
          <w:lang w:val="en-US"/>
        </w:rPr>
      </w:pPr>
      <w:r w:rsidRPr="0036609E">
        <w:rPr>
          <w:lang w:val="en-US"/>
        </w:rPr>
        <w:t xml:space="preserve">Routine self-monitoring works when it turns numbers into timely action, so adolescents should record morning and evening peak expiratory flow (PEF), a simple 0–3 symptom score, the number of reliever puffs used, known triggers that day, and any sickness days; this mix shows both the </w:t>
      </w:r>
      <w:r w:rsidRPr="0036609E">
        <w:rPr>
          <w:i/>
          <w:iCs/>
          <w:lang w:val="en-US"/>
        </w:rPr>
        <w:t>level</w:t>
      </w:r>
      <w:r w:rsidRPr="0036609E">
        <w:rPr>
          <w:lang w:val="en-US"/>
        </w:rPr>
        <w:t xml:space="preserve"> of control and the </w:t>
      </w:r>
      <w:r w:rsidRPr="0036609E">
        <w:rPr>
          <w:i/>
          <w:iCs/>
          <w:lang w:val="en-US"/>
        </w:rPr>
        <w:t>pattern</w:t>
      </w:r>
      <w:r w:rsidRPr="0036609E">
        <w:rPr>
          <w:lang w:val="en-US"/>
        </w:rPr>
        <w:t xml:space="preserve"> of risk over time (GINA, 2024). Accurate PEF technique matters because poor blows mislead decisions; best practice is to stand upright, seal lips, blast hard </w:t>
      </w:r>
      <w:r w:rsidRPr="0036609E">
        <w:rPr>
          <w:i/>
          <w:iCs/>
          <w:lang w:val="en-US"/>
        </w:rPr>
        <w:t>three times</w:t>
      </w:r>
      <w:r w:rsidRPr="0036609E">
        <w:rPr>
          <w:lang w:val="en-US"/>
        </w:rPr>
        <w:t xml:space="preserve">, and log the highest value at the </w:t>
      </w:r>
      <w:r w:rsidRPr="0036609E">
        <w:rPr>
          <w:i/>
          <w:iCs/>
          <w:lang w:val="en-US"/>
        </w:rPr>
        <w:t>same times</w:t>
      </w:r>
      <w:r w:rsidRPr="0036609E">
        <w:rPr>
          <w:lang w:val="en-US"/>
        </w:rPr>
        <w:t xml:space="preserve"> each day using the </w:t>
      </w:r>
      <w:r w:rsidRPr="0036609E">
        <w:rPr>
          <w:i/>
          <w:iCs/>
          <w:lang w:val="en-US"/>
        </w:rPr>
        <w:t>same device</w:t>
      </w:r>
      <w:r w:rsidRPr="0036609E">
        <w:rPr>
          <w:lang w:val="en-US"/>
        </w:rPr>
        <w:t xml:space="preserve"> (NHLBI, 2025). A “personal best” should be set over 2–3 stable weeks, after which the action plan uses green–yellow–red zones to tell the patient </w:t>
      </w:r>
      <w:r w:rsidRPr="0036609E">
        <w:rPr>
          <w:i/>
          <w:iCs/>
          <w:lang w:val="en-US"/>
        </w:rPr>
        <w:t>what to do</w:t>
      </w:r>
      <w:r w:rsidRPr="0036609E">
        <w:rPr>
          <w:lang w:val="en-US"/>
        </w:rPr>
        <w:t xml:space="preserve"> when numbers drop or symptoms rise; this prevents delay, which is when attacks escalate and costs increase for families and services (CDC, 2024). </w:t>
      </w:r>
    </w:p>
    <w:p w:rsidRPr="0036609E" w:rsidR="0036609E" w:rsidP="0036609E" w:rsidRDefault="0036609E" w14:paraId="3A56212D" w14:textId="77777777">
      <w:pPr>
        <w:rPr>
          <w:lang w:val="en-US"/>
        </w:rPr>
      </w:pPr>
      <w:r w:rsidRPr="0036609E">
        <w:rPr>
          <w:lang w:val="en-US"/>
        </w:rPr>
        <w:t xml:space="preserve">Measurement should drive a weekly Plan–Do–Study–Act (PDSA) mini-cycle: set a small goal (Plan), collect PEF and symptoms (Do), review the graph for early decline or missed doses (Study), and adjust actions or reminders (Act); this feedback loop explains </w:t>
      </w:r>
      <w:r w:rsidRPr="0036609E">
        <w:rPr>
          <w:i/>
          <w:iCs/>
          <w:lang w:val="en-US"/>
        </w:rPr>
        <w:t>how</w:t>
      </w:r>
      <w:r w:rsidRPr="0036609E">
        <w:rPr>
          <w:lang w:val="en-US"/>
        </w:rPr>
        <w:t xml:space="preserve"> small changes compound into safer control (IHI, 2024). Evidence supports this approach: supported self-management with written plans </w:t>
      </w:r>
      <w:r w:rsidRPr="0036609E">
        <w:rPr>
          <w:i/>
          <w:iCs/>
          <w:lang w:val="en-US"/>
        </w:rPr>
        <w:t>reduces</w:t>
      </w:r>
      <w:r w:rsidRPr="0036609E">
        <w:rPr>
          <w:lang w:val="en-US"/>
        </w:rPr>
        <w:t xml:space="preserve"> </w:t>
      </w:r>
      <w:proofErr w:type="spellStart"/>
      <w:r w:rsidRPr="0036609E">
        <w:rPr>
          <w:lang w:val="en-US"/>
        </w:rPr>
        <w:t>hospitalisations</w:t>
      </w:r>
      <w:proofErr w:type="spellEnd"/>
      <w:r w:rsidRPr="0036609E">
        <w:rPr>
          <w:lang w:val="en-US"/>
        </w:rPr>
        <w:t xml:space="preserve"> and emergency visits, so the time cost of daily logging is outweighed by fewer crises (</w:t>
      </w:r>
      <w:proofErr w:type="spellStart"/>
      <w:r w:rsidRPr="0036609E">
        <w:rPr>
          <w:lang w:val="en-US"/>
        </w:rPr>
        <w:t>Bourbeau</w:t>
      </w:r>
      <w:proofErr w:type="spellEnd"/>
      <w:r w:rsidRPr="0036609E">
        <w:rPr>
          <w:lang w:val="en-US"/>
        </w:rPr>
        <w:t xml:space="preserve"> et al., 2017). However, the tool choice should be critical. Trials and guideline evidence show routine PEF monitoring is </w:t>
      </w:r>
      <w:r w:rsidRPr="0036609E">
        <w:rPr>
          <w:i/>
          <w:iCs/>
          <w:lang w:val="en-US"/>
        </w:rPr>
        <w:t>not always superior</w:t>
      </w:r>
      <w:r w:rsidRPr="0036609E">
        <w:rPr>
          <w:lang w:val="en-US"/>
        </w:rPr>
        <w:t xml:space="preserve"> to symptom-based monitoring for every patient, so PEF is most useful for “poor perceivers,” those with severe disease, or when decisions are unclear (NICE, 2024). Digital add-ons like smart inhalers or apps can raise adherence, yet their effects on hard outcomes and cost-effectiveness are mixed, which cautions against prescribing complex tech without a clear benefit signal in the patient’s own data (Huygens et al., 2021). </w:t>
      </w:r>
    </w:p>
    <w:p w:rsidRPr="0036609E" w:rsidR="0036609E" w:rsidP="0036609E" w:rsidRDefault="0036609E" w14:paraId="15438AB3" w14:textId="77777777">
      <w:pPr>
        <w:pStyle w:val="Heading1"/>
      </w:pPr>
      <w:r>
        <w:t>Evidence-based lifestyle changes with behaviour-change theory</w:t>
      </w:r>
    </w:p>
    <w:p w:rsidRPr="001625A3" w:rsidR="001625A3" w:rsidP="001625A3" w:rsidRDefault="001625A3" w14:paraId="5B2CB637" w14:textId="77777777">
      <w:pPr>
        <w:rPr>
          <w:lang w:val="en-US"/>
        </w:rPr>
      </w:pPr>
      <w:r w:rsidRPr="001625A3">
        <w:rPr>
          <w:lang w:val="en-US"/>
        </w:rPr>
        <w:t xml:space="preserve">The most productive change is to stop smoking and vaping since the irritants contribute to airway inflammation and frequent attacks; evidence-based support of the adolescents encompasses brief advice, opt-out referral and pharmacotherapy where necessary as dictated by the </w:t>
      </w:r>
      <w:proofErr w:type="spellStart"/>
      <w:r w:rsidRPr="001625A3">
        <w:rPr>
          <w:lang w:val="en-US"/>
        </w:rPr>
        <w:t>Transtheoretical</w:t>
      </w:r>
      <w:proofErr w:type="spellEnd"/>
      <w:r w:rsidRPr="001625A3">
        <w:rPr>
          <w:lang w:val="en-US"/>
        </w:rPr>
        <w:t xml:space="preserve"> Model of stage-matched goals and COM-B addresses Capability, Opportunity and Motivation (NICE, 2021; </w:t>
      </w:r>
      <w:proofErr w:type="spellStart"/>
      <w:r w:rsidRPr="001625A3">
        <w:rPr>
          <w:lang w:val="en-US"/>
        </w:rPr>
        <w:t>Michie</w:t>
      </w:r>
      <w:proofErr w:type="spellEnd"/>
      <w:r w:rsidRPr="001625A3">
        <w:rPr>
          <w:lang w:val="en-US"/>
        </w:rPr>
        <w:t xml:space="preserve">, 2019). The rationale is obvious: by eliminating irritants, bronchial hyper-responsiveness decreases, and day-to-day PEF gets better, and clinics must combine quit attempts with weekly PDSA review of the personal trend to demonstrate that it works, and motivate the patient to continue (IHI, 2024). </w:t>
      </w:r>
    </w:p>
    <w:p w:rsidRPr="001625A3" w:rsidR="001625A3" w:rsidP="001625A3" w:rsidRDefault="001625A3" w14:paraId="5D5736DE" w14:textId="77777777">
      <w:pPr>
        <w:rPr>
          <w:lang w:val="en-US"/>
        </w:rPr>
      </w:pPr>
      <w:r w:rsidRPr="001625A3">
        <w:rPr>
          <w:lang w:val="en-US"/>
        </w:rPr>
        <w:t xml:space="preserve">The next step is to reduce exposure to infections since viruses are the main causes of adolescent attacks; available measures to reduce exposure to viruses include keeping current with respiratory vaccinations and using a well-fitted mask in crowded indoor settings during outbreaks or staying with people who are at high risk, reducing the likelihood of exposure to the highest risks and locations that are at risk (CDC, 2024; CDC, 2025). One objection is that the effects of vaccines on asthma specific outcomes may be inconsistent, but that the recommendation in favor of vaccination on safety and infection-prevention issues is still sensible when considered in a risk-management framework, although not in the single-outcome context of the argument (CMAJ, 2021). </w:t>
      </w:r>
    </w:p>
    <w:p w:rsidRPr="001625A3" w:rsidR="001625A3" w:rsidP="001625A3" w:rsidRDefault="001625A3" w14:paraId="75E0C926" w14:textId="77777777">
      <w:pPr>
        <w:rPr>
          <w:lang w:val="en-US"/>
        </w:rPr>
      </w:pPr>
      <w:r w:rsidRPr="001625A3">
        <w:rPr>
          <w:lang w:val="en-US"/>
        </w:rPr>
        <w:t>Control depends on adherence and technique daily, and inhaler checks and using spacers at each visit should become a regular part of the routine; systematic evidence indicates that inhaler errors are associated with unfavorable outcomes, and regular coaching and simple reminders are necessary instead of expecting a one-time training to be sufficient (</w:t>
      </w:r>
      <w:r w:rsidR="00FA45DB">
        <w:rPr>
          <w:lang w:val="en-US"/>
        </w:rPr>
        <w:t>Roche</w:t>
      </w:r>
      <w:r w:rsidRPr="001625A3">
        <w:rPr>
          <w:lang w:val="en-US"/>
        </w:rPr>
        <w:t xml:space="preserve"> et al., 2022). The present strategy is also focused on the availability of inhaled corticosteroid-based treatment and discourages the use of short-acting relievers alone, reportedly consistent with the inflammatory why of asthma (GINA, 2024). </w:t>
      </w:r>
    </w:p>
    <w:p w:rsidRPr="0036609E" w:rsidR="0036609E" w:rsidP="001625A3" w:rsidRDefault="001625A3" w14:paraId="4B91A33A" w14:textId="77777777">
      <w:pPr>
        <w:rPr>
          <w:lang w:val="en-US"/>
        </w:rPr>
      </w:pPr>
      <w:r w:rsidRPr="001625A3">
        <w:rPr>
          <w:lang w:val="en-US"/>
        </w:rPr>
        <w:t xml:space="preserve">Change is sticky due to social and environmental supports. Home and automobile smoke reductions can reduce baseline exposure, school intervention can encourage actions in time when the symptoms appear, and peer support in a clinic can support modelling and cues; these are all linked to the levers of the COM-B model and can be monitored by fewer puffs of reliant and more stable morning PEF on the graph of the patient (West and </w:t>
      </w:r>
      <w:proofErr w:type="spellStart"/>
      <w:r w:rsidRPr="001625A3">
        <w:rPr>
          <w:lang w:val="en-US"/>
        </w:rPr>
        <w:t>Michie</w:t>
      </w:r>
      <w:proofErr w:type="spellEnd"/>
      <w:r w:rsidRPr="001625A3">
        <w:rPr>
          <w:lang w:val="en-US"/>
        </w:rPr>
        <w:t>, 2020). Lastly, digital tools can be useful in terms of reminders and logging, although such mixed outcome data and unknown costs should be experimented in 1-2 PDSA cycles in the clinic, and only that should be maintained that leads to an improvement in the patient own trend (JACI-IP, 2021).</w:t>
      </w:r>
      <w:r w:rsidRPr="0036609E" w:rsidR="0036609E">
        <w:rPr>
          <w:lang w:val="en-US"/>
        </w:rPr>
        <w:t xml:space="preserve"> </w:t>
      </w:r>
    </w:p>
    <w:p w:rsidRPr="0036609E" w:rsidR="0036609E" w:rsidP="0036609E" w:rsidRDefault="001625A3" w14:paraId="2D2FBB9E" w14:textId="77777777">
      <w:pPr>
        <w:pStyle w:val="Heading1"/>
      </w:pPr>
      <w:r>
        <w:t>Conclusion</w:t>
      </w:r>
    </w:p>
    <w:p w:rsidRPr="0036609E" w:rsidR="0036609E" w:rsidP="0036609E" w:rsidRDefault="0036609E" w14:paraId="1B3D642F" w14:textId="77777777">
      <w:pPr>
        <w:rPr>
          <w:lang w:val="en-US"/>
        </w:rPr>
      </w:pPr>
      <w:r w:rsidRPr="0036609E">
        <w:rPr>
          <w:lang w:val="en-US"/>
        </w:rPr>
        <w:t xml:space="preserve">Asthma control improves when adolescents collect </w:t>
      </w:r>
      <w:r w:rsidRPr="0036609E">
        <w:rPr>
          <w:i/>
          <w:iCs/>
          <w:lang w:val="en-US"/>
        </w:rPr>
        <w:t>reliable</w:t>
      </w:r>
      <w:r w:rsidRPr="0036609E">
        <w:rPr>
          <w:lang w:val="en-US"/>
        </w:rPr>
        <w:t xml:space="preserve"> daily data and act early using a written plan because irritants and infections narrow small airways quickly, raising resistance and dropping PEF before severe symptoms appear (NHLBI, 2025). The clinic’s role is to make self-monitoring accurate, to review trends with patients, and to target the biggest drivers—cessation of smoking and vaping, infection risk reduction during high-transmission periods, and error-free inhaler use—using </w:t>
      </w:r>
      <w:proofErr w:type="spellStart"/>
      <w:r w:rsidRPr="0036609E">
        <w:rPr>
          <w:lang w:val="en-US"/>
        </w:rPr>
        <w:t>behaviour</w:t>
      </w:r>
      <w:proofErr w:type="spellEnd"/>
      <w:r w:rsidRPr="0036609E">
        <w:rPr>
          <w:lang w:val="en-US"/>
        </w:rPr>
        <w:t>-change methods and short PDSA cycles so that benefits are visibl</w:t>
      </w:r>
      <w:r>
        <w:rPr>
          <w:lang w:val="en-US"/>
        </w:rPr>
        <w:t>e in the patient’s own numbers.</w:t>
      </w:r>
    </w:p>
    <w:p w:rsidR="00DD5711" w:rsidP="00DD5711" w:rsidRDefault="00DD5711" w14:paraId="1D391301" w14:textId="77777777">
      <w:pPr>
        <w:rPr>
          <w:lang w:val="en-US"/>
        </w:rPr>
      </w:pPr>
    </w:p>
    <w:p w:rsidR="001625A3" w:rsidP="00DD5711" w:rsidRDefault="001625A3" w14:paraId="319ABC1F" w14:textId="77777777">
      <w:pPr>
        <w:rPr>
          <w:lang w:val="en-US"/>
        </w:rPr>
      </w:pPr>
    </w:p>
    <w:p w:rsidR="001625A3" w:rsidP="00DD5711" w:rsidRDefault="001625A3" w14:paraId="182FB1ED" w14:textId="77777777">
      <w:pPr>
        <w:rPr>
          <w:lang w:val="en-US"/>
        </w:rPr>
      </w:pPr>
    </w:p>
    <w:p w:rsidR="001625A3" w:rsidP="00DD5711" w:rsidRDefault="001625A3" w14:paraId="78C9A191" w14:textId="77777777">
      <w:pPr>
        <w:rPr>
          <w:lang w:val="en-US"/>
        </w:rPr>
      </w:pPr>
    </w:p>
    <w:p w:rsidR="001625A3" w:rsidP="00DD5711" w:rsidRDefault="001625A3" w14:paraId="6A483B06" w14:textId="77777777">
      <w:pPr>
        <w:rPr>
          <w:lang w:val="en-US"/>
        </w:rPr>
      </w:pPr>
    </w:p>
    <w:p w:rsidR="001625A3" w:rsidP="00DD5711" w:rsidRDefault="001625A3" w14:paraId="700D3F0D" w14:textId="77777777">
      <w:pPr>
        <w:rPr>
          <w:lang w:val="en-US"/>
        </w:rPr>
      </w:pPr>
    </w:p>
    <w:p w:rsidR="001625A3" w:rsidP="5A49379C" w:rsidRDefault="001625A3" w14:paraId="4CF9EDF2" w14:noSpellErr="1" w14:textId="775164F9">
      <w:pPr>
        <w:pStyle w:val="Normal"/>
        <w:rPr>
          <w:lang w:val="en-US"/>
        </w:rPr>
      </w:pPr>
    </w:p>
    <w:p w:rsidR="001625A3" w:rsidP="001625A3" w:rsidRDefault="001625A3" w14:paraId="2B2A3BA0" w14:textId="77777777">
      <w:pPr>
        <w:pStyle w:val="Heading1"/>
      </w:pPr>
      <w:r>
        <w:t>References</w:t>
      </w:r>
    </w:p>
    <w:p w:rsidRPr="001625A3" w:rsidR="00FA45DB" w:rsidP="001625A3" w:rsidRDefault="00FA45DB" w14:paraId="0E3E3362" w14:textId="77777777">
      <w:pPr>
        <w:rPr>
          <w:lang w:val="en-US"/>
        </w:rPr>
      </w:pPr>
      <w:proofErr w:type="spellStart"/>
      <w:r w:rsidRPr="001625A3">
        <w:rPr>
          <w:lang w:val="en-US"/>
        </w:rPr>
        <w:t>Alqahtani</w:t>
      </w:r>
      <w:proofErr w:type="spellEnd"/>
      <w:r w:rsidRPr="001625A3">
        <w:rPr>
          <w:lang w:val="en-US"/>
        </w:rPr>
        <w:t xml:space="preserve">, A. et al. (2020) ‘Use of electronic cigarettes and secondhand exposure to their aerosols with asthma symptoms among adolescents’, </w:t>
      </w:r>
      <w:r w:rsidRPr="001625A3">
        <w:rPr>
          <w:i/>
          <w:iCs/>
          <w:lang w:val="en-US"/>
        </w:rPr>
        <w:t>Respiratory Research</w:t>
      </w:r>
      <w:r w:rsidRPr="001625A3">
        <w:rPr>
          <w:lang w:val="en-US"/>
        </w:rPr>
        <w:t xml:space="preserve">, 21(1). Available at: </w:t>
      </w:r>
      <w:hyperlink w:tgtFrame="_new" w:history="1" r:id="rId7">
        <w:r w:rsidRPr="001625A3">
          <w:rPr>
            <w:rStyle w:val="Hyperlink"/>
            <w:lang w:val="en-US"/>
          </w:rPr>
          <w:t>https://respiratory-research.biomedcentral.com/articles/10.1186/s12931-020-01569-9</w:t>
        </w:r>
      </w:hyperlink>
    </w:p>
    <w:p w:rsidRPr="001625A3" w:rsidR="00FA45DB" w:rsidP="001625A3" w:rsidRDefault="00FA45DB" w14:paraId="0345EA4E" w14:textId="77777777">
      <w:pPr>
        <w:rPr>
          <w:lang w:val="en-US"/>
        </w:rPr>
      </w:pPr>
      <w:r w:rsidRPr="001625A3">
        <w:rPr>
          <w:lang w:val="en-US"/>
        </w:rPr>
        <w:t xml:space="preserve">Annals of Allergy, Asthma &amp; Immunology (2025) ‘The impact of respiratory syncytial virus on asthma development and exacerbations’. Available at: </w:t>
      </w:r>
      <w:hyperlink w:tgtFrame="_new" w:history="1" r:id="rId8">
        <w:r w:rsidRPr="001625A3">
          <w:rPr>
            <w:rStyle w:val="Hyperlink"/>
            <w:lang w:val="en-US"/>
          </w:rPr>
          <w:t>https://www.annallergy.org/article/S1081-1206(25)00236-4/fulltext</w:t>
        </w:r>
      </w:hyperlink>
    </w:p>
    <w:p w:rsidRPr="001625A3" w:rsidR="00FA45DB" w:rsidP="001625A3" w:rsidRDefault="00FA45DB" w14:paraId="2C3A728D" w14:textId="77777777">
      <w:pPr>
        <w:rPr>
          <w:lang w:val="en-US"/>
        </w:rPr>
      </w:pPr>
      <w:r w:rsidRPr="001625A3">
        <w:rPr>
          <w:lang w:val="en-US"/>
        </w:rPr>
        <w:t xml:space="preserve">Biophysical Journal (2024) ‘The biophysical function of pulmonary surfactant’, </w:t>
      </w:r>
      <w:r w:rsidRPr="001625A3">
        <w:rPr>
          <w:i/>
          <w:iCs/>
          <w:lang w:val="en-US"/>
        </w:rPr>
        <w:t>Biophysical Journal</w:t>
      </w:r>
      <w:r w:rsidRPr="001625A3">
        <w:rPr>
          <w:lang w:val="en-US"/>
        </w:rPr>
        <w:t xml:space="preserve">, 123(5). Available at: </w:t>
      </w:r>
      <w:hyperlink w:tgtFrame="_new" w:history="1" r:id="rId9">
        <w:r w:rsidRPr="001625A3">
          <w:rPr>
            <w:rStyle w:val="Hyperlink"/>
            <w:lang w:val="en-US"/>
          </w:rPr>
          <w:t>https://www.cell.com/biophysj/fulltext/S0006-3495(24)00283-2</w:t>
        </w:r>
      </w:hyperlink>
    </w:p>
    <w:p w:rsidRPr="001625A3" w:rsidR="00FA45DB" w:rsidP="001625A3" w:rsidRDefault="00FA45DB" w14:paraId="59495840" w14:textId="77777777">
      <w:pPr>
        <w:rPr>
          <w:lang w:val="en-US"/>
        </w:rPr>
      </w:pPr>
      <w:r w:rsidRPr="001625A3">
        <w:rPr>
          <w:lang w:val="en-US"/>
        </w:rPr>
        <w:t xml:space="preserve">Campbell, M. and </w:t>
      </w:r>
      <w:proofErr w:type="spellStart"/>
      <w:r w:rsidRPr="001625A3">
        <w:rPr>
          <w:lang w:val="en-US"/>
        </w:rPr>
        <w:t>Sapra</w:t>
      </w:r>
      <w:proofErr w:type="spellEnd"/>
      <w:r w:rsidRPr="001625A3">
        <w:rPr>
          <w:lang w:val="en-US"/>
        </w:rPr>
        <w:t xml:space="preserve">, A. (2023) ‘Physiology, Airflow Resistance’, </w:t>
      </w:r>
      <w:proofErr w:type="spellStart"/>
      <w:r w:rsidRPr="001625A3">
        <w:rPr>
          <w:i/>
          <w:iCs/>
          <w:lang w:val="en-US"/>
        </w:rPr>
        <w:t>StatPearls</w:t>
      </w:r>
      <w:proofErr w:type="spellEnd"/>
      <w:r w:rsidRPr="001625A3">
        <w:rPr>
          <w:lang w:val="en-US"/>
        </w:rPr>
        <w:t xml:space="preserve">. Available at: </w:t>
      </w:r>
      <w:hyperlink w:tgtFrame="_new" w:history="1" r:id="rId10">
        <w:r w:rsidRPr="001625A3">
          <w:rPr>
            <w:rStyle w:val="Hyperlink"/>
            <w:lang w:val="en-US"/>
          </w:rPr>
          <w:t>https://europepmc.org/books/n/statpearls/article-17307/</w:t>
        </w:r>
      </w:hyperlink>
    </w:p>
    <w:p w:rsidRPr="001625A3" w:rsidR="00FA45DB" w:rsidP="001625A3" w:rsidRDefault="00FA45DB" w14:paraId="6DCB7599" w14:textId="77777777">
      <w:pPr>
        <w:rPr>
          <w:lang w:val="en-US"/>
        </w:rPr>
      </w:pPr>
      <w:r w:rsidRPr="001625A3">
        <w:rPr>
          <w:lang w:val="en-US"/>
        </w:rPr>
        <w:t xml:space="preserve">Centers for Disease Control and Prevention (2024) </w:t>
      </w:r>
      <w:r w:rsidRPr="001625A3">
        <w:rPr>
          <w:i/>
          <w:iCs/>
          <w:lang w:val="en-US"/>
        </w:rPr>
        <w:t>Asthma Action Plan</w:t>
      </w:r>
      <w:r w:rsidRPr="001625A3">
        <w:rPr>
          <w:lang w:val="en-US"/>
        </w:rPr>
        <w:t xml:space="preserve">. Available at: </w:t>
      </w:r>
      <w:hyperlink w:tgtFrame="_new" w:history="1" r:id="rId11">
        <w:r w:rsidRPr="001625A3">
          <w:rPr>
            <w:rStyle w:val="Hyperlink"/>
            <w:lang w:val="en-US"/>
          </w:rPr>
          <w:t>https://www.cdc.gov/asthma/action-plan/documents/asthma-action-plan-508.pdf</w:t>
        </w:r>
      </w:hyperlink>
      <w:r w:rsidRPr="001625A3">
        <w:rPr>
          <w:lang w:val="en-US"/>
        </w:rPr>
        <w:t xml:space="preserve"> </w:t>
      </w:r>
    </w:p>
    <w:p w:rsidRPr="001625A3" w:rsidR="00FA45DB" w:rsidP="001625A3" w:rsidRDefault="00FA45DB" w14:paraId="316B736E" w14:textId="77777777">
      <w:pPr>
        <w:rPr>
          <w:lang w:val="en-US"/>
        </w:rPr>
      </w:pPr>
      <w:r w:rsidRPr="001625A3">
        <w:rPr>
          <w:lang w:val="en-US"/>
        </w:rPr>
        <w:t xml:space="preserve">Centers for Disease Control and Prevention (2025) </w:t>
      </w:r>
      <w:r w:rsidRPr="001625A3">
        <w:rPr>
          <w:i/>
          <w:iCs/>
          <w:lang w:val="en-US"/>
        </w:rPr>
        <w:t>Masks and Respiratory Viruses Prevention</w:t>
      </w:r>
      <w:r w:rsidRPr="001625A3">
        <w:rPr>
          <w:lang w:val="en-US"/>
        </w:rPr>
        <w:t xml:space="preserve">. Available at: </w:t>
      </w:r>
      <w:hyperlink w:history="1" r:id="rId12">
        <w:r w:rsidRPr="00AE4D15">
          <w:rPr>
            <w:rStyle w:val="Hyperlink"/>
            <w:lang w:val="en-US"/>
          </w:rPr>
          <w:t>https://www.cdc.gov/respiratory-viruses/prevention/masks.html</w:t>
        </w:r>
      </w:hyperlink>
      <w:r w:rsidRPr="001625A3">
        <w:rPr>
          <w:lang w:val="en-US"/>
        </w:rPr>
        <w:t xml:space="preserve"> </w:t>
      </w:r>
      <w:hyperlink w:tgtFrame="_blank" w:history="1" r:id="rId13">
        <w:r w:rsidRPr="001625A3">
          <w:rPr>
            <w:rStyle w:val="Hyperlink"/>
            <w:lang w:val="en-US"/>
          </w:rPr>
          <w:t>CDC</w:t>
        </w:r>
      </w:hyperlink>
    </w:p>
    <w:p w:rsidRPr="001625A3" w:rsidR="00FA45DB" w:rsidP="001625A3" w:rsidRDefault="00FA45DB" w14:paraId="02381EC1" w14:textId="77777777">
      <w:pPr>
        <w:rPr>
          <w:lang w:val="en-US"/>
        </w:rPr>
      </w:pPr>
      <w:r w:rsidRPr="001625A3">
        <w:rPr>
          <w:lang w:val="en-US"/>
        </w:rPr>
        <w:t xml:space="preserve">CHEST (2024) ‘Severe consequence of vaping-induced asthma exacerbation: case presentation’, </w:t>
      </w:r>
      <w:r w:rsidRPr="001625A3">
        <w:rPr>
          <w:i/>
          <w:iCs/>
          <w:lang w:val="en-US"/>
        </w:rPr>
        <w:t>CHEST Journal</w:t>
      </w:r>
      <w:r w:rsidRPr="001625A3">
        <w:rPr>
          <w:lang w:val="en-US"/>
        </w:rPr>
        <w:t xml:space="preserve">. Available at: </w:t>
      </w:r>
      <w:hyperlink w:tgtFrame="_new" w:history="1" r:id="rId14">
        <w:r w:rsidRPr="001625A3">
          <w:rPr>
            <w:rStyle w:val="Hyperlink"/>
            <w:lang w:val="en-US"/>
          </w:rPr>
          <w:t>https://journal.chestnet.org/article/S0012-3692(24)02942-8/fulltext</w:t>
        </w:r>
      </w:hyperlink>
    </w:p>
    <w:p w:rsidR="00FA45DB" w:rsidP="001625A3" w:rsidRDefault="00FA45DB" w14:paraId="3E0072C8" w14:textId="77777777">
      <w:pPr>
        <w:rPr>
          <w:lang w:val="en-US"/>
        </w:rPr>
      </w:pPr>
      <w:r w:rsidRPr="001625A3">
        <w:rPr>
          <w:lang w:val="en-US"/>
        </w:rPr>
        <w:t xml:space="preserve">European Respiratory Society (2021) ‘Advances in gas exchange physiology and pathophysiology’, </w:t>
      </w:r>
      <w:r w:rsidRPr="001625A3">
        <w:rPr>
          <w:i/>
          <w:iCs/>
          <w:lang w:val="en-US"/>
        </w:rPr>
        <w:t>ERS Monograph Chapter</w:t>
      </w:r>
      <w:r w:rsidRPr="001625A3">
        <w:rPr>
          <w:lang w:val="en-US"/>
        </w:rPr>
        <w:t xml:space="preserve">. Available at: </w:t>
      </w:r>
      <w:hyperlink w:history="1" r:id="rId15">
        <w:r w:rsidRPr="00AE4D15">
          <w:rPr>
            <w:rStyle w:val="Hyperlink"/>
            <w:lang w:val="en-US"/>
          </w:rPr>
          <w:t>https://publications.ersnet.org/binary/ersworks/.../9781849841887_chapter_2.pdf</w:t>
        </w:r>
      </w:hyperlink>
    </w:p>
    <w:p w:rsidRPr="001625A3" w:rsidR="00FA45DB" w:rsidP="001625A3" w:rsidRDefault="00FA45DB" w14:paraId="324043FE" w14:textId="77777777">
      <w:pPr>
        <w:rPr>
          <w:lang w:val="en-US"/>
        </w:rPr>
      </w:pPr>
      <w:r w:rsidRPr="001625A3">
        <w:rPr>
          <w:lang w:val="en-US"/>
        </w:rPr>
        <w:t xml:space="preserve">Global Initiative for Asthma (2024) </w:t>
      </w:r>
      <w:r w:rsidRPr="001625A3">
        <w:rPr>
          <w:i/>
          <w:iCs/>
          <w:lang w:val="en-US"/>
        </w:rPr>
        <w:t>GINA Summary Guide 2024</w:t>
      </w:r>
      <w:r w:rsidRPr="001625A3">
        <w:rPr>
          <w:lang w:val="en-US"/>
        </w:rPr>
        <w:t xml:space="preserve">. Available at: </w:t>
      </w:r>
      <w:hyperlink w:tgtFrame="_new" w:history="1" r:id="rId16">
        <w:r w:rsidRPr="001625A3">
          <w:rPr>
            <w:rStyle w:val="Hyperlink"/>
            <w:lang w:val="en-US"/>
          </w:rPr>
          <w:t>https://ginasthma.org/wp-content/uploads/2024/12/GINA-Summary-Guide-2024-WEB-WMS.pdf</w:t>
        </w:r>
      </w:hyperlink>
    </w:p>
    <w:p w:rsidRPr="001625A3" w:rsidR="00FA45DB" w:rsidP="001625A3" w:rsidRDefault="00FA45DB" w14:paraId="667D2FE0" w14:textId="77777777">
      <w:pPr>
        <w:rPr>
          <w:lang w:val="en-US"/>
        </w:rPr>
      </w:pPr>
      <w:r w:rsidRPr="001625A3">
        <w:rPr>
          <w:lang w:val="en-US"/>
        </w:rPr>
        <w:t xml:space="preserve">Global Initiative for Asthma (2024) </w:t>
      </w:r>
      <w:r w:rsidRPr="001625A3">
        <w:rPr>
          <w:i/>
          <w:iCs/>
          <w:lang w:val="en-US"/>
        </w:rPr>
        <w:t>Global Strategy for Asthma Management and Prevention</w:t>
      </w:r>
      <w:r w:rsidRPr="001625A3">
        <w:rPr>
          <w:lang w:val="en-US"/>
        </w:rPr>
        <w:t xml:space="preserve">. Available at: </w:t>
      </w:r>
      <w:hyperlink w:tgtFrame="_new" w:history="1" r:id="rId17">
        <w:r w:rsidRPr="001625A3">
          <w:rPr>
            <w:rStyle w:val="Hyperlink"/>
            <w:lang w:val="en-US"/>
          </w:rPr>
          <w:t>https://ginasthma.org/2024-report/</w:t>
        </w:r>
      </w:hyperlink>
      <w:r w:rsidRPr="001625A3">
        <w:rPr>
          <w:lang w:val="en-US"/>
        </w:rPr>
        <w:t xml:space="preserve"> </w:t>
      </w:r>
      <w:hyperlink w:tgtFrame="_blank" w:history="1" r:id="rId18">
        <w:r w:rsidRPr="001625A3">
          <w:rPr>
            <w:rStyle w:val="Hyperlink"/>
            <w:lang w:val="en-US"/>
          </w:rPr>
          <w:t>Global Initiative for Asthma - GINA</w:t>
        </w:r>
      </w:hyperlink>
    </w:p>
    <w:p w:rsidRPr="001625A3" w:rsidR="00FA45DB" w:rsidP="001625A3" w:rsidRDefault="00FA45DB" w14:paraId="6BA2A4F3" w14:textId="77777777">
      <w:pPr>
        <w:rPr>
          <w:lang w:val="en-US"/>
        </w:rPr>
      </w:pPr>
      <w:r w:rsidRPr="001625A3">
        <w:rPr>
          <w:lang w:val="en-US"/>
        </w:rPr>
        <w:t xml:space="preserve">Global Initiative for Asthma (2024) </w:t>
      </w:r>
      <w:r w:rsidRPr="001625A3">
        <w:rPr>
          <w:i/>
          <w:iCs/>
          <w:lang w:val="en-US"/>
        </w:rPr>
        <w:t>Global Strategy for Asthma Management and Prevention 2024</w:t>
      </w:r>
      <w:r w:rsidRPr="001625A3">
        <w:rPr>
          <w:lang w:val="en-US"/>
        </w:rPr>
        <w:t xml:space="preserve">. Available at: </w:t>
      </w:r>
      <w:hyperlink w:tgtFrame="_new" w:history="1" r:id="rId19">
        <w:r w:rsidRPr="001625A3">
          <w:rPr>
            <w:rStyle w:val="Hyperlink"/>
            <w:lang w:val="en-US"/>
          </w:rPr>
          <w:t>https://ginasthma.org/2024-report/</w:t>
        </w:r>
      </w:hyperlink>
    </w:p>
    <w:p w:rsidRPr="001625A3" w:rsidR="00FA45DB" w:rsidP="001625A3" w:rsidRDefault="00FA45DB" w14:paraId="599EF2CA" w14:textId="77777777">
      <w:pPr>
        <w:rPr>
          <w:lang w:val="en-US"/>
        </w:rPr>
      </w:pPr>
      <w:r w:rsidRPr="001625A3">
        <w:rPr>
          <w:lang w:val="en-US"/>
        </w:rPr>
        <w:t xml:space="preserve">Grayson, M.H. et al. (2019) ‘Asthma and viral infections’, </w:t>
      </w:r>
      <w:r w:rsidRPr="001625A3">
        <w:rPr>
          <w:i/>
          <w:iCs/>
          <w:lang w:val="en-US"/>
        </w:rPr>
        <w:t>Annals of Allergy, Asthma &amp; Immunology</w:t>
      </w:r>
      <w:r w:rsidRPr="001625A3">
        <w:rPr>
          <w:lang w:val="en-US"/>
        </w:rPr>
        <w:t xml:space="preserve">, 123(4). Available at: </w:t>
      </w:r>
      <w:hyperlink w:tgtFrame="_new" w:history="1" r:id="rId20">
        <w:r w:rsidRPr="001625A3">
          <w:rPr>
            <w:rStyle w:val="Hyperlink"/>
            <w:lang w:val="en-US"/>
          </w:rPr>
          <w:t>https://www.annallergy.org/article/S1081-1206(19)30464-8/fulltext</w:t>
        </w:r>
      </w:hyperlink>
    </w:p>
    <w:p w:rsidRPr="001625A3" w:rsidR="00FA45DB" w:rsidP="001625A3" w:rsidRDefault="00FA45DB" w14:paraId="41D51A9B" w14:textId="77777777">
      <w:pPr>
        <w:rPr>
          <w:lang w:val="en-US"/>
        </w:rPr>
      </w:pPr>
      <w:r w:rsidRPr="001625A3">
        <w:rPr>
          <w:lang w:val="en-US"/>
        </w:rPr>
        <w:t xml:space="preserve">Hasegawa, K. et al. (2020) ‘Management of asthma exacerbations in the emergency department’, </w:t>
      </w:r>
      <w:r w:rsidRPr="001625A3">
        <w:rPr>
          <w:i/>
          <w:iCs/>
          <w:lang w:val="en-US"/>
        </w:rPr>
        <w:t>Pediatric Clinics of North America</w:t>
      </w:r>
      <w:r w:rsidRPr="001625A3">
        <w:rPr>
          <w:lang w:val="en-US"/>
        </w:rPr>
        <w:t xml:space="preserve">. Available at: </w:t>
      </w:r>
      <w:hyperlink w:tgtFrame="_new" w:history="1" r:id="rId21">
        <w:r w:rsidRPr="001625A3">
          <w:rPr>
            <w:rStyle w:val="Hyperlink"/>
            <w:lang w:val="en-US"/>
          </w:rPr>
          <w:t>https://www.sciencedirect.com/science/article/pii/S2213219820313994</w:t>
        </w:r>
      </w:hyperlink>
    </w:p>
    <w:p w:rsidRPr="001625A3" w:rsidR="00FA45DB" w:rsidP="001625A3" w:rsidRDefault="00FA45DB" w14:paraId="276A8361" w14:textId="77777777">
      <w:pPr>
        <w:rPr>
          <w:lang w:val="en-US"/>
        </w:rPr>
      </w:pPr>
      <w:r w:rsidRPr="001625A3">
        <w:rPr>
          <w:lang w:val="en-US"/>
        </w:rPr>
        <w:t xml:space="preserve">Institute for Healthcare Improvement (2024) </w:t>
      </w:r>
      <w:r w:rsidRPr="001625A3">
        <w:rPr>
          <w:i/>
          <w:iCs/>
          <w:lang w:val="en-US"/>
        </w:rPr>
        <w:t>Model for Improvement (PDSA)</w:t>
      </w:r>
      <w:r w:rsidRPr="001625A3">
        <w:rPr>
          <w:lang w:val="en-US"/>
        </w:rPr>
        <w:t xml:space="preserve">. Available at: </w:t>
      </w:r>
      <w:hyperlink w:tgtFrame="_new" w:history="1" r:id="rId22">
        <w:r w:rsidRPr="001625A3">
          <w:rPr>
            <w:rStyle w:val="Hyperlink"/>
            <w:lang w:val="en-US"/>
          </w:rPr>
          <w:t>https://www.ihi.org/library/model-for-improvement</w:t>
        </w:r>
      </w:hyperlink>
      <w:r w:rsidRPr="001625A3">
        <w:rPr>
          <w:lang w:val="en-US"/>
        </w:rPr>
        <w:t xml:space="preserve"> </w:t>
      </w:r>
    </w:p>
    <w:p w:rsidRPr="001625A3" w:rsidR="00FA45DB" w:rsidP="001625A3" w:rsidRDefault="00FA45DB" w14:paraId="3C3ED643" w14:textId="77777777">
      <w:pPr>
        <w:rPr>
          <w:lang w:val="en-US"/>
        </w:rPr>
      </w:pPr>
      <w:r w:rsidRPr="001625A3">
        <w:rPr>
          <w:lang w:val="en-US"/>
        </w:rPr>
        <w:t xml:space="preserve">JACI-In Practice (2021) ‘Digital health technology in asthma: Scoping review’. Available at: </w:t>
      </w:r>
      <w:hyperlink w:tgtFrame="_new" w:history="1" r:id="rId23">
        <w:r w:rsidRPr="001625A3">
          <w:rPr>
            <w:rStyle w:val="Hyperlink"/>
            <w:lang w:val="en-US"/>
          </w:rPr>
          <w:t>https://www.jaci-inpractice.org/article/S2213-2198(21)00233-6/fulltext</w:t>
        </w:r>
      </w:hyperlink>
      <w:r w:rsidRPr="001625A3">
        <w:rPr>
          <w:lang w:val="en-US"/>
        </w:rPr>
        <w:t xml:space="preserve"> </w:t>
      </w:r>
    </w:p>
    <w:p w:rsidRPr="001625A3" w:rsidR="00FA45DB" w:rsidP="001625A3" w:rsidRDefault="00FA45DB" w14:paraId="51AEA0C1" w14:textId="77777777">
      <w:pPr>
        <w:rPr>
          <w:lang w:val="en-US"/>
        </w:rPr>
      </w:pPr>
      <w:r w:rsidRPr="00FA45DB">
        <w:rPr>
          <w:lang w:val="en-US"/>
        </w:rPr>
        <w:t xml:space="preserve">Milne-Ives, M., Lam, C. and </w:t>
      </w:r>
      <w:proofErr w:type="spellStart"/>
      <w:r w:rsidRPr="00FA45DB">
        <w:rPr>
          <w:lang w:val="en-US"/>
        </w:rPr>
        <w:t>Meinert</w:t>
      </w:r>
      <w:proofErr w:type="spellEnd"/>
      <w:r w:rsidRPr="00FA45DB">
        <w:rPr>
          <w:lang w:val="en-US"/>
        </w:rPr>
        <w:t xml:space="preserve">, E., </w:t>
      </w:r>
      <w:r w:rsidRPr="001625A3">
        <w:rPr>
          <w:lang w:val="en-US"/>
        </w:rPr>
        <w:t xml:space="preserve">(2021) ‘Digital technologies for monitoring and improving treatment adherence in children and adolescents with asthma’, </w:t>
      </w:r>
      <w:r w:rsidRPr="001625A3">
        <w:rPr>
          <w:i/>
          <w:iCs/>
          <w:lang w:val="en-US"/>
        </w:rPr>
        <w:t>JMIR Pediatrics and Parenting</w:t>
      </w:r>
      <w:r w:rsidRPr="001625A3">
        <w:rPr>
          <w:lang w:val="en-US"/>
        </w:rPr>
        <w:t xml:space="preserve">, 4(3). Available at: </w:t>
      </w:r>
      <w:hyperlink w:tgtFrame="_new" w:history="1" r:id="rId24">
        <w:r w:rsidRPr="001625A3">
          <w:rPr>
            <w:rStyle w:val="Hyperlink"/>
            <w:lang w:val="en-US"/>
          </w:rPr>
          <w:t>https://pediatrics.jmir.org/2021/3/e27999</w:t>
        </w:r>
      </w:hyperlink>
      <w:r w:rsidRPr="001625A3">
        <w:rPr>
          <w:lang w:val="en-US"/>
        </w:rPr>
        <w:t xml:space="preserve"> </w:t>
      </w:r>
    </w:p>
    <w:p w:rsidRPr="001625A3" w:rsidR="00FA45DB" w:rsidP="001625A3" w:rsidRDefault="00FA45DB" w14:paraId="3359F2D7" w14:textId="77777777">
      <w:pPr>
        <w:rPr>
          <w:lang w:val="en-US"/>
        </w:rPr>
      </w:pPr>
      <w:r w:rsidRPr="001625A3">
        <w:rPr>
          <w:lang w:val="en-US"/>
        </w:rPr>
        <w:t xml:space="preserve">National Heart, Lung, and Blood Institute (2025) </w:t>
      </w:r>
      <w:r w:rsidRPr="001625A3">
        <w:rPr>
          <w:i/>
          <w:iCs/>
          <w:lang w:val="en-US"/>
        </w:rPr>
        <w:t>Monitoring Your Asthma</w:t>
      </w:r>
      <w:r w:rsidRPr="001625A3">
        <w:rPr>
          <w:lang w:val="en-US"/>
        </w:rPr>
        <w:t xml:space="preserve">. Available at: </w:t>
      </w:r>
      <w:hyperlink w:history="1" r:id="rId25">
        <w:r w:rsidRPr="00AE4D15">
          <w:rPr>
            <w:rStyle w:val="Hyperlink"/>
            <w:lang w:val="en-US"/>
          </w:rPr>
          <w:t>https://www.nhlbi.nih.gov/sites/default/files/publications/monitoring-your-asthma.pdf</w:t>
        </w:r>
      </w:hyperlink>
      <w:r w:rsidRPr="001625A3">
        <w:rPr>
          <w:lang w:val="en-US"/>
        </w:rPr>
        <w:t xml:space="preserve"> </w:t>
      </w:r>
    </w:p>
    <w:p w:rsidRPr="001625A3" w:rsidR="00FA45DB" w:rsidP="001625A3" w:rsidRDefault="00FA45DB" w14:paraId="1CC5FD12" w14:textId="77777777">
      <w:pPr>
        <w:rPr>
          <w:lang w:val="en-US"/>
        </w:rPr>
      </w:pPr>
      <w:r w:rsidRPr="001625A3">
        <w:rPr>
          <w:lang w:val="en-US"/>
        </w:rPr>
        <w:t xml:space="preserve">National Institute for Health and Care Excellence (2021) </w:t>
      </w:r>
      <w:r w:rsidRPr="001625A3">
        <w:rPr>
          <w:i/>
          <w:iCs/>
          <w:lang w:val="en-US"/>
        </w:rPr>
        <w:t>NG209: Tobacco—preventing uptake, promoting quitting and treating dependence</w:t>
      </w:r>
      <w:r w:rsidRPr="001625A3">
        <w:rPr>
          <w:lang w:val="en-US"/>
        </w:rPr>
        <w:t xml:space="preserve">. Available at: </w:t>
      </w:r>
      <w:hyperlink w:history="1" r:id="rId26">
        <w:r w:rsidRPr="00AE4D15">
          <w:rPr>
            <w:rStyle w:val="Hyperlink"/>
            <w:lang w:val="en-US"/>
          </w:rPr>
          <w:t>https://www.nice.org.uk/guidance/ng209</w:t>
        </w:r>
      </w:hyperlink>
      <w:r w:rsidRPr="001625A3">
        <w:rPr>
          <w:lang w:val="en-US"/>
        </w:rPr>
        <w:t xml:space="preserve"> </w:t>
      </w:r>
    </w:p>
    <w:p w:rsidRPr="001625A3" w:rsidR="00FA45DB" w:rsidP="001625A3" w:rsidRDefault="00FA45DB" w14:paraId="728A62A5" w14:textId="77777777">
      <w:pPr>
        <w:rPr>
          <w:lang w:val="en-US"/>
        </w:rPr>
      </w:pPr>
      <w:r w:rsidRPr="001625A3">
        <w:rPr>
          <w:lang w:val="en-US"/>
        </w:rPr>
        <w:t xml:space="preserve">NHLBI (2025) ‘Monitoring Your Asthma’, </w:t>
      </w:r>
      <w:r w:rsidRPr="001625A3">
        <w:rPr>
          <w:i/>
          <w:iCs/>
          <w:lang w:val="en-US"/>
        </w:rPr>
        <w:t>National Heart, Lung, and Blood Institute</w:t>
      </w:r>
      <w:r w:rsidRPr="001625A3">
        <w:rPr>
          <w:lang w:val="en-US"/>
        </w:rPr>
        <w:t xml:space="preserve">. Available at: </w:t>
      </w:r>
      <w:hyperlink w:history="1" r:id="rId27">
        <w:r w:rsidRPr="00AE4D15">
          <w:rPr>
            <w:rStyle w:val="Hyperlink"/>
            <w:lang w:val="en-US"/>
          </w:rPr>
          <w:t>https://www.nhlbi.nih.gov/sites/default/files/publications/monitoring-your-asthma.pdf</w:t>
        </w:r>
      </w:hyperlink>
    </w:p>
    <w:p w:rsidRPr="001625A3" w:rsidR="00FA45DB" w:rsidP="001625A3" w:rsidRDefault="00FA45DB" w14:paraId="41F73C3E" w14:textId="77777777">
      <w:pPr>
        <w:rPr>
          <w:lang w:val="en-US"/>
        </w:rPr>
      </w:pPr>
      <w:r w:rsidRPr="001625A3">
        <w:rPr>
          <w:lang w:val="en-US"/>
        </w:rPr>
        <w:t xml:space="preserve">NICE (2024) </w:t>
      </w:r>
      <w:r w:rsidRPr="001625A3">
        <w:rPr>
          <w:i/>
          <w:iCs/>
          <w:lang w:val="en-US"/>
        </w:rPr>
        <w:t>Evidence review M: pulmonary function monitoring (spirometry or PEF)</w:t>
      </w:r>
      <w:r w:rsidRPr="001625A3">
        <w:rPr>
          <w:lang w:val="en-US"/>
        </w:rPr>
        <w:t xml:space="preserve">. Available at: </w:t>
      </w:r>
      <w:hyperlink w:tgtFrame="_new" w:history="1" r:id="rId28">
        <w:r w:rsidRPr="001625A3">
          <w:rPr>
            <w:rStyle w:val="Hyperlink"/>
            <w:lang w:val="en-US"/>
          </w:rPr>
          <w:t>https://www.nice.org.uk/guidance/ng245/evidence/evidence-review-m-pulmonary-function-spirometry-or-peak-expiratory-flow-to-monitor-asthma-pdf-488093282392</w:t>
        </w:r>
      </w:hyperlink>
      <w:r w:rsidRPr="001625A3">
        <w:rPr>
          <w:lang w:val="en-US"/>
        </w:rPr>
        <w:t xml:space="preserve"> </w:t>
      </w:r>
    </w:p>
    <w:p w:rsidRPr="001625A3" w:rsidR="00FA45DB" w:rsidP="001625A3" w:rsidRDefault="00FA45DB" w14:paraId="44CEEA5E" w14:textId="77777777">
      <w:pPr>
        <w:rPr>
          <w:lang w:val="en-US"/>
        </w:rPr>
      </w:pPr>
      <w:r w:rsidRPr="00FA45DB">
        <w:rPr>
          <w:lang w:val="en-US"/>
        </w:rPr>
        <w:t xml:space="preserve">Pinnock, H., Parke, H.L., </w:t>
      </w:r>
      <w:proofErr w:type="spellStart"/>
      <w:r w:rsidRPr="00FA45DB">
        <w:rPr>
          <w:lang w:val="en-US"/>
        </w:rPr>
        <w:t>Panagioti</w:t>
      </w:r>
      <w:proofErr w:type="spellEnd"/>
      <w:r w:rsidRPr="00FA45DB">
        <w:rPr>
          <w:lang w:val="en-US"/>
        </w:rPr>
        <w:t xml:space="preserve">, M., </w:t>
      </w:r>
      <w:proofErr w:type="spellStart"/>
      <w:r w:rsidRPr="00FA45DB">
        <w:rPr>
          <w:lang w:val="en-US"/>
        </w:rPr>
        <w:t>Daines</w:t>
      </w:r>
      <w:proofErr w:type="spellEnd"/>
      <w:r w:rsidRPr="00FA45DB">
        <w:rPr>
          <w:lang w:val="en-US"/>
        </w:rPr>
        <w:t xml:space="preserve">, L., Pearce, G., </w:t>
      </w:r>
      <w:proofErr w:type="spellStart"/>
      <w:r w:rsidRPr="00FA45DB">
        <w:rPr>
          <w:lang w:val="en-US"/>
        </w:rPr>
        <w:t>Epiphaniou</w:t>
      </w:r>
      <w:proofErr w:type="spellEnd"/>
      <w:r w:rsidRPr="00FA45DB">
        <w:rPr>
          <w:lang w:val="en-US"/>
        </w:rPr>
        <w:t>, E., Bower, P., Sheikh, A., Griffiths, C.J. and Taylor, S.J.</w:t>
      </w:r>
      <w:r>
        <w:rPr>
          <w:lang w:val="en-US"/>
        </w:rPr>
        <w:t>,</w:t>
      </w:r>
      <w:r w:rsidRPr="00FA45DB">
        <w:rPr>
          <w:lang w:val="en-US"/>
        </w:rPr>
        <w:t xml:space="preserve"> </w:t>
      </w:r>
      <w:r w:rsidRPr="001625A3">
        <w:rPr>
          <w:lang w:val="en-US"/>
        </w:rPr>
        <w:t xml:space="preserve">(2017) ‘Systematic meta-review of supported self-management for asthma’, </w:t>
      </w:r>
      <w:r w:rsidRPr="001625A3">
        <w:rPr>
          <w:i/>
          <w:iCs/>
          <w:lang w:val="en-US"/>
        </w:rPr>
        <w:t>BMC Medicine</w:t>
      </w:r>
      <w:r w:rsidRPr="001625A3">
        <w:rPr>
          <w:lang w:val="en-US"/>
        </w:rPr>
        <w:t xml:space="preserve">. Available at: </w:t>
      </w:r>
      <w:hyperlink w:history="1" r:id="rId29">
        <w:r w:rsidRPr="00AE4D15">
          <w:rPr>
            <w:rStyle w:val="Hyperlink"/>
            <w:lang w:val="en-US"/>
          </w:rPr>
          <w:t>https://bmcmedicine.biomedcentral.com/articles/10.1186/s12916-017-0823-7</w:t>
        </w:r>
      </w:hyperlink>
      <w:r w:rsidRPr="001625A3">
        <w:rPr>
          <w:lang w:val="en-US"/>
        </w:rPr>
        <w:t xml:space="preserve"> </w:t>
      </w:r>
    </w:p>
    <w:p w:rsidRPr="001625A3" w:rsidR="00FA45DB" w:rsidP="001625A3" w:rsidRDefault="00FA45DB" w14:paraId="5101FBCD" w14:textId="77777777">
      <w:pPr>
        <w:rPr>
          <w:lang w:val="en-US"/>
        </w:rPr>
      </w:pPr>
      <w:proofErr w:type="spellStart"/>
      <w:r w:rsidRPr="001625A3">
        <w:rPr>
          <w:lang w:val="en-US"/>
        </w:rPr>
        <w:t>Qeios</w:t>
      </w:r>
      <w:proofErr w:type="spellEnd"/>
      <w:r w:rsidRPr="001625A3">
        <w:rPr>
          <w:lang w:val="en-US"/>
        </w:rPr>
        <w:t xml:space="preserve">/UCL (2019) </w:t>
      </w:r>
      <w:r w:rsidRPr="001625A3">
        <w:rPr>
          <w:i/>
          <w:iCs/>
          <w:lang w:val="en-US"/>
        </w:rPr>
        <w:t xml:space="preserve">A brief introduction to the COM-B Model of </w:t>
      </w:r>
      <w:proofErr w:type="spellStart"/>
      <w:r w:rsidRPr="001625A3">
        <w:rPr>
          <w:i/>
          <w:iCs/>
          <w:lang w:val="en-US"/>
        </w:rPr>
        <w:t>behaviour</w:t>
      </w:r>
      <w:proofErr w:type="spellEnd"/>
      <w:r w:rsidRPr="001625A3">
        <w:rPr>
          <w:lang w:val="en-US"/>
        </w:rPr>
        <w:t xml:space="preserve">. Available at: </w:t>
      </w:r>
      <w:hyperlink w:tgtFrame="_new" w:history="1" r:id="rId30">
        <w:r w:rsidRPr="001625A3">
          <w:rPr>
            <w:rStyle w:val="Hyperlink"/>
            <w:lang w:val="en-US"/>
          </w:rPr>
          <w:t>https://discovery.ucl.ac.uk/id/eprint/10095640/</w:t>
        </w:r>
      </w:hyperlink>
      <w:r w:rsidRPr="001625A3">
        <w:rPr>
          <w:lang w:val="en-US"/>
        </w:rPr>
        <w:t xml:space="preserve"> </w:t>
      </w:r>
    </w:p>
    <w:p w:rsidRPr="001625A3" w:rsidR="00FA45DB" w:rsidP="001625A3" w:rsidRDefault="00FA45DB" w14:paraId="5425D7A4" w14:textId="77777777">
      <w:pPr>
        <w:rPr>
          <w:lang w:val="en-US"/>
        </w:rPr>
      </w:pPr>
      <w:r w:rsidRPr="00FA45DB">
        <w:rPr>
          <w:lang w:val="en-US"/>
        </w:rPr>
        <w:t xml:space="preserve">Roche, N., Aggarwal, B., </w:t>
      </w:r>
      <w:proofErr w:type="spellStart"/>
      <w:r w:rsidRPr="00FA45DB">
        <w:rPr>
          <w:lang w:val="en-US"/>
        </w:rPr>
        <w:t>Boucot</w:t>
      </w:r>
      <w:proofErr w:type="spellEnd"/>
      <w:r w:rsidRPr="00FA45DB">
        <w:rPr>
          <w:lang w:val="en-US"/>
        </w:rPr>
        <w:t xml:space="preserve">, I., Mittal, L., Martin, A. and </w:t>
      </w:r>
      <w:proofErr w:type="spellStart"/>
      <w:r w:rsidRPr="00FA45DB">
        <w:rPr>
          <w:lang w:val="en-US"/>
        </w:rPr>
        <w:t>Chrystyn</w:t>
      </w:r>
      <w:proofErr w:type="spellEnd"/>
      <w:r w:rsidRPr="00FA45DB">
        <w:rPr>
          <w:lang w:val="en-US"/>
        </w:rPr>
        <w:t xml:space="preserve">, H., </w:t>
      </w:r>
      <w:r w:rsidRPr="001625A3">
        <w:rPr>
          <w:lang w:val="en-US"/>
        </w:rPr>
        <w:t xml:space="preserve">(2022) ‘Impact of inhaler technique errors on outcomes’, </w:t>
      </w:r>
      <w:r w:rsidRPr="001625A3">
        <w:rPr>
          <w:i/>
          <w:iCs/>
          <w:lang w:val="en-US"/>
        </w:rPr>
        <w:t>Patient Education and Counseling</w:t>
      </w:r>
      <w:r w:rsidRPr="001625A3">
        <w:rPr>
          <w:lang w:val="en-US"/>
        </w:rPr>
        <w:t xml:space="preserve">. Available at: </w:t>
      </w:r>
      <w:hyperlink w:history="1" r:id="rId31">
        <w:r w:rsidRPr="00AE4D15">
          <w:rPr>
            <w:rStyle w:val="Hyperlink"/>
            <w:lang w:val="en-US"/>
          </w:rPr>
          <w:t>https://www.sciencedirect.com/science/article/pii/S0954611122002141</w:t>
        </w:r>
      </w:hyperlink>
      <w:r w:rsidRPr="001625A3">
        <w:rPr>
          <w:lang w:val="en-US"/>
        </w:rPr>
        <w:t xml:space="preserve"> </w:t>
      </w:r>
    </w:p>
    <w:p w:rsidRPr="001625A3" w:rsidR="00FA45DB" w:rsidP="001625A3" w:rsidRDefault="00FA45DB" w14:paraId="4ACE8532" w14:textId="77777777">
      <w:pPr>
        <w:rPr>
          <w:lang w:val="en-US"/>
        </w:rPr>
      </w:pPr>
      <w:r w:rsidRPr="001625A3">
        <w:rPr>
          <w:lang w:val="en-US"/>
        </w:rPr>
        <w:t xml:space="preserve">Thorax (2019) ‘Effectiveness of school-based self-management interventions’. Available at: </w:t>
      </w:r>
      <w:hyperlink w:tgtFrame="_new" w:history="1" r:id="rId32">
        <w:r w:rsidRPr="001625A3">
          <w:rPr>
            <w:rStyle w:val="Hyperlink"/>
            <w:lang w:val="en-US"/>
          </w:rPr>
          <w:t>https://thorax.bmj.com/content/74/5/432</w:t>
        </w:r>
      </w:hyperlink>
    </w:p>
    <w:p w:rsidRPr="001625A3" w:rsidR="00FA45DB" w:rsidP="001625A3" w:rsidRDefault="00FA45DB" w14:paraId="6FD8A81A" w14:textId="77777777">
      <w:pPr>
        <w:rPr>
          <w:lang w:val="en-US"/>
        </w:rPr>
      </w:pPr>
      <w:r w:rsidRPr="001625A3">
        <w:rPr>
          <w:lang w:val="en-US"/>
        </w:rPr>
        <w:t xml:space="preserve">University of Leeds (2018) ‘Alveoli’, </w:t>
      </w:r>
      <w:r w:rsidRPr="001625A3">
        <w:rPr>
          <w:i/>
          <w:iCs/>
          <w:lang w:val="en-US"/>
        </w:rPr>
        <w:t>Histology Guide</w:t>
      </w:r>
      <w:r w:rsidRPr="001625A3">
        <w:rPr>
          <w:lang w:val="en-US"/>
        </w:rPr>
        <w:t xml:space="preserve">. Available at: </w:t>
      </w:r>
      <w:hyperlink w:tgtFrame="_new" w:history="1" r:id="rId33">
        <w:r w:rsidRPr="001625A3">
          <w:rPr>
            <w:rStyle w:val="Hyperlink"/>
            <w:lang w:val="en-US"/>
          </w:rPr>
          <w:t>https://histology.leeds.ac.uk/respiratory/alveoli.php</w:t>
        </w:r>
      </w:hyperlink>
    </w:p>
    <w:p w:rsidRPr="001625A3" w:rsidR="00FA45DB" w:rsidP="001625A3" w:rsidRDefault="00FA45DB" w14:paraId="65B5DE96" w14:textId="77777777">
      <w:pPr>
        <w:rPr>
          <w:lang w:val="en-US"/>
        </w:rPr>
      </w:pPr>
      <w:r w:rsidRPr="001625A3">
        <w:rPr>
          <w:lang w:val="en-US"/>
        </w:rPr>
        <w:t xml:space="preserve">Wang, N. and </w:t>
      </w:r>
      <w:proofErr w:type="spellStart"/>
      <w:r w:rsidRPr="001625A3">
        <w:rPr>
          <w:lang w:val="en-US"/>
        </w:rPr>
        <w:t>Nurmagambetov</w:t>
      </w:r>
      <w:proofErr w:type="spellEnd"/>
      <w:r w:rsidRPr="001625A3">
        <w:rPr>
          <w:lang w:val="en-US"/>
        </w:rPr>
        <w:t>, T. (2024) ‘</w:t>
      </w:r>
      <w:proofErr w:type="spellStart"/>
      <w:r w:rsidRPr="001625A3">
        <w:rPr>
          <w:lang w:val="en-US"/>
        </w:rPr>
        <w:t>Sociodemographic</w:t>
      </w:r>
      <w:proofErr w:type="spellEnd"/>
      <w:r w:rsidRPr="001625A3">
        <w:rPr>
          <w:lang w:val="en-US"/>
        </w:rPr>
        <w:t xml:space="preserve"> factors of asthma prevalence and costs among children and adolescents, 2016–2021’, </w:t>
      </w:r>
      <w:r w:rsidRPr="001625A3">
        <w:rPr>
          <w:i/>
          <w:iCs/>
          <w:lang w:val="en-US"/>
        </w:rPr>
        <w:t>Preventing Chronic Disease</w:t>
      </w:r>
      <w:r w:rsidRPr="001625A3">
        <w:rPr>
          <w:lang w:val="en-US"/>
        </w:rPr>
        <w:t xml:space="preserve">, 21. Available at: </w:t>
      </w:r>
      <w:hyperlink w:tgtFrame="_new" w:history="1" r:id="rId34">
        <w:r w:rsidRPr="001625A3">
          <w:rPr>
            <w:rStyle w:val="Hyperlink"/>
            <w:lang w:val="en-US"/>
          </w:rPr>
          <w:t>https://www.cdc.gov/pcd/issues/2024/23_0449.htm</w:t>
        </w:r>
      </w:hyperlink>
    </w:p>
    <w:p w:rsidRPr="001625A3" w:rsidR="00FA45DB" w:rsidP="001625A3" w:rsidRDefault="00FA45DB" w14:paraId="0D2904F9" w14:textId="77777777">
      <w:pPr>
        <w:rPr>
          <w:lang w:val="en-US"/>
        </w:rPr>
      </w:pPr>
      <w:r w:rsidRPr="001625A3">
        <w:rPr>
          <w:lang w:val="en-US"/>
        </w:rPr>
        <w:t xml:space="preserve">Wills, T.A., Choi, K. and Pagano, I. (2020) ‘E-cigarette use associated with asthma independent of cigarette smoking’, </w:t>
      </w:r>
      <w:r w:rsidRPr="001625A3">
        <w:rPr>
          <w:i/>
          <w:iCs/>
          <w:lang w:val="en-US"/>
        </w:rPr>
        <w:t>Journal of Adolescent Health</w:t>
      </w:r>
      <w:r w:rsidRPr="001625A3">
        <w:rPr>
          <w:lang w:val="en-US"/>
        </w:rPr>
        <w:t xml:space="preserve">, 67(4), pp. 524-530. Available at: </w:t>
      </w:r>
      <w:hyperlink w:tgtFrame="_new" w:history="1" r:id="rId35">
        <w:r w:rsidRPr="001625A3">
          <w:rPr>
            <w:rStyle w:val="Hyperlink"/>
            <w:lang w:val="en-US"/>
          </w:rPr>
          <w:t>https://www.jahonline.org/article/S1054-139X(20)30088-4/fulltext</w:t>
        </w:r>
      </w:hyperlink>
    </w:p>
    <w:p w:rsidRPr="00DD5711" w:rsidR="001625A3" w:rsidP="00DD5711" w:rsidRDefault="001625A3" w14:paraId="79B08E2F" w14:textId="77777777">
      <w:pPr>
        <w:rPr>
          <w:lang w:val="en-US"/>
        </w:rPr>
      </w:pPr>
    </w:p>
    <w:sectPr w:rsidRPr="00DD5711" w:rsidR="001625A3">
      <w:footerReference w:type="default" r:id="rId36"/>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82F45" w:rsidP="00A55108" w:rsidRDefault="00E82F45" w14:paraId="198012ED" w14:textId="77777777">
      <w:pPr>
        <w:spacing w:after="0" w:line="240" w:lineRule="auto"/>
      </w:pPr>
      <w:r>
        <w:separator/>
      </w:r>
    </w:p>
  </w:endnote>
  <w:endnote w:type="continuationSeparator" w:id="0">
    <w:p w:rsidR="00E82F45" w:rsidP="00A55108" w:rsidRDefault="00E82F45" w14:paraId="268BE05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9354618"/>
      <w:docPartObj>
        <w:docPartGallery w:val="Page Numbers (Bottom of Page)"/>
        <w:docPartUnique/>
      </w:docPartObj>
    </w:sdtPr>
    <w:sdtEndPr>
      <w:rPr>
        <w:noProof/>
      </w:rPr>
    </w:sdtEndPr>
    <w:sdtContent>
      <w:p w:rsidR="00DD5711" w:rsidRDefault="00DD5711" w14:paraId="69F65CA8" w14:textId="77777777">
        <w:pPr>
          <w:pStyle w:val="Footer"/>
          <w:jc w:val="center"/>
        </w:pPr>
        <w:r>
          <w:fldChar w:fldCharType="begin"/>
        </w:r>
        <w:r>
          <w:instrText xml:space="preserve"> PAGE   \* MERGEFORMAT </w:instrText>
        </w:r>
        <w:r>
          <w:fldChar w:fldCharType="separate"/>
        </w:r>
        <w:r w:rsidR="00FA45DB">
          <w:rPr>
            <w:noProof/>
          </w:rPr>
          <w:t>12</w:t>
        </w:r>
        <w:r>
          <w:rPr>
            <w:noProof/>
          </w:rPr>
          <w:fldChar w:fldCharType="end"/>
        </w:r>
      </w:p>
    </w:sdtContent>
  </w:sdt>
  <w:p w:rsidR="00DD5711" w:rsidRDefault="00DD5711" w14:paraId="2B4D8A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82F45" w:rsidP="00A55108" w:rsidRDefault="00E82F45" w14:paraId="2D546163" w14:textId="77777777">
      <w:pPr>
        <w:spacing w:after="0" w:line="240" w:lineRule="auto"/>
      </w:pPr>
      <w:r>
        <w:separator/>
      </w:r>
    </w:p>
  </w:footnote>
  <w:footnote w:type="continuationSeparator" w:id="0">
    <w:p w:rsidR="00E82F45" w:rsidP="00A55108" w:rsidRDefault="00E82F45" w14:paraId="5278E7D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QRzTRe2PnPjF0T" int2:id="PXnbri9c">
      <int2:state int2:type="spell" int2:value="Rejected"/>
    </int2:textHash>
    <int2:textHash int2:hashCode="jf+rJqVlrR1FG/" int2:id="DRs8meiS">
      <int2:state int2:type="spell" int2:value="Rejected"/>
    </int2:textHash>
    <int2:textHash int2:hashCode="v3jXqOAVqWKVSe" int2:id="WdxVqqZn">
      <int2:state int2:type="spell" int2:value="Rejected"/>
    </int2:textHash>
    <int2:textHash int2:hashCode="XSUiEPxXFZ9tOg" int2:id="4nvKDvBK">
      <int2:state int2:type="spell" int2:value="Rejected"/>
    </int2:textHash>
    <int2:textHash int2:hashCode="yLGa3PbIwIauAZ" int2:id="8l8EnbCK">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55409c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9d22d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5833F4"/>
    <w:multiLevelType w:val="multilevel"/>
    <w:tmpl w:val="174056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91F251C"/>
    <w:multiLevelType w:val="multilevel"/>
    <w:tmpl w:val="CB7E15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27075D3"/>
    <w:multiLevelType w:val="multilevel"/>
    <w:tmpl w:val="F5D219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27D01E3"/>
    <w:multiLevelType w:val="multilevel"/>
    <w:tmpl w:val="E54890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43D4BF2"/>
    <w:multiLevelType w:val="multilevel"/>
    <w:tmpl w:val="D7DE12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FAB156D"/>
    <w:multiLevelType w:val="multilevel"/>
    <w:tmpl w:val="0B063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57DA7D05"/>
    <w:multiLevelType w:val="multilevel"/>
    <w:tmpl w:val="C16038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3">
    <w:abstractNumId w:val="8"/>
  </w:num>
  <w:num w:numId="12">
    <w:abstractNumId w:val="7"/>
  </w:num>
  <w:num w:numId="1" w16cid:durableId="1399210905">
    <w:abstractNumId w:val="1"/>
  </w:num>
  <w:num w:numId="2" w16cid:durableId="1389498432">
    <w:abstractNumId w:val="1"/>
  </w:num>
  <w:num w:numId="3" w16cid:durableId="1401319965">
    <w:abstractNumId w:val="1"/>
  </w:num>
  <w:num w:numId="4" w16cid:durableId="939869219">
    <w:abstractNumId w:val="0"/>
  </w:num>
  <w:num w:numId="5" w16cid:durableId="244264673">
    <w:abstractNumId w:val="4"/>
  </w:num>
  <w:num w:numId="6" w16cid:durableId="1274165112">
    <w:abstractNumId w:val="4"/>
  </w:num>
  <w:num w:numId="7" w16cid:durableId="2010255274">
    <w:abstractNumId w:val="5"/>
  </w:num>
  <w:num w:numId="8" w16cid:durableId="343868542">
    <w:abstractNumId w:val="2"/>
  </w:num>
  <w:num w:numId="9" w16cid:durableId="901911887">
    <w:abstractNumId w:val="2"/>
  </w:num>
  <w:num w:numId="10" w16cid:durableId="1468861526">
    <w:abstractNumId w:val="3"/>
  </w:num>
  <w:num w:numId="11" w16cid:durableId="14119284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708"/>
    <w:rsid w:val="000B62B4"/>
    <w:rsid w:val="00134F1D"/>
    <w:rsid w:val="001625A3"/>
    <w:rsid w:val="00191C9E"/>
    <w:rsid w:val="002F0B89"/>
    <w:rsid w:val="0036387C"/>
    <w:rsid w:val="0036609E"/>
    <w:rsid w:val="003A1A88"/>
    <w:rsid w:val="003B1FE5"/>
    <w:rsid w:val="00532705"/>
    <w:rsid w:val="00550527"/>
    <w:rsid w:val="00643708"/>
    <w:rsid w:val="006513B2"/>
    <w:rsid w:val="0068053A"/>
    <w:rsid w:val="00705D42"/>
    <w:rsid w:val="0071683B"/>
    <w:rsid w:val="007376DC"/>
    <w:rsid w:val="00824533"/>
    <w:rsid w:val="00827658"/>
    <w:rsid w:val="008C3646"/>
    <w:rsid w:val="0096742F"/>
    <w:rsid w:val="00A55108"/>
    <w:rsid w:val="00B30A85"/>
    <w:rsid w:val="00B733D2"/>
    <w:rsid w:val="00BB16CC"/>
    <w:rsid w:val="00BE6F00"/>
    <w:rsid w:val="00C9089A"/>
    <w:rsid w:val="00D47B11"/>
    <w:rsid w:val="00DA26C6"/>
    <w:rsid w:val="00DD5711"/>
    <w:rsid w:val="00E82CB5"/>
    <w:rsid w:val="00E82F45"/>
    <w:rsid w:val="00FA45DB"/>
    <w:rsid w:val="03F98E32"/>
    <w:rsid w:val="052118AC"/>
    <w:rsid w:val="0534868A"/>
    <w:rsid w:val="06431962"/>
    <w:rsid w:val="0A3D8E7A"/>
    <w:rsid w:val="0C734C71"/>
    <w:rsid w:val="0D683948"/>
    <w:rsid w:val="0E23F0AC"/>
    <w:rsid w:val="0F13AA63"/>
    <w:rsid w:val="118D2849"/>
    <w:rsid w:val="14811FB4"/>
    <w:rsid w:val="179D01B0"/>
    <w:rsid w:val="18874554"/>
    <w:rsid w:val="1B9DBD57"/>
    <w:rsid w:val="1EFB488A"/>
    <w:rsid w:val="1FEBF94F"/>
    <w:rsid w:val="22FA8689"/>
    <w:rsid w:val="28643805"/>
    <w:rsid w:val="29D6ED1D"/>
    <w:rsid w:val="2DB0B534"/>
    <w:rsid w:val="31FD8EBE"/>
    <w:rsid w:val="3211EF75"/>
    <w:rsid w:val="35391189"/>
    <w:rsid w:val="400A08D5"/>
    <w:rsid w:val="4733F86D"/>
    <w:rsid w:val="48DDCD31"/>
    <w:rsid w:val="55407996"/>
    <w:rsid w:val="57921CB3"/>
    <w:rsid w:val="58849E99"/>
    <w:rsid w:val="5A49379C"/>
    <w:rsid w:val="5D86E69F"/>
    <w:rsid w:val="5FB09EAC"/>
    <w:rsid w:val="60830725"/>
    <w:rsid w:val="60D8F05D"/>
    <w:rsid w:val="6415B1E7"/>
    <w:rsid w:val="675B372C"/>
    <w:rsid w:val="68C13958"/>
    <w:rsid w:val="6AB8A6F9"/>
    <w:rsid w:val="6B4D36D0"/>
    <w:rsid w:val="6BA0DB53"/>
    <w:rsid w:val="6D1BB7D8"/>
    <w:rsid w:val="71DB6ADD"/>
    <w:rsid w:val="73B95819"/>
    <w:rsid w:val="7591B667"/>
    <w:rsid w:val="7C682BBB"/>
    <w:rsid w:val="7D387E6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0A0D5"/>
  <w15:chartTrackingRefBased/>
  <w15:docId w15:val="{BFB5A6F0-35B1-4463-8F49-EA775001A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38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0B62B4"/>
    <w:pPr>
      <w:keepNext/>
      <w:keepLines/>
      <w:numPr>
        <w:numId w:val="11"/>
      </w:numPr>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B62B4"/>
    <w:pPr>
      <w:keepNext/>
      <w:keepLines/>
      <w:numPr>
        <w:ilvl w:val="1"/>
        <w:numId w:val="11"/>
      </w:numPr>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96742F"/>
    <w:pPr>
      <w:keepNext/>
      <w:keepLines/>
      <w:numPr>
        <w:ilvl w:val="2"/>
        <w:numId w:val="3"/>
      </w:numPr>
      <w:spacing w:before="160" w:after="80"/>
      <w:jc w:val="left"/>
      <w:outlineLvl w:val="2"/>
    </w:pPr>
    <w:rPr>
      <w:rFonts w:asciiTheme="majorBidi" w:hAnsiTheme="majorBidi" w:eastAsiaTheme="majorEastAsia" w:cstheme="majorBidi"/>
      <w:b/>
      <w:color w:val="2E74B5" w:themeColor="accent1" w:themeShade="BF"/>
      <w:sz w:val="22"/>
      <w:szCs w:val="28"/>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B62B4"/>
    <w:rPr>
      <w:rFonts w:ascii="Times New Roman" w:hAnsi="Times New Roman"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0B62B4"/>
    <w:rPr>
      <w:rFonts w:ascii="Times New Roman" w:hAnsi="Times New Roman" w:eastAsiaTheme="majorEastAsia" w:cstheme="majorBidi"/>
      <w:b/>
      <w:color w:val="000000" w:themeColor="text1"/>
      <w:sz w:val="26"/>
      <w:szCs w:val="26"/>
    </w:rPr>
  </w:style>
  <w:style w:type="character" w:styleId="Heading3Char" w:customStyle="1">
    <w:name w:val="Heading 3 Char"/>
    <w:basedOn w:val="DefaultParagraphFont"/>
    <w:link w:val="Heading3"/>
    <w:uiPriority w:val="9"/>
    <w:rsid w:val="0096742F"/>
    <w:rPr>
      <w:rFonts w:asciiTheme="majorBidi" w:hAnsiTheme="majorBidi" w:eastAsiaTheme="majorEastAsia" w:cstheme="majorBidi"/>
      <w:b/>
      <w:color w:val="2E74B5" w:themeColor="accent1" w:themeShade="BF"/>
      <w:szCs w:val="28"/>
    </w:rPr>
  </w:style>
  <w:style w:type="character" w:styleId="Hyperlink">
    <w:name w:val="Hyperlink"/>
    <w:basedOn w:val="DefaultParagraphFont"/>
    <w:uiPriority w:val="99"/>
    <w:unhideWhenUsed/>
    <w:rsid w:val="00A55108"/>
    <w:rPr>
      <w:color w:val="0563C1" w:themeColor="hyperlink"/>
      <w:u w:val="single"/>
    </w:rPr>
  </w:style>
  <w:style w:type="paragraph" w:styleId="Header">
    <w:name w:val="header"/>
    <w:basedOn w:val="Normal"/>
    <w:link w:val="HeaderChar"/>
    <w:uiPriority w:val="99"/>
    <w:unhideWhenUsed/>
    <w:rsid w:val="00A55108"/>
    <w:pPr>
      <w:tabs>
        <w:tab w:val="center" w:pos="4680"/>
        <w:tab w:val="right" w:pos="9360"/>
      </w:tabs>
      <w:spacing w:after="0" w:line="240" w:lineRule="auto"/>
    </w:pPr>
  </w:style>
  <w:style w:type="character" w:styleId="HeaderChar" w:customStyle="1">
    <w:name w:val="Header Char"/>
    <w:basedOn w:val="DefaultParagraphFont"/>
    <w:link w:val="Header"/>
    <w:uiPriority w:val="99"/>
    <w:rsid w:val="00A55108"/>
    <w:rPr>
      <w:rFonts w:ascii="Times New Roman" w:hAnsi="Times New Roman"/>
      <w:color w:val="000000" w:themeColor="text1"/>
      <w:sz w:val="24"/>
      <w:lang w:val="en-GB"/>
    </w:rPr>
  </w:style>
  <w:style w:type="paragraph" w:styleId="Footer">
    <w:name w:val="footer"/>
    <w:basedOn w:val="Normal"/>
    <w:link w:val="FooterChar"/>
    <w:uiPriority w:val="99"/>
    <w:unhideWhenUsed/>
    <w:rsid w:val="00A55108"/>
    <w:pPr>
      <w:tabs>
        <w:tab w:val="center" w:pos="4680"/>
        <w:tab w:val="right" w:pos="9360"/>
      </w:tabs>
      <w:spacing w:after="0" w:line="240" w:lineRule="auto"/>
    </w:pPr>
  </w:style>
  <w:style w:type="character" w:styleId="FooterChar" w:customStyle="1">
    <w:name w:val="Footer Char"/>
    <w:basedOn w:val="DefaultParagraphFont"/>
    <w:link w:val="Footer"/>
    <w:uiPriority w:val="99"/>
    <w:rsid w:val="00A55108"/>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DD5711"/>
    <w:pPr>
      <w:numPr>
        <w:numId w:val="0"/>
      </w:num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D5711"/>
    <w:pPr>
      <w:spacing w:after="100"/>
    </w:pPr>
  </w:style>
  <w:style w:type="paragraph" w:styleId="TOC2">
    <w:name w:val="toc 2"/>
    <w:basedOn w:val="Normal"/>
    <w:next w:val="Normal"/>
    <w:autoRedefine/>
    <w:uiPriority w:val="39"/>
    <w:unhideWhenUsed/>
    <w:rsid w:val="00DD5711"/>
    <w:pPr>
      <w:spacing w:after="100"/>
      <w:ind w:left="240"/>
    </w:pPr>
  </w:style>
  <w:style w:type="paragraph" w:styleId="ListParagraph">
    <w:uiPriority w:val="34"/>
    <w:name w:val="List Paragraph"/>
    <w:basedOn w:val="Normal"/>
    <w:qFormat/>
    <w:rsid w:val="6D1BB7D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7270">
      <w:bodyDiv w:val="1"/>
      <w:marLeft w:val="0"/>
      <w:marRight w:val="0"/>
      <w:marTop w:val="0"/>
      <w:marBottom w:val="0"/>
      <w:divBdr>
        <w:top w:val="none" w:sz="0" w:space="0" w:color="auto"/>
        <w:left w:val="none" w:sz="0" w:space="0" w:color="auto"/>
        <w:bottom w:val="none" w:sz="0" w:space="0" w:color="auto"/>
        <w:right w:val="none" w:sz="0" w:space="0" w:color="auto"/>
      </w:divBdr>
    </w:div>
    <w:div w:id="153184118">
      <w:bodyDiv w:val="1"/>
      <w:marLeft w:val="0"/>
      <w:marRight w:val="0"/>
      <w:marTop w:val="0"/>
      <w:marBottom w:val="0"/>
      <w:divBdr>
        <w:top w:val="none" w:sz="0" w:space="0" w:color="auto"/>
        <w:left w:val="none" w:sz="0" w:space="0" w:color="auto"/>
        <w:bottom w:val="none" w:sz="0" w:space="0" w:color="auto"/>
        <w:right w:val="none" w:sz="0" w:space="0" w:color="auto"/>
      </w:divBdr>
    </w:div>
    <w:div w:id="347485693">
      <w:bodyDiv w:val="1"/>
      <w:marLeft w:val="0"/>
      <w:marRight w:val="0"/>
      <w:marTop w:val="0"/>
      <w:marBottom w:val="0"/>
      <w:divBdr>
        <w:top w:val="none" w:sz="0" w:space="0" w:color="auto"/>
        <w:left w:val="none" w:sz="0" w:space="0" w:color="auto"/>
        <w:bottom w:val="none" w:sz="0" w:space="0" w:color="auto"/>
        <w:right w:val="none" w:sz="0" w:space="0" w:color="auto"/>
      </w:divBdr>
    </w:div>
    <w:div w:id="575097120">
      <w:bodyDiv w:val="1"/>
      <w:marLeft w:val="0"/>
      <w:marRight w:val="0"/>
      <w:marTop w:val="0"/>
      <w:marBottom w:val="0"/>
      <w:divBdr>
        <w:top w:val="none" w:sz="0" w:space="0" w:color="auto"/>
        <w:left w:val="none" w:sz="0" w:space="0" w:color="auto"/>
        <w:bottom w:val="none" w:sz="0" w:space="0" w:color="auto"/>
        <w:right w:val="none" w:sz="0" w:space="0" w:color="auto"/>
      </w:divBdr>
    </w:div>
    <w:div w:id="771359731">
      <w:bodyDiv w:val="1"/>
      <w:marLeft w:val="0"/>
      <w:marRight w:val="0"/>
      <w:marTop w:val="0"/>
      <w:marBottom w:val="0"/>
      <w:divBdr>
        <w:top w:val="none" w:sz="0" w:space="0" w:color="auto"/>
        <w:left w:val="none" w:sz="0" w:space="0" w:color="auto"/>
        <w:bottom w:val="none" w:sz="0" w:space="0" w:color="auto"/>
        <w:right w:val="none" w:sz="0" w:space="0" w:color="auto"/>
      </w:divBdr>
    </w:div>
    <w:div w:id="1214393538">
      <w:bodyDiv w:val="1"/>
      <w:marLeft w:val="0"/>
      <w:marRight w:val="0"/>
      <w:marTop w:val="0"/>
      <w:marBottom w:val="0"/>
      <w:divBdr>
        <w:top w:val="none" w:sz="0" w:space="0" w:color="auto"/>
        <w:left w:val="none" w:sz="0" w:space="0" w:color="auto"/>
        <w:bottom w:val="none" w:sz="0" w:space="0" w:color="auto"/>
        <w:right w:val="none" w:sz="0" w:space="0" w:color="auto"/>
      </w:divBdr>
    </w:div>
    <w:div w:id="1246957481">
      <w:bodyDiv w:val="1"/>
      <w:marLeft w:val="0"/>
      <w:marRight w:val="0"/>
      <w:marTop w:val="0"/>
      <w:marBottom w:val="0"/>
      <w:divBdr>
        <w:top w:val="none" w:sz="0" w:space="0" w:color="auto"/>
        <w:left w:val="none" w:sz="0" w:space="0" w:color="auto"/>
        <w:bottom w:val="none" w:sz="0" w:space="0" w:color="auto"/>
        <w:right w:val="none" w:sz="0" w:space="0" w:color="auto"/>
      </w:divBdr>
    </w:div>
    <w:div w:id="1692340237">
      <w:bodyDiv w:val="1"/>
      <w:marLeft w:val="0"/>
      <w:marRight w:val="0"/>
      <w:marTop w:val="0"/>
      <w:marBottom w:val="0"/>
      <w:divBdr>
        <w:top w:val="none" w:sz="0" w:space="0" w:color="auto"/>
        <w:left w:val="none" w:sz="0" w:space="0" w:color="auto"/>
        <w:bottom w:val="none" w:sz="0" w:space="0" w:color="auto"/>
        <w:right w:val="none" w:sz="0" w:space="0" w:color="auto"/>
      </w:divBdr>
    </w:div>
    <w:div w:id="1900746190">
      <w:bodyDiv w:val="1"/>
      <w:marLeft w:val="0"/>
      <w:marRight w:val="0"/>
      <w:marTop w:val="0"/>
      <w:marBottom w:val="0"/>
      <w:divBdr>
        <w:top w:val="none" w:sz="0" w:space="0" w:color="auto"/>
        <w:left w:val="none" w:sz="0" w:space="0" w:color="auto"/>
        <w:bottom w:val="none" w:sz="0" w:space="0" w:color="auto"/>
        <w:right w:val="none" w:sz="0" w:space="0" w:color="auto"/>
      </w:divBdr>
    </w:div>
    <w:div w:id="203569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dc.gov/respiratory-viruses/prevention/masks.html?" TargetMode="External" Id="rId13" /><Relationship Type="http://schemas.openxmlformats.org/officeDocument/2006/relationships/hyperlink" Target="https://ginasthma.org/2024-report/?" TargetMode="External" Id="rId18" /><Relationship Type="http://schemas.openxmlformats.org/officeDocument/2006/relationships/hyperlink" Target="https://www.nice.org.uk/guidance/ng209" TargetMode="External" Id="rId26" /><Relationship Type="http://schemas.openxmlformats.org/officeDocument/2006/relationships/hyperlink" Target="https://www.sciencedirect.com/science/article/pii/S2213219820313994?" TargetMode="External" Id="rId21" /><Relationship Type="http://schemas.openxmlformats.org/officeDocument/2006/relationships/hyperlink" Target="https://www.cdc.gov/pcd/issues/2024/23_0449.htm?" TargetMode="External" Id="rId34" /><Relationship Type="http://schemas.openxmlformats.org/officeDocument/2006/relationships/hyperlink" Target="https://respiratory-research.biomedcentral.com/articles/10.1186/s12931-020-01569-9?" TargetMode="External" Id="rId7" /><Relationship Type="http://schemas.openxmlformats.org/officeDocument/2006/relationships/hyperlink" Target="https://www.cdc.gov/respiratory-viruses/prevention/masks.html" TargetMode="External" Id="rId12" /><Relationship Type="http://schemas.openxmlformats.org/officeDocument/2006/relationships/hyperlink" Target="https://ginasthma.org/2024-report/?" TargetMode="External" Id="rId17" /><Relationship Type="http://schemas.openxmlformats.org/officeDocument/2006/relationships/hyperlink" Target="https://www.nhlbi.nih.gov/sites/default/files/publications/monitoring-your-asthma.pdf" TargetMode="External" Id="rId25" /><Relationship Type="http://schemas.openxmlformats.org/officeDocument/2006/relationships/hyperlink" Target="https://histology.leeds.ac.uk/respiratory/alveoli.php?" TargetMode="External" Id="rId33" /><Relationship Type="http://schemas.openxmlformats.org/officeDocument/2006/relationships/theme" Target="theme/theme1.xml" Id="rId38" /><Relationship Type="http://schemas.openxmlformats.org/officeDocument/2006/relationships/styles" Target="styles.xml" Id="rId2" /><Relationship Type="http://schemas.openxmlformats.org/officeDocument/2006/relationships/hyperlink" Target="https://ginasthma.org/wp-content/uploads/2024/12/GINA-Summary-Guide-2024-WEB-WMS.pdf?" TargetMode="External" Id="rId16" /><Relationship Type="http://schemas.openxmlformats.org/officeDocument/2006/relationships/hyperlink" Target="https://www.annallergy.org/article/S1081-1206(19)30464-8/fulltext?" TargetMode="External" Id="rId20" /><Relationship Type="http://schemas.openxmlformats.org/officeDocument/2006/relationships/hyperlink" Target="https://bmcmedicine.biomedcentral.com/articles/10.1186/s12916-017-0823-7"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cdc.gov/asthma/action-plan/documents/asthma-action-plan-508.pdf?" TargetMode="External" Id="rId11" /><Relationship Type="http://schemas.openxmlformats.org/officeDocument/2006/relationships/hyperlink" Target="https://pediatrics.jmir.org/2021/3/e27999?" TargetMode="External" Id="rId24" /><Relationship Type="http://schemas.openxmlformats.org/officeDocument/2006/relationships/hyperlink" Target="https://thorax.bmj.com/content/74/5/432?" TargetMode="External" Id="rId32" /><Relationship Type="http://schemas.openxmlformats.org/officeDocument/2006/relationships/fontTable" Target="fontTable.xml" Id="rId37" /><Relationship Type="http://schemas.openxmlformats.org/officeDocument/2006/relationships/footnotes" Target="footnotes.xml" Id="rId5" /><Relationship Type="http://schemas.openxmlformats.org/officeDocument/2006/relationships/hyperlink" Target="https://publications.ersnet.org/binary/ersworks/.../9781849841887_chapter_2.pdf" TargetMode="External" Id="rId15" /><Relationship Type="http://schemas.openxmlformats.org/officeDocument/2006/relationships/hyperlink" Target="https://www.jaci-inpractice.org/article/S2213-2198(21)00233-6/fulltext?" TargetMode="External" Id="rId23" /><Relationship Type="http://schemas.openxmlformats.org/officeDocument/2006/relationships/hyperlink" Target="https://www.nice.org.uk/guidance/ng245/evidence/evidence-review-m-pulmonary-function-spirometry-or-peak-expiratory-flow-to-monitor-asthma-pdf-488093282392?" TargetMode="External" Id="rId28" /><Relationship Type="http://schemas.openxmlformats.org/officeDocument/2006/relationships/footer" Target="footer1.xml" Id="rId36" /><Relationship Type="http://schemas.openxmlformats.org/officeDocument/2006/relationships/hyperlink" Target="https://europepmc.org/books/n/statpearls/article-17307/?" TargetMode="External" Id="rId10" /><Relationship Type="http://schemas.openxmlformats.org/officeDocument/2006/relationships/hyperlink" Target="https://ginasthma.org/2024-report/?" TargetMode="External" Id="rId19" /><Relationship Type="http://schemas.openxmlformats.org/officeDocument/2006/relationships/hyperlink" Target="https://www.sciencedirect.com/science/article/pii/S0954611122002141" TargetMode="External" Id="rId31" /><Relationship Type="http://schemas.openxmlformats.org/officeDocument/2006/relationships/webSettings" Target="webSettings.xml" Id="rId4" /><Relationship Type="http://schemas.openxmlformats.org/officeDocument/2006/relationships/hyperlink" Target="https://www.cell.com/biophysj/fulltext/S0006-3495(24)00283-2?" TargetMode="External" Id="rId9" /><Relationship Type="http://schemas.openxmlformats.org/officeDocument/2006/relationships/hyperlink" Target="https://journal.chestnet.org/article/S0012-3692(24)02942-8/fulltext?" TargetMode="External" Id="rId14" /><Relationship Type="http://schemas.openxmlformats.org/officeDocument/2006/relationships/hyperlink" Target="https://www.ihi.org/library/model-for-improvement?" TargetMode="External" Id="rId22" /><Relationship Type="http://schemas.openxmlformats.org/officeDocument/2006/relationships/hyperlink" Target="https://www.nhlbi.nih.gov/sites/default/files/publications/monitoring-your-asthma.pdf" TargetMode="External" Id="rId27" /><Relationship Type="http://schemas.openxmlformats.org/officeDocument/2006/relationships/hyperlink" Target="https://discovery.ucl.ac.uk/id/eprint/10095640/?" TargetMode="External" Id="rId30" /><Relationship Type="http://schemas.openxmlformats.org/officeDocument/2006/relationships/hyperlink" Target="https://www.jahonline.org/article/S1054-139X(20)30088-4/fulltext?" TargetMode="External" Id="rId35" /><Relationship Type="http://schemas.openxmlformats.org/officeDocument/2006/relationships/hyperlink" Target="https://www.annallergy.org/article/S1081-1206(25)00236-4/fulltext?" TargetMode="External" Id="rId8" /><Relationship Type="http://schemas.openxmlformats.org/officeDocument/2006/relationships/settings" Target="settings.xml" Id="rId3" /><Relationship Type="http://schemas.microsoft.com/office/2020/10/relationships/intelligence" Target="intelligence2.xml" Id="R598f26b853644c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MRInnovations</dc:creator>
  <keywords/>
  <dc:description/>
  <lastModifiedBy>Uzma Muhammad (2406912)</lastModifiedBy>
  <revision>6</revision>
  <dcterms:created xsi:type="dcterms:W3CDTF">2025-11-03T19:00:00.0000000Z</dcterms:created>
  <dcterms:modified xsi:type="dcterms:W3CDTF">2025-11-03T20:20:59.2318903Z</dcterms:modified>
</coreProperties>
</file>