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FA6E7" w14:textId="77777777" w:rsidR="00266AE2" w:rsidRPr="00C22AB6" w:rsidRDefault="00266AE2" w:rsidP="00266AE2">
      <w:pPr>
        <w:pStyle w:val="Heading3"/>
        <w:shd w:val="clear" w:color="auto" w:fill="FFFFFF"/>
        <w:spacing w:before="480" w:beforeAutospacing="0" w:after="240" w:afterAutospacing="0" w:line="360" w:lineRule="auto"/>
        <w:jc w:val="center"/>
        <w:rPr>
          <w:rFonts w:asciiTheme="minorBidi" w:hAnsiTheme="minorBidi" w:cstheme="minorBidi"/>
          <w:sz w:val="32"/>
          <w:szCs w:val="32"/>
        </w:rPr>
      </w:pPr>
      <w:bookmarkStart w:id="0" w:name="_Toc225514226"/>
      <w:bookmarkStart w:id="1" w:name="_Toc225514419"/>
      <w:r w:rsidRPr="00C22AB6">
        <w:rPr>
          <w:rFonts w:asciiTheme="minorBidi" w:hAnsiTheme="minorBidi" w:cstheme="minorBidi"/>
          <w:sz w:val="32"/>
          <w:szCs w:val="32"/>
        </w:rPr>
        <w:t>Component 2: Written Assignment (Report)</w:t>
      </w:r>
      <w:bookmarkEnd w:id="0"/>
      <w:bookmarkEnd w:id="1"/>
    </w:p>
    <w:p w14:paraId="7C32C71A" w14:textId="77777777" w:rsidR="00266AE2" w:rsidRPr="00C22AB6" w:rsidRDefault="00266AE2" w:rsidP="00266AE2">
      <w:pPr>
        <w:pStyle w:val="Heading3"/>
        <w:shd w:val="clear" w:color="auto" w:fill="FFFFFF"/>
        <w:spacing w:before="480" w:beforeAutospacing="0" w:after="240" w:afterAutospacing="0" w:line="360" w:lineRule="auto"/>
        <w:jc w:val="center"/>
        <w:rPr>
          <w:rFonts w:asciiTheme="minorBidi" w:hAnsiTheme="minorBidi" w:cstheme="minorBidi"/>
          <w:sz w:val="32"/>
          <w:szCs w:val="32"/>
        </w:rPr>
      </w:pPr>
      <w:bookmarkStart w:id="2" w:name="_Toc225514227"/>
      <w:bookmarkStart w:id="3" w:name="_Toc225514420"/>
      <w:r w:rsidRPr="00C22AB6">
        <w:rPr>
          <w:rFonts w:asciiTheme="minorBidi" w:hAnsiTheme="minorBidi" w:cstheme="minorBidi"/>
          <w:sz w:val="32"/>
          <w:szCs w:val="32"/>
        </w:rPr>
        <w:t>Case Study Report</w:t>
      </w:r>
      <w:bookmarkEnd w:id="2"/>
      <w:bookmarkEnd w:id="3"/>
    </w:p>
    <w:p w14:paraId="430D32D2" w14:textId="77777777" w:rsidR="00266AE2" w:rsidRDefault="00266AE2" w:rsidP="00266AE2">
      <w:pPr>
        <w:pStyle w:val="Heading3"/>
        <w:shd w:val="clear" w:color="auto" w:fill="FFFFFF"/>
        <w:spacing w:before="480" w:beforeAutospacing="0" w:after="240" w:afterAutospacing="0" w:line="360" w:lineRule="auto"/>
        <w:jc w:val="center"/>
        <w:rPr>
          <w:rFonts w:asciiTheme="minorBidi" w:hAnsiTheme="minorBidi" w:cstheme="minorBidi"/>
          <w:color w:val="0F1115"/>
          <w:sz w:val="28"/>
          <w:szCs w:val="28"/>
          <w:shd w:val="clear" w:color="auto" w:fill="FFFFFF"/>
        </w:rPr>
      </w:pPr>
      <w:bookmarkStart w:id="4" w:name="_Toc225514228"/>
      <w:bookmarkStart w:id="5" w:name="_Toc225514421"/>
      <w:r w:rsidRPr="00C22AB6">
        <w:rPr>
          <w:rFonts w:asciiTheme="minorBidi" w:hAnsiTheme="minorBidi" w:cstheme="minorBidi"/>
          <w:color w:val="0F1115"/>
          <w:sz w:val="28"/>
          <w:szCs w:val="28"/>
          <w:shd w:val="clear" w:color="auto" w:fill="FFFFFF"/>
        </w:rPr>
        <w:t>Evaluation of Person-Centered Care and Partnership Working</w:t>
      </w:r>
      <w:bookmarkEnd w:id="4"/>
      <w:bookmarkEnd w:id="5"/>
    </w:p>
    <w:p w14:paraId="1E23FBEC" w14:textId="77777777" w:rsidR="00AD1657" w:rsidRPr="00C22AB6" w:rsidRDefault="00AD1657" w:rsidP="00D8193A">
      <w:pPr>
        <w:pStyle w:val="Heading3"/>
        <w:shd w:val="clear" w:color="auto" w:fill="FFFFFF"/>
        <w:spacing w:before="480" w:beforeAutospacing="0" w:after="240" w:afterAutospacing="0" w:line="360" w:lineRule="auto"/>
        <w:jc w:val="center"/>
        <w:rPr>
          <w:rFonts w:asciiTheme="minorBidi" w:hAnsiTheme="minorBidi" w:cstheme="minorBidi"/>
          <w:color w:val="0F1115"/>
          <w:sz w:val="28"/>
          <w:szCs w:val="28"/>
          <w:shd w:val="clear" w:color="auto" w:fill="FFFFFF"/>
        </w:rPr>
      </w:pPr>
      <w:bookmarkStart w:id="6" w:name="_Toc225514231"/>
      <w:bookmarkStart w:id="7" w:name="_Toc225514424"/>
      <w:r w:rsidRPr="00C22AB6">
        <w:rPr>
          <w:rStyle w:val="Strong"/>
          <w:rFonts w:asciiTheme="minorBidi" w:hAnsiTheme="minorBidi" w:cstheme="minorBidi"/>
          <w:b/>
          <w:bCs/>
          <w:color w:val="0F1115"/>
          <w:sz w:val="28"/>
          <w:szCs w:val="28"/>
          <w:shd w:val="clear" w:color="auto" w:fill="FFFFFF"/>
        </w:rPr>
        <w:t>Module Title:</w:t>
      </w:r>
      <w:r w:rsidRPr="00C22AB6">
        <w:rPr>
          <w:rFonts w:asciiTheme="minorBidi" w:hAnsiTheme="minorBidi" w:cstheme="minorBidi"/>
          <w:color w:val="0F1115"/>
          <w:sz w:val="28"/>
          <w:szCs w:val="28"/>
          <w:shd w:val="clear" w:color="auto" w:fill="FFFFFF"/>
        </w:rPr>
        <w:t> Principles of Health and Social Care Practice (</w:t>
      </w:r>
      <w:r w:rsidRPr="00C22AB6">
        <w:rPr>
          <w:rFonts w:asciiTheme="minorBidi" w:hAnsiTheme="minorBidi" w:cstheme="minorBidi"/>
          <w:sz w:val="24"/>
          <w:szCs w:val="24"/>
        </w:rPr>
        <w:t>BMHP5016)</w:t>
      </w:r>
      <w:bookmarkEnd w:id="6"/>
      <w:bookmarkEnd w:id="7"/>
    </w:p>
    <w:p w14:paraId="013A8204" w14:textId="69864526" w:rsidR="00AD1657" w:rsidRPr="00AD1657" w:rsidRDefault="00AD1657" w:rsidP="00AD1657">
      <w:pPr>
        <w:pStyle w:val="Heading3"/>
        <w:shd w:val="clear" w:color="auto" w:fill="FFFFFF"/>
        <w:spacing w:before="480" w:beforeAutospacing="0" w:after="240" w:afterAutospacing="0" w:line="360" w:lineRule="auto"/>
        <w:jc w:val="center"/>
        <w:rPr>
          <w:rFonts w:asciiTheme="minorBidi" w:hAnsiTheme="minorBidi" w:cstheme="minorBidi"/>
          <w:sz w:val="32"/>
          <w:szCs w:val="32"/>
        </w:rPr>
      </w:pPr>
      <w:bookmarkStart w:id="8" w:name="_Toc225514232"/>
      <w:bookmarkStart w:id="9" w:name="_Toc225514425"/>
      <w:r w:rsidRPr="00C22AB6">
        <w:rPr>
          <w:rFonts w:asciiTheme="minorBidi" w:hAnsiTheme="minorBidi" w:cstheme="minorBidi"/>
          <w:sz w:val="32"/>
          <w:szCs w:val="32"/>
        </w:rPr>
        <w:t>BS</w:t>
      </w:r>
      <w:r w:rsidRPr="00C22AB6">
        <w:rPr>
          <w:rFonts w:asciiTheme="minorBidi" w:hAnsiTheme="minorBidi" w:cstheme="minorBidi"/>
          <w:sz w:val="32"/>
          <w:szCs w:val="32"/>
        </w:rPr>
        <w:t xml:space="preserve"> Health and Social Care</w:t>
      </w:r>
      <w:bookmarkEnd w:id="8"/>
      <w:bookmarkEnd w:id="9"/>
    </w:p>
    <w:p w14:paraId="6C637E39" w14:textId="6EBCFAFD" w:rsidR="00266AE2" w:rsidRPr="00C22AB6" w:rsidRDefault="007E56C5" w:rsidP="00266AE2">
      <w:pPr>
        <w:pStyle w:val="Heading3"/>
        <w:shd w:val="clear" w:color="auto" w:fill="FFFFFF"/>
        <w:spacing w:before="480" w:beforeAutospacing="0" w:after="240" w:afterAutospacing="0" w:line="360" w:lineRule="auto"/>
        <w:jc w:val="center"/>
        <w:rPr>
          <w:rFonts w:asciiTheme="minorBidi" w:hAnsiTheme="minorBidi" w:cstheme="minorBidi"/>
          <w:color w:val="0F1115"/>
          <w:sz w:val="28"/>
          <w:szCs w:val="28"/>
          <w:shd w:val="clear" w:color="auto" w:fill="FFFFFF"/>
        </w:rPr>
      </w:pPr>
      <w:bookmarkStart w:id="10" w:name="_Toc225514229"/>
      <w:bookmarkStart w:id="11" w:name="_Toc225514422"/>
      <w:r>
        <w:rPr>
          <w:rFonts w:asciiTheme="minorBidi" w:hAnsiTheme="minorBidi" w:cstheme="minorBidi"/>
          <w:color w:val="0F1115"/>
          <w:sz w:val="28"/>
          <w:szCs w:val="28"/>
          <w:shd w:val="clear" w:color="auto" w:fill="FFFFFF"/>
        </w:rPr>
        <w:t xml:space="preserve">Student </w:t>
      </w:r>
      <w:r w:rsidR="00266AE2" w:rsidRPr="00C22AB6">
        <w:rPr>
          <w:rFonts w:asciiTheme="minorBidi" w:hAnsiTheme="minorBidi" w:cstheme="minorBidi"/>
          <w:color w:val="0F1115"/>
          <w:sz w:val="28"/>
          <w:szCs w:val="28"/>
          <w:shd w:val="clear" w:color="auto" w:fill="FFFFFF"/>
        </w:rPr>
        <w:t>N</w:t>
      </w:r>
      <w:bookmarkEnd w:id="10"/>
      <w:bookmarkEnd w:id="11"/>
      <w:r>
        <w:rPr>
          <w:rFonts w:asciiTheme="minorBidi" w:hAnsiTheme="minorBidi" w:cstheme="minorBidi"/>
          <w:color w:val="0F1115"/>
          <w:sz w:val="28"/>
          <w:szCs w:val="28"/>
          <w:shd w:val="clear" w:color="auto" w:fill="FFFFFF"/>
        </w:rPr>
        <w:t>ame: Farah Deeba</w:t>
      </w:r>
    </w:p>
    <w:p w14:paraId="711084A5" w14:textId="0A141004" w:rsidR="00925254" w:rsidRDefault="007E56C5" w:rsidP="00925254">
      <w:pPr>
        <w:pStyle w:val="Heading3"/>
        <w:shd w:val="clear" w:color="auto" w:fill="FFFFFF"/>
        <w:spacing w:before="480" w:beforeAutospacing="0" w:after="240" w:afterAutospacing="0" w:line="360" w:lineRule="auto"/>
        <w:jc w:val="center"/>
        <w:rPr>
          <w:rFonts w:asciiTheme="minorBidi" w:hAnsiTheme="minorBidi" w:cstheme="minorBidi"/>
          <w:color w:val="0F1115"/>
          <w:sz w:val="28"/>
          <w:szCs w:val="28"/>
          <w:shd w:val="clear" w:color="auto" w:fill="FFFFFF"/>
        </w:rPr>
      </w:pPr>
      <w:r>
        <w:rPr>
          <w:rFonts w:asciiTheme="minorBidi" w:hAnsiTheme="minorBidi" w:cstheme="minorBidi"/>
          <w:color w:val="0F1115"/>
          <w:sz w:val="28"/>
          <w:szCs w:val="28"/>
          <w:shd w:val="clear" w:color="auto" w:fill="FFFFFF"/>
        </w:rPr>
        <w:t>Student Id</w:t>
      </w:r>
      <w:r w:rsidR="00925254">
        <w:rPr>
          <w:rFonts w:asciiTheme="minorBidi" w:hAnsiTheme="minorBidi" w:cstheme="minorBidi"/>
          <w:color w:val="0F1115"/>
          <w:sz w:val="28"/>
          <w:szCs w:val="28"/>
          <w:shd w:val="clear" w:color="auto" w:fill="FFFFFF"/>
        </w:rPr>
        <w:t>D: 2325143</w:t>
      </w:r>
    </w:p>
    <w:p w14:paraId="11848C25" w14:textId="55C90B7F" w:rsidR="00925254" w:rsidRPr="00C22AB6" w:rsidRDefault="00925254" w:rsidP="00925254">
      <w:pPr>
        <w:pStyle w:val="Heading3"/>
        <w:shd w:val="clear" w:color="auto" w:fill="FFFFFF"/>
        <w:spacing w:before="480" w:beforeAutospacing="0" w:after="240" w:afterAutospacing="0" w:line="360" w:lineRule="auto"/>
        <w:jc w:val="center"/>
        <w:rPr>
          <w:rFonts w:asciiTheme="minorBidi" w:hAnsiTheme="minorBidi" w:cstheme="minorBidi"/>
          <w:color w:val="0F1115"/>
          <w:sz w:val="28"/>
          <w:szCs w:val="28"/>
          <w:shd w:val="clear" w:color="auto" w:fill="FFFFFF"/>
        </w:rPr>
      </w:pPr>
      <w:r>
        <w:rPr>
          <w:rFonts w:asciiTheme="minorBidi" w:hAnsiTheme="minorBidi" w:cstheme="minorBidi"/>
          <w:color w:val="0F1115"/>
          <w:sz w:val="28"/>
          <w:szCs w:val="28"/>
          <w:shd w:val="clear" w:color="auto" w:fill="FFFFFF"/>
        </w:rPr>
        <w:t xml:space="preserve">Teacher’s name: Precious </w:t>
      </w:r>
      <w:proofErr w:type="spellStart"/>
      <w:r>
        <w:rPr>
          <w:rFonts w:asciiTheme="minorBidi" w:hAnsiTheme="minorBidi" w:cstheme="minorBidi"/>
          <w:color w:val="0F1115"/>
          <w:sz w:val="28"/>
          <w:szCs w:val="28"/>
          <w:shd w:val="clear" w:color="auto" w:fill="FFFFFF"/>
        </w:rPr>
        <w:t>I</w:t>
      </w:r>
      <w:r w:rsidR="00FD6F87">
        <w:rPr>
          <w:rFonts w:asciiTheme="minorBidi" w:hAnsiTheme="minorBidi" w:cstheme="minorBidi"/>
          <w:color w:val="0F1115"/>
          <w:sz w:val="28"/>
          <w:szCs w:val="28"/>
          <w:shd w:val="clear" w:color="auto" w:fill="FFFFFF"/>
        </w:rPr>
        <w:t>gbinigie</w:t>
      </w:r>
      <w:proofErr w:type="spellEnd"/>
    </w:p>
    <w:p w14:paraId="0AB57AFA" w14:textId="28D86D37" w:rsidR="00266AE2" w:rsidRDefault="00266AE2" w:rsidP="00266AE2">
      <w:pPr>
        <w:pStyle w:val="Heading3"/>
        <w:shd w:val="clear" w:color="auto" w:fill="FFFFFF"/>
        <w:spacing w:before="480" w:beforeAutospacing="0" w:after="240" w:afterAutospacing="0" w:line="360" w:lineRule="auto"/>
        <w:jc w:val="center"/>
        <w:rPr>
          <w:rFonts w:asciiTheme="minorBidi" w:hAnsiTheme="minorBidi" w:cstheme="minorBidi"/>
          <w:sz w:val="32"/>
          <w:szCs w:val="32"/>
        </w:rPr>
      </w:pPr>
      <w:bookmarkStart w:id="12" w:name="_Toc225514233"/>
      <w:bookmarkStart w:id="13" w:name="_Toc225514426"/>
      <w:r w:rsidRPr="00C22AB6">
        <w:rPr>
          <w:rFonts w:asciiTheme="minorBidi" w:hAnsiTheme="minorBidi" w:cstheme="minorBidi"/>
          <w:sz w:val="32"/>
          <w:szCs w:val="32"/>
        </w:rPr>
        <w:t>SUBMISSION DATE:</w:t>
      </w:r>
      <w:bookmarkEnd w:id="12"/>
      <w:bookmarkEnd w:id="13"/>
      <w:r w:rsidR="00AD1657">
        <w:rPr>
          <w:rFonts w:asciiTheme="minorBidi" w:hAnsiTheme="minorBidi" w:cstheme="minorBidi"/>
          <w:sz w:val="32"/>
          <w:szCs w:val="32"/>
        </w:rPr>
        <w:t xml:space="preserve"> 29</w:t>
      </w:r>
      <w:r w:rsidR="00AD1657" w:rsidRPr="00AD1657">
        <w:rPr>
          <w:rFonts w:asciiTheme="minorBidi" w:hAnsiTheme="minorBidi" w:cstheme="minorBidi"/>
          <w:sz w:val="32"/>
          <w:szCs w:val="32"/>
          <w:vertAlign w:val="superscript"/>
        </w:rPr>
        <w:t>th</w:t>
      </w:r>
      <w:r w:rsidR="00AD1657">
        <w:rPr>
          <w:rFonts w:asciiTheme="minorBidi" w:hAnsiTheme="minorBidi" w:cstheme="minorBidi"/>
          <w:sz w:val="32"/>
          <w:szCs w:val="32"/>
        </w:rPr>
        <w:t xml:space="preserve"> March 2026</w:t>
      </w:r>
    </w:p>
    <w:p w14:paraId="4013A08F" w14:textId="77777777" w:rsidR="00AD1657" w:rsidRPr="00C22AB6" w:rsidRDefault="00AD1657" w:rsidP="00266AE2">
      <w:pPr>
        <w:pStyle w:val="Heading3"/>
        <w:shd w:val="clear" w:color="auto" w:fill="FFFFFF"/>
        <w:spacing w:before="480" w:beforeAutospacing="0" w:after="240" w:afterAutospacing="0" w:line="360" w:lineRule="auto"/>
        <w:jc w:val="center"/>
        <w:rPr>
          <w:rFonts w:asciiTheme="minorBidi" w:hAnsiTheme="minorBidi" w:cstheme="minorBidi"/>
          <w:color w:val="0F1115"/>
          <w:sz w:val="44"/>
          <w:szCs w:val="44"/>
        </w:rPr>
      </w:pPr>
    </w:p>
    <w:p w14:paraId="6F3B6CEF" w14:textId="77777777" w:rsidR="005E467B" w:rsidRDefault="005E467B" w:rsidP="007211BB">
      <w:pPr>
        <w:spacing w:before="480" w:after="240" w:line="450" w:lineRule="atLeast"/>
        <w:outlineLvl w:val="2"/>
        <w:rPr>
          <w:rFonts w:asciiTheme="minorBidi" w:eastAsia="Times New Roman" w:hAnsiTheme="minorBidi"/>
          <w:b/>
          <w:bCs/>
          <w:color w:val="0F1115"/>
          <w:sz w:val="28"/>
          <w:szCs w:val="28"/>
        </w:rPr>
      </w:pPr>
    </w:p>
    <w:p w14:paraId="55CEFBCB" w14:textId="77777777" w:rsidR="00266AE2" w:rsidRDefault="00266AE2" w:rsidP="007211BB">
      <w:pPr>
        <w:spacing w:before="480" w:after="240" w:line="450" w:lineRule="atLeast"/>
        <w:outlineLvl w:val="2"/>
        <w:rPr>
          <w:rFonts w:asciiTheme="minorBidi" w:eastAsia="Times New Roman" w:hAnsiTheme="minorBidi"/>
          <w:b/>
          <w:bCs/>
          <w:color w:val="0F1115"/>
          <w:sz w:val="28"/>
          <w:szCs w:val="28"/>
        </w:rPr>
      </w:pPr>
    </w:p>
    <w:p w14:paraId="009E750A" w14:textId="77777777" w:rsidR="00266AE2" w:rsidRDefault="00266AE2" w:rsidP="007211BB">
      <w:pPr>
        <w:spacing w:before="480" w:after="240" w:line="450" w:lineRule="atLeast"/>
        <w:outlineLvl w:val="2"/>
        <w:rPr>
          <w:rFonts w:asciiTheme="minorBidi" w:eastAsia="Times New Roman" w:hAnsiTheme="minorBidi"/>
          <w:b/>
          <w:bCs/>
          <w:color w:val="0F1115"/>
          <w:sz w:val="28"/>
          <w:szCs w:val="28"/>
        </w:rPr>
      </w:pPr>
    </w:p>
    <w:p w14:paraId="59FCAF63" w14:textId="77777777" w:rsidR="00266AE2" w:rsidRDefault="00266AE2" w:rsidP="007211BB">
      <w:pPr>
        <w:spacing w:before="480" w:after="240" w:line="450" w:lineRule="atLeast"/>
        <w:outlineLvl w:val="2"/>
        <w:rPr>
          <w:rFonts w:asciiTheme="minorBidi" w:eastAsia="Times New Roman" w:hAnsiTheme="minorBidi"/>
          <w:b/>
          <w:bCs/>
          <w:color w:val="0F1115"/>
          <w:sz w:val="28"/>
          <w:szCs w:val="28"/>
        </w:rPr>
      </w:pPr>
    </w:p>
    <w:p w14:paraId="4DE14FFE" w14:textId="77777777" w:rsidR="00266AE2" w:rsidRDefault="00266AE2" w:rsidP="007211BB">
      <w:pPr>
        <w:spacing w:before="480" w:after="240" w:line="450" w:lineRule="atLeast"/>
        <w:outlineLvl w:val="2"/>
        <w:rPr>
          <w:rFonts w:asciiTheme="minorBidi" w:eastAsia="Times New Roman" w:hAnsiTheme="minorBidi"/>
          <w:b/>
          <w:bCs/>
          <w:color w:val="0F1115"/>
          <w:sz w:val="28"/>
          <w:szCs w:val="28"/>
        </w:rPr>
      </w:pPr>
    </w:p>
    <w:sdt>
      <w:sdtPr>
        <w:rPr>
          <w:rFonts w:asciiTheme="minorHAnsi" w:eastAsiaTheme="minorHAnsi" w:hAnsiTheme="minorHAnsi" w:cstheme="minorBidi"/>
          <w:color w:val="auto"/>
          <w:sz w:val="22"/>
          <w:szCs w:val="22"/>
        </w:rPr>
        <w:id w:val="-818035354"/>
        <w:docPartObj>
          <w:docPartGallery w:val="Table of Contents"/>
          <w:docPartUnique/>
        </w:docPartObj>
      </w:sdtPr>
      <w:sdtEndPr>
        <w:rPr>
          <w:b/>
          <w:bCs/>
          <w:noProof/>
        </w:rPr>
      </w:sdtEndPr>
      <w:sdtContent>
        <w:p w14:paraId="57C69F36" w14:textId="77777777" w:rsidR="00266AE2" w:rsidRDefault="00266AE2">
          <w:pPr>
            <w:pStyle w:val="TOCHeading"/>
          </w:pPr>
          <w:r>
            <w:t>Contents</w:t>
          </w:r>
        </w:p>
        <w:p w14:paraId="79D6AF95" w14:textId="77777777" w:rsidR="00266AE2" w:rsidRDefault="00266AE2" w:rsidP="00266AE2">
          <w:pPr>
            <w:pStyle w:val="TOC3"/>
            <w:tabs>
              <w:tab w:val="right" w:leader="dot" w:pos="9350"/>
            </w:tabs>
            <w:rPr>
              <w:rFonts w:eastAsiaTheme="minorEastAsia"/>
              <w:noProof/>
            </w:rPr>
          </w:pPr>
          <w:r>
            <w:fldChar w:fldCharType="begin"/>
          </w:r>
          <w:r>
            <w:instrText xml:space="preserve"> TOC \o "1-3" \h \z \u </w:instrText>
          </w:r>
          <w:r>
            <w:fldChar w:fldCharType="separate"/>
          </w:r>
        </w:p>
        <w:p w14:paraId="3C1AE695" w14:textId="77777777" w:rsidR="00266AE2" w:rsidRDefault="00266AE2">
          <w:pPr>
            <w:pStyle w:val="TOC3"/>
            <w:tabs>
              <w:tab w:val="right" w:leader="dot" w:pos="9350"/>
            </w:tabs>
            <w:rPr>
              <w:rFonts w:eastAsiaTheme="minorEastAsia"/>
              <w:noProof/>
            </w:rPr>
          </w:pPr>
          <w:hyperlink w:anchor="_Toc225514427" w:history="1">
            <w:r w:rsidRPr="00986552">
              <w:rPr>
                <w:rStyle w:val="Hyperlink"/>
                <w:rFonts w:asciiTheme="minorBidi" w:eastAsia="Times New Roman" w:hAnsiTheme="minorBidi"/>
                <w:b/>
                <w:bCs/>
                <w:noProof/>
              </w:rPr>
              <w:t>1. Introduction</w:t>
            </w:r>
            <w:r>
              <w:rPr>
                <w:noProof/>
                <w:webHidden/>
              </w:rPr>
              <w:tab/>
            </w:r>
            <w:r>
              <w:rPr>
                <w:noProof/>
                <w:webHidden/>
              </w:rPr>
              <w:fldChar w:fldCharType="begin"/>
            </w:r>
            <w:r>
              <w:rPr>
                <w:noProof/>
                <w:webHidden/>
              </w:rPr>
              <w:instrText xml:space="preserve"> PAGEREF _Toc225514427 \h </w:instrText>
            </w:r>
            <w:r>
              <w:rPr>
                <w:noProof/>
                <w:webHidden/>
              </w:rPr>
            </w:r>
            <w:r>
              <w:rPr>
                <w:noProof/>
                <w:webHidden/>
              </w:rPr>
              <w:fldChar w:fldCharType="separate"/>
            </w:r>
            <w:r>
              <w:rPr>
                <w:noProof/>
                <w:webHidden/>
              </w:rPr>
              <w:t>3</w:t>
            </w:r>
            <w:r>
              <w:rPr>
                <w:noProof/>
                <w:webHidden/>
              </w:rPr>
              <w:fldChar w:fldCharType="end"/>
            </w:r>
          </w:hyperlink>
        </w:p>
        <w:p w14:paraId="6F0CBAEB" w14:textId="77777777" w:rsidR="00266AE2" w:rsidRDefault="00266AE2">
          <w:pPr>
            <w:pStyle w:val="TOC3"/>
            <w:tabs>
              <w:tab w:val="right" w:leader="dot" w:pos="9350"/>
            </w:tabs>
            <w:rPr>
              <w:rFonts w:eastAsiaTheme="minorEastAsia"/>
              <w:noProof/>
            </w:rPr>
          </w:pPr>
          <w:hyperlink w:anchor="_Toc225514428" w:history="1">
            <w:r w:rsidRPr="00986552">
              <w:rPr>
                <w:rStyle w:val="Hyperlink"/>
                <w:rFonts w:ascii="Segoe UI" w:hAnsi="Segoe UI" w:cs="Segoe UI"/>
                <w:noProof/>
              </w:rPr>
              <w:t>2. Defining Person-Centred Care: Benefits and Limitations</w:t>
            </w:r>
            <w:r>
              <w:rPr>
                <w:noProof/>
                <w:webHidden/>
              </w:rPr>
              <w:tab/>
            </w:r>
            <w:r>
              <w:rPr>
                <w:noProof/>
                <w:webHidden/>
              </w:rPr>
              <w:fldChar w:fldCharType="begin"/>
            </w:r>
            <w:r>
              <w:rPr>
                <w:noProof/>
                <w:webHidden/>
              </w:rPr>
              <w:instrText xml:space="preserve"> PAGEREF _Toc225514428 \h </w:instrText>
            </w:r>
            <w:r>
              <w:rPr>
                <w:noProof/>
                <w:webHidden/>
              </w:rPr>
            </w:r>
            <w:r>
              <w:rPr>
                <w:noProof/>
                <w:webHidden/>
              </w:rPr>
              <w:fldChar w:fldCharType="separate"/>
            </w:r>
            <w:r>
              <w:rPr>
                <w:noProof/>
                <w:webHidden/>
              </w:rPr>
              <w:t>3</w:t>
            </w:r>
            <w:r>
              <w:rPr>
                <w:noProof/>
                <w:webHidden/>
              </w:rPr>
              <w:fldChar w:fldCharType="end"/>
            </w:r>
          </w:hyperlink>
        </w:p>
        <w:p w14:paraId="566BAC93" w14:textId="77777777" w:rsidR="00266AE2" w:rsidRDefault="00266AE2">
          <w:pPr>
            <w:pStyle w:val="TOC3"/>
            <w:tabs>
              <w:tab w:val="right" w:leader="dot" w:pos="9350"/>
            </w:tabs>
            <w:rPr>
              <w:rFonts w:eastAsiaTheme="minorEastAsia"/>
              <w:noProof/>
            </w:rPr>
          </w:pPr>
          <w:hyperlink w:anchor="_Toc225514429" w:history="1">
            <w:r w:rsidRPr="00986552">
              <w:rPr>
                <w:rStyle w:val="Hyperlink"/>
                <w:rFonts w:ascii="Segoe UI" w:hAnsi="Segoe UI" w:cs="Segoe UI"/>
                <w:noProof/>
              </w:rPr>
              <w:t>3. Theoretical Framework: McCormack Person-Centred Practice Framework</w:t>
            </w:r>
            <w:r>
              <w:rPr>
                <w:noProof/>
                <w:webHidden/>
              </w:rPr>
              <w:tab/>
            </w:r>
            <w:r>
              <w:rPr>
                <w:noProof/>
                <w:webHidden/>
              </w:rPr>
              <w:fldChar w:fldCharType="begin"/>
            </w:r>
            <w:r>
              <w:rPr>
                <w:noProof/>
                <w:webHidden/>
              </w:rPr>
              <w:instrText xml:space="preserve"> PAGEREF _Toc225514429 \h </w:instrText>
            </w:r>
            <w:r>
              <w:rPr>
                <w:noProof/>
                <w:webHidden/>
              </w:rPr>
            </w:r>
            <w:r>
              <w:rPr>
                <w:noProof/>
                <w:webHidden/>
              </w:rPr>
              <w:fldChar w:fldCharType="separate"/>
            </w:r>
            <w:r>
              <w:rPr>
                <w:noProof/>
                <w:webHidden/>
              </w:rPr>
              <w:t>4</w:t>
            </w:r>
            <w:r>
              <w:rPr>
                <w:noProof/>
                <w:webHidden/>
              </w:rPr>
              <w:fldChar w:fldCharType="end"/>
            </w:r>
          </w:hyperlink>
        </w:p>
        <w:p w14:paraId="7BC8701F" w14:textId="77777777" w:rsidR="00266AE2" w:rsidRDefault="00266AE2">
          <w:pPr>
            <w:pStyle w:val="TOC3"/>
            <w:tabs>
              <w:tab w:val="right" w:leader="dot" w:pos="9350"/>
            </w:tabs>
            <w:rPr>
              <w:rFonts w:eastAsiaTheme="minorEastAsia"/>
              <w:noProof/>
            </w:rPr>
          </w:pPr>
          <w:hyperlink w:anchor="_Toc225514430" w:history="1">
            <w:r w:rsidRPr="00986552">
              <w:rPr>
                <w:rStyle w:val="Hyperlink"/>
                <w:rFonts w:ascii="Segoe UI" w:hAnsi="Segoe UI" w:cs="Segoe UI"/>
                <w:noProof/>
              </w:rPr>
              <w:t>4. Ethical Fundamentals of Health and Social Care</w:t>
            </w:r>
            <w:r>
              <w:rPr>
                <w:noProof/>
                <w:webHidden/>
              </w:rPr>
              <w:tab/>
            </w:r>
            <w:r>
              <w:rPr>
                <w:noProof/>
                <w:webHidden/>
              </w:rPr>
              <w:fldChar w:fldCharType="begin"/>
            </w:r>
            <w:r>
              <w:rPr>
                <w:noProof/>
                <w:webHidden/>
              </w:rPr>
              <w:instrText xml:space="preserve"> PAGEREF _Toc225514430 \h </w:instrText>
            </w:r>
            <w:r>
              <w:rPr>
                <w:noProof/>
                <w:webHidden/>
              </w:rPr>
            </w:r>
            <w:r>
              <w:rPr>
                <w:noProof/>
                <w:webHidden/>
              </w:rPr>
              <w:fldChar w:fldCharType="separate"/>
            </w:r>
            <w:r>
              <w:rPr>
                <w:noProof/>
                <w:webHidden/>
              </w:rPr>
              <w:t>5</w:t>
            </w:r>
            <w:r>
              <w:rPr>
                <w:noProof/>
                <w:webHidden/>
              </w:rPr>
              <w:fldChar w:fldCharType="end"/>
            </w:r>
          </w:hyperlink>
        </w:p>
        <w:p w14:paraId="5382449B" w14:textId="77777777" w:rsidR="00266AE2" w:rsidRDefault="00266AE2">
          <w:pPr>
            <w:pStyle w:val="TOC3"/>
            <w:tabs>
              <w:tab w:val="right" w:leader="dot" w:pos="9350"/>
            </w:tabs>
            <w:rPr>
              <w:rFonts w:eastAsiaTheme="minorEastAsia"/>
              <w:noProof/>
            </w:rPr>
          </w:pPr>
          <w:hyperlink w:anchor="_Toc225514431" w:history="1">
            <w:r w:rsidRPr="00986552">
              <w:rPr>
                <w:rStyle w:val="Hyperlink"/>
                <w:rFonts w:ascii="Segoe UI" w:hAnsi="Segoe UI" w:cs="Segoe UI"/>
                <w:noProof/>
              </w:rPr>
              <w:t>5. Evaluating Partnership Working in Health and Social Care</w:t>
            </w:r>
            <w:r>
              <w:rPr>
                <w:noProof/>
                <w:webHidden/>
              </w:rPr>
              <w:tab/>
            </w:r>
            <w:r>
              <w:rPr>
                <w:noProof/>
                <w:webHidden/>
              </w:rPr>
              <w:fldChar w:fldCharType="begin"/>
            </w:r>
            <w:r>
              <w:rPr>
                <w:noProof/>
                <w:webHidden/>
              </w:rPr>
              <w:instrText xml:space="preserve"> PAGEREF _Toc225514431 \h </w:instrText>
            </w:r>
            <w:r>
              <w:rPr>
                <w:noProof/>
                <w:webHidden/>
              </w:rPr>
            </w:r>
            <w:r>
              <w:rPr>
                <w:noProof/>
                <w:webHidden/>
              </w:rPr>
              <w:fldChar w:fldCharType="separate"/>
            </w:r>
            <w:r>
              <w:rPr>
                <w:noProof/>
                <w:webHidden/>
              </w:rPr>
              <w:t>5</w:t>
            </w:r>
            <w:r>
              <w:rPr>
                <w:noProof/>
                <w:webHidden/>
              </w:rPr>
              <w:fldChar w:fldCharType="end"/>
            </w:r>
          </w:hyperlink>
        </w:p>
        <w:p w14:paraId="478EC500" w14:textId="77777777" w:rsidR="00266AE2" w:rsidRDefault="00266AE2">
          <w:pPr>
            <w:pStyle w:val="TOC3"/>
            <w:tabs>
              <w:tab w:val="right" w:leader="dot" w:pos="9350"/>
            </w:tabs>
            <w:rPr>
              <w:rFonts w:eastAsiaTheme="minorEastAsia"/>
              <w:noProof/>
            </w:rPr>
          </w:pPr>
          <w:hyperlink w:anchor="_Toc225514432" w:history="1">
            <w:r w:rsidRPr="00986552">
              <w:rPr>
                <w:rStyle w:val="Hyperlink"/>
                <w:rFonts w:ascii="Segoe UI" w:hAnsi="Segoe UI" w:cs="Segoe UI"/>
                <w:noProof/>
              </w:rPr>
              <w:t>6. Practical Application: Partnership Working in Integrated Care Systems</w:t>
            </w:r>
            <w:r>
              <w:rPr>
                <w:noProof/>
                <w:webHidden/>
              </w:rPr>
              <w:tab/>
            </w:r>
            <w:r>
              <w:rPr>
                <w:noProof/>
                <w:webHidden/>
              </w:rPr>
              <w:fldChar w:fldCharType="begin"/>
            </w:r>
            <w:r>
              <w:rPr>
                <w:noProof/>
                <w:webHidden/>
              </w:rPr>
              <w:instrText xml:space="preserve"> PAGEREF _Toc225514432 \h </w:instrText>
            </w:r>
            <w:r>
              <w:rPr>
                <w:noProof/>
                <w:webHidden/>
              </w:rPr>
            </w:r>
            <w:r>
              <w:rPr>
                <w:noProof/>
                <w:webHidden/>
              </w:rPr>
              <w:fldChar w:fldCharType="separate"/>
            </w:r>
            <w:r>
              <w:rPr>
                <w:noProof/>
                <w:webHidden/>
              </w:rPr>
              <w:t>6</w:t>
            </w:r>
            <w:r>
              <w:rPr>
                <w:noProof/>
                <w:webHidden/>
              </w:rPr>
              <w:fldChar w:fldCharType="end"/>
            </w:r>
          </w:hyperlink>
        </w:p>
        <w:p w14:paraId="4B2870E8" w14:textId="77777777" w:rsidR="00266AE2" w:rsidRDefault="00266AE2">
          <w:pPr>
            <w:pStyle w:val="TOC3"/>
            <w:tabs>
              <w:tab w:val="right" w:leader="dot" w:pos="9350"/>
            </w:tabs>
            <w:rPr>
              <w:rFonts w:eastAsiaTheme="minorEastAsia"/>
              <w:noProof/>
            </w:rPr>
          </w:pPr>
          <w:hyperlink w:anchor="_Toc225514433" w:history="1">
            <w:r w:rsidRPr="00986552">
              <w:rPr>
                <w:rStyle w:val="Hyperlink"/>
                <w:rFonts w:ascii="Segoe UI" w:hAnsi="Segoe UI" w:cs="Segoe UI"/>
                <w:noProof/>
              </w:rPr>
              <w:t>7. Policy and Legislation</w:t>
            </w:r>
            <w:r>
              <w:rPr>
                <w:noProof/>
                <w:webHidden/>
              </w:rPr>
              <w:tab/>
            </w:r>
            <w:r>
              <w:rPr>
                <w:noProof/>
                <w:webHidden/>
              </w:rPr>
              <w:fldChar w:fldCharType="begin"/>
            </w:r>
            <w:r>
              <w:rPr>
                <w:noProof/>
                <w:webHidden/>
              </w:rPr>
              <w:instrText xml:space="preserve"> PAGEREF _Toc225514433 \h </w:instrText>
            </w:r>
            <w:r>
              <w:rPr>
                <w:noProof/>
                <w:webHidden/>
              </w:rPr>
            </w:r>
            <w:r>
              <w:rPr>
                <w:noProof/>
                <w:webHidden/>
              </w:rPr>
              <w:fldChar w:fldCharType="separate"/>
            </w:r>
            <w:r>
              <w:rPr>
                <w:noProof/>
                <w:webHidden/>
              </w:rPr>
              <w:t>7</w:t>
            </w:r>
            <w:r>
              <w:rPr>
                <w:noProof/>
                <w:webHidden/>
              </w:rPr>
              <w:fldChar w:fldCharType="end"/>
            </w:r>
          </w:hyperlink>
        </w:p>
        <w:p w14:paraId="6980614D" w14:textId="77777777" w:rsidR="00266AE2" w:rsidRDefault="00266AE2">
          <w:pPr>
            <w:pStyle w:val="TOC3"/>
            <w:tabs>
              <w:tab w:val="right" w:leader="dot" w:pos="9350"/>
            </w:tabs>
            <w:rPr>
              <w:rFonts w:eastAsiaTheme="minorEastAsia"/>
              <w:noProof/>
            </w:rPr>
          </w:pPr>
          <w:hyperlink w:anchor="_Toc225514434" w:history="1">
            <w:r w:rsidRPr="00986552">
              <w:rPr>
                <w:rStyle w:val="Hyperlink"/>
                <w:rFonts w:ascii="Segoe UI" w:hAnsi="Segoe UI" w:cs="Segoe UI"/>
                <w:noProof/>
              </w:rPr>
              <w:t>8. Recommendations for Future Development</w:t>
            </w:r>
            <w:r>
              <w:rPr>
                <w:noProof/>
                <w:webHidden/>
              </w:rPr>
              <w:tab/>
            </w:r>
            <w:r>
              <w:rPr>
                <w:noProof/>
                <w:webHidden/>
              </w:rPr>
              <w:fldChar w:fldCharType="begin"/>
            </w:r>
            <w:r>
              <w:rPr>
                <w:noProof/>
                <w:webHidden/>
              </w:rPr>
              <w:instrText xml:space="preserve"> PAGEREF _Toc225514434 \h </w:instrText>
            </w:r>
            <w:r>
              <w:rPr>
                <w:noProof/>
                <w:webHidden/>
              </w:rPr>
            </w:r>
            <w:r>
              <w:rPr>
                <w:noProof/>
                <w:webHidden/>
              </w:rPr>
              <w:fldChar w:fldCharType="separate"/>
            </w:r>
            <w:r>
              <w:rPr>
                <w:noProof/>
                <w:webHidden/>
              </w:rPr>
              <w:t>7</w:t>
            </w:r>
            <w:r>
              <w:rPr>
                <w:noProof/>
                <w:webHidden/>
              </w:rPr>
              <w:fldChar w:fldCharType="end"/>
            </w:r>
          </w:hyperlink>
        </w:p>
        <w:p w14:paraId="7D21ABD3" w14:textId="77777777" w:rsidR="00266AE2" w:rsidRDefault="00266AE2">
          <w:pPr>
            <w:pStyle w:val="TOC3"/>
            <w:tabs>
              <w:tab w:val="right" w:leader="dot" w:pos="9350"/>
            </w:tabs>
            <w:rPr>
              <w:rFonts w:eastAsiaTheme="minorEastAsia"/>
              <w:noProof/>
            </w:rPr>
          </w:pPr>
          <w:hyperlink w:anchor="_Toc225514435" w:history="1">
            <w:r w:rsidRPr="00986552">
              <w:rPr>
                <w:rStyle w:val="Hyperlink"/>
                <w:rFonts w:ascii="Segoe UI" w:hAnsi="Segoe UI" w:cs="Segoe UI"/>
                <w:noProof/>
              </w:rPr>
              <w:t>9. Conclusion</w:t>
            </w:r>
            <w:r>
              <w:rPr>
                <w:noProof/>
                <w:webHidden/>
              </w:rPr>
              <w:tab/>
            </w:r>
            <w:r>
              <w:rPr>
                <w:noProof/>
                <w:webHidden/>
              </w:rPr>
              <w:fldChar w:fldCharType="begin"/>
            </w:r>
            <w:r>
              <w:rPr>
                <w:noProof/>
                <w:webHidden/>
              </w:rPr>
              <w:instrText xml:space="preserve"> PAGEREF _Toc225514435 \h </w:instrText>
            </w:r>
            <w:r>
              <w:rPr>
                <w:noProof/>
                <w:webHidden/>
              </w:rPr>
            </w:r>
            <w:r>
              <w:rPr>
                <w:noProof/>
                <w:webHidden/>
              </w:rPr>
              <w:fldChar w:fldCharType="separate"/>
            </w:r>
            <w:r>
              <w:rPr>
                <w:noProof/>
                <w:webHidden/>
              </w:rPr>
              <w:t>8</w:t>
            </w:r>
            <w:r>
              <w:rPr>
                <w:noProof/>
                <w:webHidden/>
              </w:rPr>
              <w:fldChar w:fldCharType="end"/>
            </w:r>
          </w:hyperlink>
        </w:p>
        <w:p w14:paraId="0FC9AA3A" w14:textId="77777777" w:rsidR="00266AE2" w:rsidRDefault="00266AE2">
          <w:pPr>
            <w:pStyle w:val="TOC3"/>
            <w:tabs>
              <w:tab w:val="right" w:leader="dot" w:pos="9350"/>
            </w:tabs>
            <w:rPr>
              <w:rFonts w:eastAsiaTheme="minorEastAsia"/>
              <w:noProof/>
            </w:rPr>
          </w:pPr>
          <w:hyperlink w:anchor="_Toc225514436" w:history="1">
            <w:r w:rsidRPr="00986552">
              <w:rPr>
                <w:rStyle w:val="Hyperlink"/>
                <w:rFonts w:ascii="Segoe UI" w:hAnsi="Segoe UI" w:cs="Segoe UI"/>
                <w:noProof/>
              </w:rPr>
              <w:t>References</w:t>
            </w:r>
            <w:r>
              <w:rPr>
                <w:noProof/>
                <w:webHidden/>
              </w:rPr>
              <w:tab/>
            </w:r>
            <w:r>
              <w:rPr>
                <w:noProof/>
                <w:webHidden/>
              </w:rPr>
              <w:fldChar w:fldCharType="begin"/>
            </w:r>
            <w:r>
              <w:rPr>
                <w:noProof/>
                <w:webHidden/>
              </w:rPr>
              <w:instrText xml:space="preserve"> PAGEREF _Toc225514436 \h </w:instrText>
            </w:r>
            <w:r>
              <w:rPr>
                <w:noProof/>
                <w:webHidden/>
              </w:rPr>
            </w:r>
            <w:r>
              <w:rPr>
                <w:noProof/>
                <w:webHidden/>
              </w:rPr>
              <w:fldChar w:fldCharType="separate"/>
            </w:r>
            <w:r>
              <w:rPr>
                <w:noProof/>
                <w:webHidden/>
              </w:rPr>
              <w:t>9</w:t>
            </w:r>
            <w:r>
              <w:rPr>
                <w:noProof/>
                <w:webHidden/>
              </w:rPr>
              <w:fldChar w:fldCharType="end"/>
            </w:r>
          </w:hyperlink>
        </w:p>
        <w:p w14:paraId="46942E30" w14:textId="77777777" w:rsidR="00266AE2" w:rsidRDefault="00266AE2">
          <w:r>
            <w:rPr>
              <w:b/>
              <w:bCs/>
              <w:noProof/>
            </w:rPr>
            <w:fldChar w:fldCharType="end"/>
          </w:r>
        </w:p>
      </w:sdtContent>
    </w:sdt>
    <w:p w14:paraId="3DBCCD57" w14:textId="77777777" w:rsidR="00266AE2" w:rsidRDefault="00266AE2" w:rsidP="007211BB">
      <w:pPr>
        <w:spacing w:before="480" w:after="240" w:line="450" w:lineRule="atLeast"/>
        <w:outlineLvl w:val="2"/>
        <w:rPr>
          <w:rFonts w:asciiTheme="minorBidi" w:eastAsia="Times New Roman" w:hAnsiTheme="minorBidi"/>
          <w:b/>
          <w:bCs/>
          <w:color w:val="0F1115"/>
          <w:sz w:val="28"/>
          <w:szCs w:val="28"/>
        </w:rPr>
      </w:pPr>
    </w:p>
    <w:p w14:paraId="0F1E5DA6" w14:textId="77777777" w:rsidR="005E467B" w:rsidRDefault="005E467B" w:rsidP="007211BB">
      <w:pPr>
        <w:spacing w:before="480" w:after="240" w:line="450" w:lineRule="atLeast"/>
        <w:outlineLvl w:val="2"/>
        <w:rPr>
          <w:rFonts w:asciiTheme="minorBidi" w:eastAsia="Times New Roman" w:hAnsiTheme="minorBidi"/>
          <w:b/>
          <w:bCs/>
          <w:color w:val="0F1115"/>
          <w:sz w:val="28"/>
          <w:szCs w:val="28"/>
        </w:rPr>
      </w:pPr>
    </w:p>
    <w:p w14:paraId="1AFB5105" w14:textId="77777777" w:rsidR="005E467B" w:rsidRDefault="005E467B" w:rsidP="007211BB">
      <w:pPr>
        <w:spacing w:before="480" w:after="240" w:line="450" w:lineRule="atLeast"/>
        <w:outlineLvl w:val="2"/>
        <w:rPr>
          <w:rFonts w:asciiTheme="minorBidi" w:eastAsia="Times New Roman" w:hAnsiTheme="minorBidi"/>
          <w:b/>
          <w:bCs/>
          <w:color w:val="0F1115"/>
          <w:sz w:val="28"/>
          <w:szCs w:val="28"/>
        </w:rPr>
      </w:pPr>
    </w:p>
    <w:p w14:paraId="365FEAA2" w14:textId="77777777" w:rsidR="005E467B" w:rsidRDefault="005E467B" w:rsidP="007211BB">
      <w:pPr>
        <w:spacing w:before="480" w:after="240" w:line="450" w:lineRule="atLeast"/>
        <w:outlineLvl w:val="2"/>
        <w:rPr>
          <w:rFonts w:asciiTheme="minorBidi" w:eastAsia="Times New Roman" w:hAnsiTheme="minorBidi"/>
          <w:b/>
          <w:bCs/>
          <w:color w:val="0F1115"/>
          <w:sz w:val="28"/>
          <w:szCs w:val="28"/>
        </w:rPr>
      </w:pPr>
    </w:p>
    <w:p w14:paraId="18B91D13" w14:textId="77777777" w:rsidR="005E467B" w:rsidRDefault="005E467B" w:rsidP="007211BB">
      <w:pPr>
        <w:spacing w:before="480" w:after="240" w:line="450" w:lineRule="atLeast"/>
        <w:outlineLvl w:val="2"/>
        <w:rPr>
          <w:rFonts w:asciiTheme="minorBidi" w:eastAsia="Times New Roman" w:hAnsiTheme="minorBidi"/>
          <w:b/>
          <w:bCs/>
          <w:color w:val="0F1115"/>
          <w:sz w:val="28"/>
          <w:szCs w:val="28"/>
        </w:rPr>
      </w:pPr>
    </w:p>
    <w:p w14:paraId="109D1BAD" w14:textId="77777777" w:rsidR="00266AE2" w:rsidRDefault="00266AE2" w:rsidP="00266AE2">
      <w:pPr>
        <w:pStyle w:val="TOCHeading"/>
      </w:pPr>
    </w:p>
    <w:p w14:paraId="763B710B" w14:textId="77777777" w:rsidR="005E467B" w:rsidRDefault="005E467B" w:rsidP="007211BB">
      <w:pPr>
        <w:spacing w:before="480" w:after="240" w:line="450" w:lineRule="atLeast"/>
        <w:outlineLvl w:val="2"/>
        <w:rPr>
          <w:rFonts w:asciiTheme="minorBidi" w:eastAsia="Times New Roman" w:hAnsiTheme="minorBidi"/>
          <w:b/>
          <w:bCs/>
          <w:color w:val="0F1115"/>
          <w:sz w:val="28"/>
          <w:szCs w:val="28"/>
        </w:rPr>
      </w:pPr>
    </w:p>
    <w:p w14:paraId="616CB1D9" w14:textId="77777777" w:rsidR="00266AE2" w:rsidRDefault="00266AE2" w:rsidP="007211BB">
      <w:pPr>
        <w:spacing w:before="480" w:after="240" w:line="450" w:lineRule="atLeast"/>
        <w:outlineLvl w:val="2"/>
        <w:rPr>
          <w:rFonts w:asciiTheme="minorBidi" w:eastAsia="Times New Roman" w:hAnsiTheme="minorBidi"/>
          <w:b/>
          <w:bCs/>
          <w:color w:val="0F1115"/>
          <w:sz w:val="28"/>
          <w:szCs w:val="28"/>
        </w:rPr>
      </w:pPr>
      <w:bookmarkStart w:id="14" w:name="_Toc225514234"/>
      <w:bookmarkStart w:id="15" w:name="_Toc225514427"/>
    </w:p>
    <w:p w14:paraId="21EFBF9B" w14:textId="77777777" w:rsidR="007211BB" w:rsidRPr="007211BB" w:rsidRDefault="007211BB" w:rsidP="007211BB">
      <w:pPr>
        <w:spacing w:before="480" w:after="240" w:line="450" w:lineRule="atLeast"/>
        <w:outlineLvl w:val="2"/>
        <w:rPr>
          <w:rFonts w:asciiTheme="minorBidi" w:eastAsia="Times New Roman" w:hAnsiTheme="minorBidi"/>
          <w:b/>
          <w:bCs/>
          <w:color w:val="0F1115"/>
          <w:sz w:val="28"/>
          <w:szCs w:val="28"/>
        </w:rPr>
      </w:pPr>
      <w:r w:rsidRPr="007211BB">
        <w:rPr>
          <w:rFonts w:asciiTheme="minorBidi" w:eastAsia="Times New Roman" w:hAnsiTheme="minorBidi"/>
          <w:b/>
          <w:bCs/>
          <w:color w:val="0F1115"/>
          <w:sz w:val="28"/>
          <w:szCs w:val="28"/>
        </w:rPr>
        <w:t>1. Introduction</w:t>
      </w:r>
      <w:bookmarkEnd w:id="14"/>
      <w:bookmarkEnd w:id="15"/>
    </w:p>
    <w:p w14:paraId="059654C2" w14:textId="77777777" w:rsidR="007211BB" w:rsidRDefault="007211BB" w:rsidP="000149AB">
      <w:pPr>
        <w:spacing w:before="240" w:after="100" w:afterAutospacing="1" w:line="420" w:lineRule="atLeast"/>
        <w:rPr>
          <w:rFonts w:asciiTheme="minorBidi" w:eastAsia="Times New Roman" w:hAnsiTheme="minorBidi"/>
          <w:color w:val="0F1115"/>
        </w:rPr>
      </w:pPr>
      <w:r w:rsidRPr="007211BB">
        <w:rPr>
          <w:rFonts w:asciiTheme="minorBidi" w:eastAsia="Times New Roman" w:hAnsiTheme="minorBidi"/>
          <w:color w:val="0F1115"/>
        </w:rPr>
        <w:t xml:space="preserve">The health and social care system in the United Kingdom is undergoing profound transformation driven by demographic </w:t>
      </w:r>
      <w:proofErr w:type="spellStart"/>
      <w:r w:rsidRPr="007211BB">
        <w:rPr>
          <w:rFonts w:asciiTheme="minorBidi" w:eastAsia="Times New Roman" w:hAnsiTheme="minorBidi"/>
          <w:color w:val="0F1115"/>
        </w:rPr>
        <w:t>ageing</w:t>
      </w:r>
      <w:proofErr w:type="spellEnd"/>
      <w:r w:rsidRPr="007211BB">
        <w:rPr>
          <w:rFonts w:asciiTheme="minorBidi" w:eastAsia="Times New Roman" w:hAnsiTheme="minorBidi"/>
          <w:color w:val="0F1115"/>
        </w:rPr>
        <w:t xml:space="preserve">, rising </w:t>
      </w:r>
      <w:proofErr w:type="spellStart"/>
      <w:r w:rsidRPr="007211BB">
        <w:rPr>
          <w:rFonts w:asciiTheme="minorBidi" w:eastAsia="Times New Roman" w:hAnsiTheme="minorBidi"/>
          <w:color w:val="0F1115"/>
        </w:rPr>
        <w:t>multimorbidity</w:t>
      </w:r>
      <w:proofErr w:type="spellEnd"/>
      <w:r w:rsidRPr="007211BB">
        <w:rPr>
          <w:rFonts w:asciiTheme="minorBidi" w:eastAsia="Times New Roman" w:hAnsiTheme="minorBidi"/>
          <w:color w:val="0F1115"/>
        </w:rPr>
        <w:t xml:space="preserve">, and the imperative to deliver high quality care within constrained resources. Key to this process are two concepts: </w:t>
      </w:r>
      <w:proofErr w:type="spellStart"/>
      <w:r w:rsidRPr="007211BB">
        <w:rPr>
          <w:rFonts w:asciiTheme="minorBidi" w:eastAsia="Times New Roman" w:hAnsiTheme="minorBidi"/>
          <w:color w:val="0F1115"/>
        </w:rPr>
        <w:t>person-centred</w:t>
      </w:r>
      <w:proofErr w:type="spellEnd"/>
      <w:r w:rsidRPr="007211BB">
        <w:rPr>
          <w:rFonts w:asciiTheme="minorBidi" w:eastAsia="Times New Roman" w:hAnsiTheme="minorBidi"/>
          <w:color w:val="0F1115"/>
        </w:rPr>
        <w:t xml:space="preserve"> care (PCC) and partnership working (PW). PCC changes the emphasis from treating the illness to valuing the person’s own values and preferences. Partnership working encourages collaboration between different professional and service user groupings. This is a radical shift away from more traditional and paternalistic approaches to care and acknowledges the complexity of health and social care needs that cannot be met by any sing</w:t>
      </w:r>
      <w:r w:rsidR="0058188C">
        <w:rPr>
          <w:rFonts w:asciiTheme="minorBidi" w:eastAsia="Times New Roman" w:hAnsiTheme="minorBidi"/>
          <w:color w:val="0F1115"/>
        </w:rPr>
        <w:t xml:space="preserve">le agency working in isolation. </w:t>
      </w:r>
      <w:r w:rsidR="0058188C">
        <w:rPr>
          <w:rFonts w:ascii="Arial" w:hAnsi="Arial" w:cs="Arial"/>
          <w:color w:val="222222"/>
          <w:sz w:val="20"/>
          <w:szCs w:val="20"/>
          <w:shd w:val="clear" w:color="auto" w:fill="FFFFFF"/>
        </w:rPr>
        <w:t>Smith and Wilson, (2023</w:t>
      </w:r>
      <w:r w:rsidRPr="007211BB">
        <w:rPr>
          <w:rFonts w:asciiTheme="minorBidi" w:eastAsia="Times New Roman" w:hAnsiTheme="minorBidi"/>
          <w:color w:val="0F1115"/>
        </w:rPr>
        <w:t xml:space="preserve">) argue that PCC and PW are not simply idealistic concepts but the very foundations of care today. </w:t>
      </w:r>
      <w:proofErr w:type="spellStart"/>
      <w:r w:rsidR="000149AB">
        <w:rPr>
          <w:rFonts w:ascii="Arial" w:hAnsi="Arial" w:cs="Arial"/>
          <w:color w:val="222222"/>
          <w:sz w:val="20"/>
          <w:szCs w:val="20"/>
          <w:shd w:val="clear" w:color="auto" w:fill="FFFFFF"/>
        </w:rPr>
        <w:t>Shepanski</w:t>
      </w:r>
      <w:proofErr w:type="spellEnd"/>
      <w:r w:rsidR="000149AB">
        <w:rPr>
          <w:rFonts w:ascii="Arial" w:hAnsi="Arial" w:cs="Arial"/>
          <w:color w:val="222222"/>
          <w:sz w:val="20"/>
          <w:szCs w:val="20"/>
          <w:shd w:val="clear" w:color="auto" w:fill="FFFFFF"/>
        </w:rPr>
        <w:t xml:space="preserve">, (2023) </w:t>
      </w:r>
      <w:r w:rsidRPr="007211BB">
        <w:rPr>
          <w:rFonts w:asciiTheme="minorBidi" w:eastAsia="Times New Roman" w:hAnsiTheme="minorBidi"/>
          <w:color w:val="0F1115"/>
        </w:rPr>
        <w:t xml:space="preserve">adds that in order to provide effective care, there is a need to move away from professional paternalism and towards true collaboration with the service user and the carer being valued as equal partners. This report critically evaluates PCC and PW, defining PCC and examining its benefits and limitations, </w:t>
      </w:r>
      <w:proofErr w:type="spellStart"/>
      <w:r w:rsidRPr="007211BB">
        <w:rPr>
          <w:rFonts w:asciiTheme="minorBidi" w:eastAsia="Times New Roman" w:hAnsiTheme="minorBidi"/>
          <w:color w:val="0F1115"/>
        </w:rPr>
        <w:t>analysing</w:t>
      </w:r>
      <w:proofErr w:type="spellEnd"/>
      <w:r w:rsidRPr="007211BB">
        <w:rPr>
          <w:rFonts w:asciiTheme="minorBidi" w:eastAsia="Times New Roman" w:hAnsiTheme="minorBidi"/>
          <w:color w:val="0F1115"/>
        </w:rPr>
        <w:t xml:space="preserve"> a relevant theoretical framework, exploring the ethical underpinnings, evaluating PW, and applying these concepts within a practical setting. Finally, it discusses current policy and offers recommendations for future development in the UK, with the aim of contributing to the ongoing discourse on how to create a more integrated and </w:t>
      </w:r>
      <w:proofErr w:type="spellStart"/>
      <w:r w:rsidRPr="007211BB">
        <w:rPr>
          <w:rFonts w:asciiTheme="minorBidi" w:eastAsia="Times New Roman" w:hAnsiTheme="minorBidi"/>
          <w:color w:val="0F1115"/>
        </w:rPr>
        <w:t>person</w:t>
      </w:r>
      <w:r w:rsidRPr="007211BB">
        <w:rPr>
          <w:rFonts w:asciiTheme="minorBidi" w:eastAsia="Times New Roman" w:hAnsiTheme="minorBidi"/>
          <w:color w:val="0F1115"/>
        </w:rPr>
        <w:noBreakHyphen/>
        <w:t>centred</w:t>
      </w:r>
      <w:proofErr w:type="spellEnd"/>
      <w:r w:rsidRPr="007211BB">
        <w:rPr>
          <w:rFonts w:asciiTheme="minorBidi" w:eastAsia="Times New Roman" w:hAnsiTheme="minorBidi"/>
          <w:color w:val="0F1115"/>
        </w:rPr>
        <w:t xml:space="preserve"> health and social care system.</w:t>
      </w:r>
    </w:p>
    <w:p w14:paraId="733E59D6" w14:textId="77777777" w:rsidR="007211BB" w:rsidRPr="007211BB" w:rsidRDefault="007211BB" w:rsidP="007211BB">
      <w:pPr>
        <w:pStyle w:val="Heading3"/>
        <w:spacing w:before="480" w:beforeAutospacing="0" w:after="240" w:afterAutospacing="0" w:line="450" w:lineRule="atLeast"/>
        <w:rPr>
          <w:rFonts w:ascii="Segoe UI" w:hAnsi="Segoe UI" w:cs="Segoe UI"/>
          <w:color w:val="0F1115"/>
          <w:sz w:val="30"/>
          <w:szCs w:val="30"/>
        </w:rPr>
      </w:pPr>
      <w:bookmarkStart w:id="16" w:name="_Toc225514235"/>
      <w:bookmarkStart w:id="17" w:name="_Toc225514428"/>
      <w:r>
        <w:rPr>
          <w:rFonts w:ascii="Segoe UI" w:hAnsi="Segoe UI" w:cs="Segoe UI"/>
          <w:color w:val="0F1115"/>
          <w:sz w:val="30"/>
          <w:szCs w:val="30"/>
        </w:rPr>
        <w:t xml:space="preserve">2. Defining </w:t>
      </w:r>
      <w:proofErr w:type="spellStart"/>
      <w:r>
        <w:rPr>
          <w:rFonts w:ascii="Segoe UI" w:hAnsi="Segoe UI" w:cs="Segoe UI"/>
          <w:color w:val="0F1115"/>
          <w:sz w:val="30"/>
          <w:szCs w:val="30"/>
        </w:rPr>
        <w:t>Person-Centred</w:t>
      </w:r>
      <w:proofErr w:type="spellEnd"/>
      <w:r>
        <w:rPr>
          <w:rFonts w:ascii="Segoe UI" w:hAnsi="Segoe UI" w:cs="Segoe UI"/>
          <w:color w:val="0F1115"/>
          <w:sz w:val="30"/>
          <w:szCs w:val="30"/>
        </w:rPr>
        <w:t xml:space="preserve"> Care: Benefits and Limitations</w:t>
      </w:r>
      <w:bookmarkEnd w:id="16"/>
      <w:bookmarkEnd w:id="17"/>
    </w:p>
    <w:p w14:paraId="3A094BE5" w14:textId="77777777" w:rsidR="007211BB" w:rsidRPr="004104BE" w:rsidRDefault="007211BB" w:rsidP="0058188C">
      <w:pPr>
        <w:spacing w:line="360" w:lineRule="auto"/>
        <w:rPr>
          <w:rFonts w:asciiTheme="minorBidi" w:hAnsiTheme="minorBidi"/>
        </w:rPr>
      </w:pPr>
      <w:r w:rsidRPr="004104BE">
        <w:rPr>
          <w:rFonts w:asciiTheme="minorBidi" w:hAnsiTheme="minorBidi"/>
        </w:rPr>
        <w:t xml:space="preserve">Person-centered care is a philosophy in which the person is at the centre of the care they receive, with decisions made in accordance with their own unique needs, values, and preferences. This differs from the more biomedical approach in its acknowledgment of the person’s own expertise in their own life, creating a therapeutic partnership between service users and practitioners. </w:t>
      </w:r>
      <w:r w:rsidR="0058188C">
        <w:rPr>
          <w:rFonts w:ascii="Arial" w:hAnsi="Arial" w:cs="Arial"/>
          <w:color w:val="222222"/>
          <w:sz w:val="20"/>
          <w:szCs w:val="20"/>
          <w:shd w:val="clear" w:color="auto" w:fill="FFFFFF"/>
        </w:rPr>
        <w:t xml:space="preserve">McCormack, (2024) </w:t>
      </w:r>
      <w:r w:rsidRPr="004104BE">
        <w:rPr>
          <w:rFonts w:asciiTheme="minorBidi" w:hAnsiTheme="minorBidi"/>
        </w:rPr>
        <w:t>describe person-centered care as “an approach to practice that is established through the formation and fostering of therapeutic relationships.” This illustrates the importance of person-centered care not being a series of actions but a process.</w:t>
      </w:r>
    </w:p>
    <w:p w14:paraId="11B17247" w14:textId="77777777" w:rsidR="007211BB" w:rsidRPr="004104BE" w:rsidRDefault="007211BB" w:rsidP="004104BE">
      <w:pPr>
        <w:spacing w:line="360" w:lineRule="auto"/>
        <w:rPr>
          <w:rFonts w:asciiTheme="minorBidi" w:hAnsiTheme="minorBidi"/>
        </w:rPr>
      </w:pPr>
    </w:p>
    <w:p w14:paraId="5F79B85A" w14:textId="77777777" w:rsidR="007211BB" w:rsidRPr="004104BE" w:rsidRDefault="007211BB" w:rsidP="004104BE">
      <w:pPr>
        <w:spacing w:line="360" w:lineRule="auto"/>
        <w:rPr>
          <w:rFonts w:asciiTheme="minorBidi" w:hAnsiTheme="minorBidi"/>
        </w:rPr>
      </w:pPr>
      <w:r w:rsidRPr="004104BE">
        <w:rPr>
          <w:rFonts w:asciiTheme="minorBidi" w:hAnsiTheme="minorBidi"/>
        </w:rPr>
        <w:t xml:space="preserve">The advantages of PCC are extensively demonstrated. When service users experience a </w:t>
      </w:r>
      <w:proofErr w:type="spellStart"/>
      <w:r w:rsidRPr="004104BE">
        <w:rPr>
          <w:rFonts w:asciiTheme="minorBidi" w:hAnsiTheme="minorBidi"/>
        </w:rPr>
        <w:t>person-centred</w:t>
      </w:r>
      <w:proofErr w:type="spellEnd"/>
      <w:r w:rsidRPr="004104BE">
        <w:rPr>
          <w:rFonts w:asciiTheme="minorBidi" w:hAnsiTheme="minorBidi"/>
        </w:rPr>
        <w:t xml:space="preserve"> approach, they report increased satisfaction with services, improved adherence to treatment plans, and improved outcomes, especially if they have long term conditions. Nilsson (2026) discovered that PCC promotes individual empowerment through decision making and increases perceptions of control. Professionals also experience improved job satisfaction and reduced burnout when they work in a </w:t>
      </w:r>
      <w:proofErr w:type="spellStart"/>
      <w:r w:rsidRPr="004104BE">
        <w:rPr>
          <w:rFonts w:asciiTheme="minorBidi" w:hAnsiTheme="minorBidi"/>
        </w:rPr>
        <w:t>person-centred</w:t>
      </w:r>
      <w:proofErr w:type="spellEnd"/>
      <w:r w:rsidRPr="004104BE">
        <w:rPr>
          <w:rFonts w:asciiTheme="minorBidi" w:hAnsiTheme="minorBidi"/>
        </w:rPr>
        <w:t xml:space="preserve"> way because it is in alignment with their intrinsic values. Additionally, </w:t>
      </w:r>
      <w:proofErr w:type="spellStart"/>
      <w:r w:rsidRPr="004104BE">
        <w:rPr>
          <w:rFonts w:asciiTheme="minorBidi" w:hAnsiTheme="minorBidi"/>
        </w:rPr>
        <w:t>organisations</w:t>
      </w:r>
      <w:proofErr w:type="spellEnd"/>
      <w:r w:rsidRPr="004104BE">
        <w:rPr>
          <w:rFonts w:asciiTheme="minorBidi" w:hAnsiTheme="minorBidi"/>
        </w:rPr>
        <w:t xml:space="preserve"> benefit because they can make more efficient use of resources, only providing interventions that are actually needed.</w:t>
      </w:r>
    </w:p>
    <w:p w14:paraId="5BA23520" w14:textId="77777777" w:rsidR="007211BB" w:rsidRPr="004104BE" w:rsidRDefault="007211BB" w:rsidP="00BE4040">
      <w:pPr>
        <w:spacing w:line="360" w:lineRule="auto"/>
        <w:rPr>
          <w:rFonts w:asciiTheme="minorBidi" w:hAnsiTheme="minorBidi"/>
        </w:rPr>
      </w:pPr>
      <w:r w:rsidRPr="004104BE">
        <w:rPr>
          <w:rFonts w:asciiTheme="minorBidi" w:hAnsiTheme="minorBidi"/>
        </w:rPr>
        <w:t xml:space="preserve">However, the implementation of PCC has limitations too. For instance, a major limitation of the implementation of PCC has been the hierarchical relationship in which the professionals are in a position of power, and the service users are expected to be passive recipients of the services. </w:t>
      </w:r>
      <w:proofErr w:type="spellStart"/>
      <w:r w:rsidR="00BE4040">
        <w:rPr>
          <w:rFonts w:ascii="Arial" w:hAnsi="Arial" w:cs="Arial"/>
          <w:color w:val="222222"/>
          <w:sz w:val="20"/>
          <w:szCs w:val="20"/>
          <w:shd w:val="clear" w:color="auto" w:fill="FFFFFF"/>
        </w:rPr>
        <w:t>Mousazadeh,et.al</w:t>
      </w:r>
      <w:proofErr w:type="spellEnd"/>
      <w:r w:rsidR="00BE4040">
        <w:rPr>
          <w:rFonts w:ascii="Arial" w:hAnsi="Arial" w:cs="Arial"/>
          <w:color w:val="222222"/>
          <w:sz w:val="20"/>
          <w:szCs w:val="20"/>
          <w:shd w:val="clear" w:color="auto" w:fill="FFFFFF"/>
        </w:rPr>
        <w:t xml:space="preserve">, (2025) </w:t>
      </w:r>
      <w:r w:rsidRPr="004104BE">
        <w:rPr>
          <w:rFonts w:asciiTheme="minorBidi" w:hAnsiTheme="minorBidi"/>
        </w:rPr>
        <w:t>noted that most practitioners view PCC as a “luxury” that they cannot afford, owing to the lack of enough time to spend with the service users. In addition, the acute setting has a culture that emphasizes targets, which may not be helpful in the implementation of the necessary relationship work in the context of PCC.</w:t>
      </w:r>
    </w:p>
    <w:p w14:paraId="78DD040F" w14:textId="77777777" w:rsidR="007211BB" w:rsidRDefault="007211BB" w:rsidP="0058188C">
      <w:pPr>
        <w:pStyle w:val="Heading3"/>
        <w:spacing w:before="480" w:beforeAutospacing="0" w:after="240" w:afterAutospacing="0" w:line="450" w:lineRule="atLeast"/>
        <w:rPr>
          <w:rFonts w:ascii="Segoe UI" w:hAnsi="Segoe UI" w:cs="Segoe UI"/>
          <w:color w:val="0F1115"/>
          <w:sz w:val="30"/>
          <w:szCs w:val="30"/>
        </w:rPr>
      </w:pPr>
      <w:bookmarkStart w:id="18" w:name="_Toc225514236"/>
      <w:bookmarkStart w:id="19" w:name="_Toc225514429"/>
      <w:r>
        <w:rPr>
          <w:rFonts w:ascii="Segoe UI" w:hAnsi="Segoe UI" w:cs="Segoe UI"/>
          <w:color w:val="0F1115"/>
          <w:sz w:val="30"/>
          <w:szCs w:val="30"/>
        </w:rPr>
        <w:t xml:space="preserve">3. Theoretical Framework: McCormack </w:t>
      </w:r>
      <w:proofErr w:type="spellStart"/>
      <w:r>
        <w:rPr>
          <w:rFonts w:ascii="Segoe UI" w:hAnsi="Segoe UI" w:cs="Segoe UI"/>
          <w:color w:val="0F1115"/>
          <w:sz w:val="30"/>
          <w:szCs w:val="30"/>
        </w:rPr>
        <w:t>Person-Centred</w:t>
      </w:r>
      <w:proofErr w:type="spellEnd"/>
      <w:r>
        <w:rPr>
          <w:rFonts w:ascii="Segoe UI" w:hAnsi="Segoe UI" w:cs="Segoe UI"/>
          <w:color w:val="0F1115"/>
          <w:sz w:val="30"/>
          <w:szCs w:val="30"/>
        </w:rPr>
        <w:t xml:space="preserve"> Practice Framework</w:t>
      </w:r>
      <w:bookmarkEnd w:id="18"/>
      <w:bookmarkEnd w:id="19"/>
    </w:p>
    <w:p w14:paraId="51F1A1D1" w14:textId="77777777" w:rsidR="007211BB" w:rsidRPr="004104BE" w:rsidRDefault="007211BB" w:rsidP="0058188C">
      <w:pPr>
        <w:spacing w:line="360" w:lineRule="auto"/>
        <w:rPr>
          <w:rFonts w:asciiTheme="minorBidi" w:hAnsiTheme="minorBidi"/>
        </w:rPr>
      </w:pPr>
      <w:r w:rsidRPr="004104BE">
        <w:rPr>
          <w:rFonts w:asciiTheme="minorBidi" w:hAnsiTheme="minorBidi"/>
        </w:rPr>
        <w:t xml:space="preserve">An effective framework facilitates the translation of the philosophy </w:t>
      </w:r>
      <w:r w:rsidR="0058188C">
        <w:rPr>
          <w:rFonts w:asciiTheme="minorBidi" w:hAnsiTheme="minorBidi"/>
        </w:rPr>
        <w:t>of PCC into practice. McCormack, (</w:t>
      </w:r>
      <w:r w:rsidR="0058188C">
        <w:rPr>
          <w:rFonts w:ascii="Arial" w:hAnsi="Arial" w:cs="Arial"/>
          <w:color w:val="222222"/>
          <w:sz w:val="20"/>
          <w:szCs w:val="20"/>
          <w:shd w:val="clear" w:color="auto" w:fill="FFFFFF"/>
        </w:rPr>
        <w:t>2024)</w:t>
      </w:r>
      <w:r w:rsidR="0058188C" w:rsidRPr="004104BE">
        <w:rPr>
          <w:rFonts w:asciiTheme="minorBidi" w:hAnsiTheme="minorBidi"/>
        </w:rPr>
        <w:t xml:space="preserve"> developed</w:t>
      </w:r>
      <w:r w:rsidRPr="004104BE">
        <w:rPr>
          <w:rFonts w:asciiTheme="minorBidi" w:hAnsiTheme="minorBidi"/>
        </w:rPr>
        <w:t xml:space="preserve"> the Person </w:t>
      </w:r>
      <w:proofErr w:type="spellStart"/>
      <w:r w:rsidRPr="004104BE">
        <w:rPr>
          <w:rFonts w:asciiTheme="minorBidi" w:hAnsiTheme="minorBidi"/>
        </w:rPr>
        <w:t>Centred</w:t>
      </w:r>
      <w:proofErr w:type="spellEnd"/>
      <w:r w:rsidRPr="004104BE">
        <w:rPr>
          <w:rFonts w:asciiTheme="minorBidi" w:hAnsiTheme="minorBidi"/>
        </w:rPr>
        <w:t xml:space="preserve"> Practice Framework, which has gained wide acceptance in the field of nursing as well as allied health. The framework consists of four interrelated constructs: prerequisites, the care environment, person </w:t>
      </w:r>
      <w:proofErr w:type="spellStart"/>
      <w:r w:rsidRPr="004104BE">
        <w:rPr>
          <w:rFonts w:asciiTheme="minorBidi" w:hAnsiTheme="minorBidi"/>
        </w:rPr>
        <w:t>centred</w:t>
      </w:r>
      <w:proofErr w:type="spellEnd"/>
      <w:r w:rsidRPr="004104BE">
        <w:rPr>
          <w:rFonts w:asciiTheme="minorBidi" w:hAnsiTheme="minorBidi"/>
        </w:rPr>
        <w:t xml:space="preserve"> processes, and expected outcomes.</w:t>
      </w:r>
    </w:p>
    <w:p w14:paraId="3DD9BE32" w14:textId="77777777" w:rsidR="007211BB" w:rsidRPr="004104BE" w:rsidRDefault="007211BB" w:rsidP="0058188C">
      <w:pPr>
        <w:pStyle w:val="ds-markdown-paragraph"/>
        <w:spacing w:before="240" w:beforeAutospacing="0" w:after="240" w:afterAutospacing="0" w:line="360" w:lineRule="auto"/>
        <w:rPr>
          <w:rFonts w:asciiTheme="minorBidi" w:hAnsiTheme="minorBidi" w:cstheme="minorBidi"/>
          <w:color w:val="0F1115"/>
          <w:sz w:val="22"/>
          <w:szCs w:val="22"/>
        </w:rPr>
      </w:pPr>
      <w:r w:rsidRPr="004104BE">
        <w:rPr>
          <w:rFonts w:asciiTheme="minorBidi" w:hAnsiTheme="minorBidi" w:cstheme="minorBidi"/>
          <w:color w:val="0F1115"/>
          <w:sz w:val="22"/>
          <w:szCs w:val="22"/>
        </w:rPr>
        <w:t>Prerequisites refer to the attributes of the practitioner—professional competence, interpersonal skills, self</w:t>
      </w:r>
      <w:r w:rsidRPr="004104BE">
        <w:rPr>
          <w:rFonts w:asciiTheme="minorBidi" w:hAnsiTheme="minorBidi" w:cstheme="minorBidi"/>
          <w:color w:val="0F1115"/>
          <w:sz w:val="22"/>
          <w:szCs w:val="22"/>
        </w:rPr>
        <w:noBreakHyphen/>
        <w:t xml:space="preserve">awareness, and clarity of personal values. Without these, even the most supportive environment cannot sustain PCC. The care environment encompasses the </w:t>
      </w:r>
      <w:proofErr w:type="spellStart"/>
      <w:r w:rsidRPr="004104BE">
        <w:rPr>
          <w:rFonts w:asciiTheme="minorBidi" w:hAnsiTheme="minorBidi" w:cstheme="minorBidi"/>
          <w:color w:val="0F1115"/>
          <w:sz w:val="22"/>
          <w:szCs w:val="22"/>
        </w:rPr>
        <w:t>organisational</w:t>
      </w:r>
      <w:proofErr w:type="spellEnd"/>
      <w:r w:rsidRPr="004104BE">
        <w:rPr>
          <w:rFonts w:asciiTheme="minorBidi" w:hAnsiTheme="minorBidi" w:cstheme="minorBidi"/>
          <w:color w:val="0F1115"/>
          <w:sz w:val="22"/>
          <w:szCs w:val="22"/>
        </w:rPr>
        <w:t xml:space="preserve"> context, including supportive leadership, effective staff relationships, and a culture that permits innovation and risk</w:t>
      </w:r>
      <w:r w:rsidRPr="004104BE">
        <w:rPr>
          <w:rFonts w:asciiTheme="minorBidi" w:hAnsiTheme="minorBidi" w:cstheme="minorBidi"/>
          <w:color w:val="0F1115"/>
          <w:sz w:val="22"/>
          <w:szCs w:val="22"/>
        </w:rPr>
        <w:noBreakHyphen/>
        <w:t xml:space="preserve">taking. </w:t>
      </w:r>
      <w:r w:rsidR="0058188C">
        <w:rPr>
          <w:rFonts w:asciiTheme="minorBidi" w:hAnsiTheme="minorBidi"/>
        </w:rPr>
        <w:t>McCormack, (</w:t>
      </w:r>
      <w:r w:rsidR="0058188C">
        <w:rPr>
          <w:rFonts w:ascii="Arial" w:hAnsi="Arial" w:cs="Arial"/>
          <w:color w:val="222222"/>
          <w:sz w:val="20"/>
          <w:szCs w:val="20"/>
          <w:shd w:val="clear" w:color="auto" w:fill="FFFFFF"/>
        </w:rPr>
        <w:t>2024)</w:t>
      </w:r>
      <w:r w:rsidRPr="004104BE">
        <w:rPr>
          <w:rFonts w:asciiTheme="minorBidi" w:hAnsiTheme="minorBidi" w:cstheme="minorBidi"/>
          <w:color w:val="0F1115"/>
          <w:sz w:val="22"/>
          <w:szCs w:val="22"/>
        </w:rPr>
        <w:t xml:space="preserve"> argue that the environment can either enable or disable </w:t>
      </w:r>
      <w:proofErr w:type="spellStart"/>
      <w:r w:rsidRPr="004104BE">
        <w:rPr>
          <w:rFonts w:asciiTheme="minorBidi" w:hAnsiTheme="minorBidi" w:cstheme="minorBidi"/>
          <w:color w:val="0F1115"/>
          <w:sz w:val="22"/>
          <w:szCs w:val="22"/>
        </w:rPr>
        <w:t>person</w:t>
      </w:r>
      <w:r w:rsidRPr="004104BE">
        <w:rPr>
          <w:rFonts w:asciiTheme="minorBidi" w:hAnsiTheme="minorBidi" w:cstheme="minorBidi"/>
          <w:color w:val="0F1115"/>
          <w:sz w:val="22"/>
          <w:szCs w:val="22"/>
        </w:rPr>
        <w:noBreakHyphen/>
        <w:t>centred</w:t>
      </w:r>
      <w:proofErr w:type="spellEnd"/>
      <w:r w:rsidRPr="004104BE">
        <w:rPr>
          <w:rFonts w:asciiTheme="minorBidi" w:hAnsiTheme="minorBidi" w:cstheme="minorBidi"/>
          <w:color w:val="0F1115"/>
          <w:sz w:val="22"/>
          <w:szCs w:val="22"/>
        </w:rPr>
        <w:t xml:space="preserve"> practice.</w:t>
      </w:r>
    </w:p>
    <w:p w14:paraId="656253E3" w14:textId="77777777" w:rsidR="007211BB" w:rsidRPr="004104BE" w:rsidRDefault="007211BB" w:rsidP="004104BE">
      <w:pPr>
        <w:spacing w:line="360" w:lineRule="auto"/>
        <w:rPr>
          <w:rFonts w:asciiTheme="minorBidi" w:hAnsiTheme="minorBidi"/>
        </w:rPr>
      </w:pPr>
      <w:r w:rsidRPr="004104BE">
        <w:rPr>
          <w:rFonts w:asciiTheme="minorBidi" w:hAnsiTheme="minorBidi"/>
        </w:rPr>
        <w:t xml:space="preserve">Finally, the expected outcomes include person satisfaction with care, well-being, and the work environment. One of the strengths of the model is that it acknowledges the importance of simultaneously attending to the </w:t>
      </w:r>
      <w:proofErr w:type="spellStart"/>
      <w:r w:rsidRPr="004104BE">
        <w:rPr>
          <w:rFonts w:asciiTheme="minorBidi" w:hAnsiTheme="minorBidi"/>
        </w:rPr>
        <w:t>person-centred</w:t>
      </w:r>
      <w:proofErr w:type="spellEnd"/>
      <w:r w:rsidRPr="004104BE">
        <w:rPr>
          <w:rFonts w:asciiTheme="minorBidi" w:hAnsiTheme="minorBidi"/>
        </w:rPr>
        <w:t xml:space="preserve"> practitioner, the </w:t>
      </w:r>
      <w:proofErr w:type="spellStart"/>
      <w:r w:rsidRPr="004104BE">
        <w:rPr>
          <w:rFonts w:asciiTheme="minorBidi" w:hAnsiTheme="minorBidi"/>
        </w:rPr>
        <w:t>person-centred</w:t>
      </w:r>
      <w:proofErr w:type="spellEnd"/>
      <w:r w:rsidRPr="004104BE">
        <w:rPr>
          <w:rFonts w:asciiTheme="minorBidi" w:hAnsiTheme="minorBidi"/>
        </w:rPr>
        <w:t xml:space="preserve"> practice context, and the </w:t>
      </w:r>
      <w:proofErr w:type="spellStart"/>
      <w:r w:rsidRPr="004104BE">
        <w:rPr>
          <w:rFonts w:asciiTheme="minorBidi" w:hAnsiTheme="minorBidi"/>
        </w:rPr>
        <w:t>person-centred</w:t>
      </w:r>
      <w:proofErr w:type="spellEnd"/>
      <w:r w:rsidRPr="004104BE">
        <w:rPr>
          <w:rFonts w:asciiTheme="minorBidi" w:hAnsiTheme="minorBidi"/>
        </w:rPr>
        <w:t xml:space="preserve"> process in the PCC process. One of the weaknesses of the model is that it is complex and requires organizational commitment to the four constructs in order to fully implement PCC, which can be challenging in a resource-constrained environment (Nilsson, 2026).</w:t>
      </w:r>
    </w:p>
    <w:p w14:paraId="08390F7F" w14:textId="77777777" w:rsidR="007211BB" w:rsidRDefault="007211BB" w:rsidP="007211BB">
      <w:pPr>
        <w:pStyle w:val="Heading3"/>
        <w:spacing w:before="480" w:beforeAutospacing="0" w:after="240" w:afterAutospacing="0" w:line="450" w:lineRule="atLeast"/>
        <w:rPr>
          <w:rFonts w:ascii="Segoe UI" w:hAnsi="Segoe UI" w:cs="Segoe UI"/>
          <w:color w:val="0F1115"/>
          <w:sz w:val="30"/>
          <w:szCs w:val="30"/>
        </w:rPr>
      </w:pPr>
      <w:bookmarkStart w:id="20" w:name="_Toc225514237"/>
      <w:bookmarkStart w:id="21" w:name="_Toc225514430"/>
      <w:r>
        <w:rPr>
          <w:rFonts w:ascii="Segoe UI" w:hAnsi="Segoe UI" w:cs="Segoe UI"/>
          <w:color w:val="0F1115"/>
          <w:sz w:val="30"/>
          <w:szCs w:val="30"/>
        </w:rPr>
        <w:t>4. Ethical Fundamentals of Health and Social Care</w:t>
      </w:r>
      <w:bookmarkEnd w:id="20"/>
      <w:bookmarkEnd w:id="21"/>
    </w:p>
    <w:p w14:paraId="1014416C" w14:textId="77777777" w:rsidR="007211BB" w:rsidRPr="004104BE" w:rsidRDefault="007211BB" w:rsidP="004104BE">
      <w:pPr>
        <w:pStyle w:val="ds-markdown-paragraph"/>
        <w:spacing w:before="240" w:beforeAutospacing="0" w:after="240" w:afterAutospacing="0" w:line="360" w:lineRule="auto"/>
        <w:rPr>
          <w:rFonts w:asciiTheme="minorBidi" w:hAnsiTheme="minorBidi" w:cstheme="minorBidi"/>
          <w:color w:val="0F1115"/>
          <w:sz w:val="22"/>
          <w:szCs w:val="22"/>
        </w:rPr>
      </w:pPr>
      <w:r w:rsidRPr="004104BE">
        <w:rPr>
          <w:rFonts w:asciiTheme="minorBidi" w:hAnsiTheme="minorBidi" w:cstheme="minorBidi"/>
          <w:color w:val="0F1115"/>
          <w:sz w:val="22"/>
          <w:szCs w:val="22"/>
        </w:rPr>
        <w:t>Ethical principles underpin both PCC and PW, guiding how professionals should relate to service users and to each other. The four</w:t>
      </w:r>
      <w:r w:rsidRPr="004104BE">
        <w:rPr>
          <w:rFonts w:asciiTheme="minorBidi" w:hAnsiTheme="minorBidi" w:cstheme="minorBidi"/>
          <w:color w:val="0F1115"/>
          <w:sz w:val="22"/>
          <w:szCs w:val="22"/>
        </w:rPr>
        <w:noBreakHyphen/>
        <w:t xml:space="preserve">principles approach of Beauchamp and Childress </w:t>
      </w:r>
      <w:r w:rsidR="00E735FC">
        <w:rPr>
          <w:rFonts w:asciiTheme="minorBidi" w:hAnsiTheme="minorBidi" w:cstheme="minorBidi"/>
          <w:color w:val="0F1115"/>
          <w:sz w:val="22"/>
          <w:szCs w:val="22"/>
        </w:rPr>
        <w:t>(2022</w:t>
      </w:r>
      <w:r w:rsidRPr="004104BE">
        <w:rPr>
          <w:rFonts w:asciiTheme="minorBidi" w:hAnsiTheme="minorBidi" w:cstheme="minorBidi"/>
          <w:color w:val="0F1115"/>
          <w:sz w:val="22"/>
          <w:szCs w:val="22"/>
        </w:rPr>
        <w:t>) remains foundational: respect for autonomy, beneficence, non</w:t>
      </w:r>
      <w:r w:rsidRPr="004104BE">
        <w:rPr>
          <w:rFonts w:asciiTheme="minorBidi" w:hAnsiTheme="minorBidi" w:cstheme="minorBidi"/>
          <w:color w:val="0F1115"/>
          <w:sz w:val="22"/>
          <w:szCs w:val="22"/>
        </w:rPr>
        <w:noBreakHyphen/>
        <w:t>maleficence, and justice.</w:t>
      </w:r>
    </w:p>
    <w:p w14:paraId="741E8E3E" w14:textId="77777777" w:rsidR="007211BB" w:rsidRPr="004104BE" w:rsidRDefault="007211BB" w:rsidP="004104BE">
      <w:pPr>
        <w:spacing w:line="360" w:lineRule="auto"/>
        <w:rPr>
          <w:rFonts w:asciiTheme="minorBidi" w:hAnsiTheme="minorBidi"/>
        </w:rPr>
      </w:pPr>
      <w:r w:rsidRPr="004104BE">
        <w:rPr>
          <w:rFonts w:asciiTheme="minorBidi" w:hAnsiTheme="minorBidi"/>
        </w:rPr>
        <w:t>Respect for autonomy is closely related to PCC. It asks professionals to recognize the right of individuals to make decisions about their own care, even if the decisions are not in line with the recommendations made by professionals. In this respect, it entails providing information to the service users in a way that encourages them to participate. Beneficence, which entails the duty to provide services for the benefit of the recipient, should be viewed in relation to the recipient rather than the provider.</w:t>
      </w:r>
    </w:p>
    <w:p w14:paraId="5343E1B3" w14:textId="77777777" w:rsidR="00F77890" w:rsidRPr="004104BE" w:rsidRDefault="00F77890" w:rsidP="000149AB">
      <w:pPr>
        <w:spacing w:line="360" w:lineRule="auto"/>
        <w:rPr>
          <w:rFonts w:asciiTheme="minorBidi" w:hAnsiTheme="minorBidi"/>
        </w:rPr>
      </w:pPr>
      <w:r w:rsidRPr="004104BE">
        <w:rPr>
          <w:rFonts w:asciiTheme="minorBidi" w:hAnsiTheme="minorBidi"/>
        </w:rPr>
        <w:t xml:space="preserve">The importance of non-maleficence, i.e., the duty to avoid harm, is especially relevant to PW. Fragmented care, poor communication, and unresolved conflicts can all have a detrimental effect, including delayed or duplicated care, and increased distress to the service users </w:t>
      </w:r>
      <w:r w:rsidR="000149AB">
        <w:rPr>
          <w:rFonts w:asciiTheme="minorBidi" w:hAnsiTheme="minorBidi"/>
        </w:rPr>
        <w:t>(</w:t>
      </w:r>
      <w:proofErr w:type="spellStart"/>
      <w:r w:rsidR="000149AB">
        <w:rPr>
          <w:rFonts w:ascii="Arial" w:hAnsi="Arial" w:cs="Arial"/>
          <w:color w:val="222222"/>
          <w:sz w:val="20"/>
          <w:szCs w:val="20"/>
          <w:shd w:val="clear" w:color="auto" w:fill="FFFFFF"/>
        </w:rPr>
        <w:t>Shepanski</w:t>
      </w:r>
      <w:proofErr w:type="spellEnd"/>
      <w:r w:rsidR="000149AB">
        <w:rPr>
          <w:rFonts w:ascii="Arial" w:hAnsi="Arial" w:cs="Arial"/>
          <w:color w:val="222222"/>
          <w:sz w:val="20"/>
          <w:szCs w:val="20"/>
          <w:shd w:val="clear" w:color="auto" w:fill="FFFFFF"/>
        </w:rPr>
        <w:t xml:space="preserve">, 2023) </w:t>
      </w:r>
      <w:r w:rsidR="000149AB" w:rsidRPr="004104BE">
        <w:rPr>
          <w:rFonts w:asciiTheme="minorBidi" w:hAnsiTheme="minorBidi"/>
        </w:rPr>
        <w:t>the</w:t>
      </w:r>
      <w:r w:rsidRPr="004104BE">
        <w:rPr>
          <w:rFonts w:asciiTheme="minorBidi" w:hAnsiTheme="minorBidi"/>
        </w:rPr>
        <w:t xml:space="preserve"> principle of justice in care practice implies a fair distribution of benefits and burdens. This involves ensuring that PCC is not only available to those with more social capital but to all, in order to address the inequalities in health care in the UK.</w:t>
      </w:r>
    </w:p>
    <w:p w14:paraId="6E366F8F" w14:textId="77777777" w:rsidR="00F77890" w:rsidRDefault="00F77890" w:rsidP="00F77890">
      <w:pPr>
        <w:pStyle w:val="Heading3"/>
        <w:spacing w:before="480" w:beforeAutospacing="0" w:after="240" w:afterAutospacing="0" w:line="450" w:lineRule="atLeast"/>
        <w:rPr>
          <w:rFonts w:ascii="Segoe UI" w:hAnsi="Segoe UI" w:cs="Segoe UI"/>
          <w:color w:val="0F1115"/>
          <w:sz w:val="30"/>
          <w:szCs w:val="30"/>
        </w:rPr>
      </w:pPr>
      <w:bookmarkStart w:id="22" w:name="_Toc225514238"/>
      <w:bookmarkStart w:id="23" w:name="_Toc225514431"/>
      <w:r>
        <w:rPr>
          <w:rFonts w:ascii="Segoe UI" w:hAnsi="Segoe UI" w:cs="Segoe UI"/>
          <w:color w:val="0F1115"/>
          <w:sz w:val="30"/>
          <w:szCs w:val="30"/>
        </w:rPr>
        <w:t>5. Evaluating Partnership Working in Health and Social Care</w:t>
      </w:r>
      <w:bookmarkEnd w:id="22"/>
      <w:bookmarkEnd w:id="23"/>
    </w:p>
    <w:p w14:paraId="3962B17E" w14:textId="77777777" w:rsidR="00F77890" w:rsidRPr="004104BE" w:rsidRDefault="00F77890" w:rsidP="005E467B">
      <w:pPr>
        <w:pStyle w:val="ds-markdown-paragraph"/>
        <w:spacing w:before="240" w:beforeAutospacing="0" w:after="240" w:afterAutospacing="0" w:line="360" w:lineRule="auto"/>
        <w:rPr>
          <w:rFonts w:asciiTheme="minorBidi" w:hAnsiTheme="minorBidi" w:cstheme="minorBidi"/>
          <w:color w:val="0F1115"/>
          <w:sz w:val="22"/>
          <w:szCs w:val="22"/>
        </w:rPr>
      </w:pPr>
      <w:r w:rsidRPr="004104BE">
        <w:rPr>
          <w:rFonts w:asciiTheme="minorBidi" w:hAnsiTheme="minorBidi" w:cstheme="minorBidi"/>
          <w:color w:val="0F1115"/>
          <w:sz w:val="22"/>
          <w:szCs w:val="22"/>
        </w:rPr>
        <w:t xml:space="preserve">Partnership working refers to collaborative arrangements between health and social care </w:t>
      </w:r>
      <w:proofErr w:type="spellStart"/>
      <w:r w:rsidRPr="004104BE">
        <w:rPr>
          <w:rFonts w:asciiTheme="minorBidi" w:hAnsiTheme="minorBidi" w:cstheme="minorBidi"/>
          <w:color w:val="0F1115"/>
          <w:sz w:val="22"/>
          <w:szCs w:val="22"/>
        </w:rPr>
        <w:t>organisations</w:t>
      </w:r>
      <w:proofErr w:type="spellEnd"/>
      <w:r w:rsidRPr="004104BE">
        <w:rPr>
          <w:rFonts w:asciiTheme="minorBidi" w:hAnsiTheme="minorBidi" w:cstheme="minorBidi"/>
          <w:color w:val="0F1115"/>
          <w:sz w:val="22"/>
          <w:szCs w:val="22"/>
        </w:rPr>
        <w:t xml:space="preserve">, professionals, service users, and carers, designed to achieve outcomes that no single agency could accomplish alone. Effective PW is </w:t>
      </w:r>
      <w:proofErr w:type="spellStart"/>
      <w:r w:rsidRPr="004104BE">
        <w:rPr>
          <w:rFonts w:asciiTheme="minorBidi" w:hAnsiTheme="minorBidi" w:cstheme="minorBidi"/>
          <w:color w:val="0F1115"/>
          <w:sz w:val="22"/>
          <w:szCs w:val="22"/>
        </w:rPr>
        <w:t>characterised</w:t>
      </w:r>
      <w:proofErr w:type="spellEnd"/>
      <w:r w:rsidRPr="004104BE">
        <w:rPr>
          <w:rFonts w:asciiTheme="minorBidi" w:hAnsiTheme="minorBidi" w:cstheme="minorBidi"/>
          <w:color w:val="0F1115"/>
          <w:sz w:val="22"/>
          <w:szCs w:val="22"/>
        </w:rPr>
        <w:t xml:space="preserve"> by shared goals, mutual trust, and a commitment to co</w:t>
      </w:r>
      <w:r w:rsidRPr="004104BE">
        <w:rPr>
          <w:rFonts w:asciiTheme="minorBidi" w:hAnsiTheme="minorBidi" w:cstheme="minorBidi"/>
          <w:color w:val="0F1115"/>
          <w:sz w:val="22"/>
          <w:szCs w:val="22"/>
        </w:rPr>
        <w:noBreakHyphen/>
        <w:t>production.</w:t>
      </w:r>
      <w:r w:rsidR="009C26E8" w:rsidRPr="009C26E8">
        <w:rPr>
          <w:rFonts w:ascii="Segoe UI" w:hAnsi="Segoe UI" w:cs="Segoe UI"/>
          <w:color w:val="0F1115"/>
        </w:rPr>
        <w:t xml:space="preserve"> </w:t>
      </w:r>
    </w:p>
    <w:p w14:paraId="1A4001DF" w14:textId="77777777" w:rsidR="007211BB" w:rsidRPr="004104BE" w:rsidRDefault="00F77890" w:rsidP="004104BE">
      <w:pPr>
        <w:spacing w:line="360" w:lineRule="auto"/>
        <w:rPr>
          <w:rFonts w:asciiTheme="minorBidi" w:hAnsiTheme="minorBidi"/>
        </w:rPr>
      </w:pPr>
      <w:r w:rsidRPr="004104BE">
        <w:rPr>
          <w:rFonts w:asciiTheme="minorBidi" w:hAnsiTheme="minorBidi"/>
        </w:rPr>
        <w:t>The benefits of PW are compelling. When partners work together, care is more seamless, meaning that there is no duplication of efforts or gaps. According to My Home Life England, by 2026, it was noted that when PW is effective, it is built on adult-to-adult relationships, not parent-child relationships, resulting in well-designed services, improved hospital discharge, and a more resilient care sector. Service users experience fewer handover issues and feel that their care is well-coordinated.</w:t>
      </w:r>
    </w:p>
    <w:p w14:paraId="24948C59" w14:textId="77777777" w:rsidR="00F77890" w:rsidRPr="004104BE" w:rsidRDefault="009C26E8" w:rsidP="00315739">
      <w:pPr>
        <w:spacing w:line="360" w:lineRule="auto"/>
        <w:rPr>
          <w:rFonts w:asciiTheme="minorBidi" w:hAnsiTheme="minorBidi"/>
        </w:rPr>
      </w:pPr>
      <w:r>
        <w:rPr>
          <w:rFonts w:asciiTheme="minorBidi" w:hAnsiTheme="minorBidi"/>
        </w:rPr>
        <w:t xml:space="preserve">According to </w:t>
      </w:r>
      <w:r w:rsidR="00315739">
        <w:rPr>
          <w:rFonts w:ascii="Arial" w:hAnsi="Arial" w:cs="Arial"/>
          <w:color w:val="222222"/>
          <w:sz w:val="20"/>
          <w:szCs w:val="20"/>
          <w:shd w:val="clear" w:color="auto" w:fill="FFFFFF"/>
        </w:rPr>
        <w:t>Price, (2026).</w:t>
      </w:r>
      <w:r w:rsidR="00315739">
        <w:rPr>
          <w:rFonts w:ascii="Segoe UI" w:hAnsi="Segoe UI" w:cs="Segoe UI"/>
          <w:color w:val="0F1115"/>
        </w:rPr>
        <w:t xml:space="preserve"> </w:t>
      </w:r>
      <w:r w:rsidR="00315739" w:rsidRPr="004104BE">
        <w:rPr>
          <w:rFonts w:asciiTheme="minorBidi" w:hAnsiTheme="minorBidi"/>
        </w:rPr>
        <w:t>Despite</w:t>
      </w:r>
      <w:r w:rsidR="00F77890" w:rsidRPr="004104BE">
        <w:rPr>
          <w:rFonts w:asciiTheme="minorBidi" w:hAnsiTheme="minorBidi"/>
        </w:rPr>
        <w:t xml:space="preserve"> these benefits, PW also faces challenges. The </w:t>
      </w:r>
      <w:proofErr w:type="spellStart"/>
      <w:r w:rsidR="00F77890" w:rsidRPr="004104BE">
        <w:rPr>
          <w:rFonts w:asciiTheme="minorBidi" w:hAnsiTheme="minorBidi"/>
        </w:rPr>
        <w:t>organisational</w:t>
      </w:r>
      <w:proofErr w:type="spellEnd"/>
      <w:r w:rsidR="00F77890" w:rsidRPr="004104BE">
        <w:rPr>
          <w:rFonts w:asciiTheme="minorBidi" w:hAnsiTheme="minorBidi"/>
        </w:rPr>
        <w:t xml:space="preserve"> boundaries, which are created by different funding streams, different structures for accountabilities, and different professional cultures, can act as barriers to col</w:t>
      </w:r>
      <w:r w:rsidR="00315739">
        <w:rPr>
          <w:rFonts w:asciiTheme="minorBidi" w:hAnsiTheme="minorBidi"/>
        </w:rPr>
        <w:t>laboration.</w:t>
      </w:r>
      <w:r w:rsidR="00F77890" w:rsidRPr="004104BE">
        <w:rPr>
          <w:rFonts w:asciiTheme="minorBidi" w:hAnsiTheme="minorBidi"/>
        </w:rPr>
        <w:t xml:space="preserve"> have identified power imbalances as a critical challenge to collaboration in PW. The dominance of the NHS in decision-making, with social care services feeling like they are not part of the collaboration, can make PW a bureaucratic exercise rather than a collaboration.</w:t>
      </w:r>
    </w:p>
    <w:p w14:paraId="71D8FEFB" w14:textId="77777777" w:rsidR="00F77890" w:rsidRDefault="00F77890" w:rsidP="00F77890">
      <w:pPr>
        <w:pStyle w:val="Heading3"/>
        <w:spacing w:before="480" w:beforeAutospacing="0" w:after="240" w:afterAutospacing="0" w:line="450" w:lineRule="atLeast"/>
        <w:rPr>
          <w:rFonts w:ascii="Segoe UI" w:hAnsi="Segoe UI" w:cs="Segoe UI"/>
          <w:color w:val="0F1115"/>
          <w:sz w:val="30"/>
          <w:szCs w:val="30"/>
        </w:rPr>
      </w:pPr>
      <w:bookmarkStart w:id="24" w:name="_Toc225514239"/>
      <w:bookmarkStart w:id="25" w:name="_Toc225514432"/>
      <w:r>
        <w:rPr>
          <w:rFonts w:ascii="Segoe UI" w:hAnsi="Segoe UI" w:cs="Segoe UI"/>
          <w:color w:val="0F1115"/>
          <w:sz w:val="30"/>
          <w:szCs w:val="30"/>
        </w:rPr>
        <w:t>6. Practical Application: Partnership Working in Integrated Care Systems</w:t>
      </w:r>
      <w:bookmarkEnd w:id="24"/>
      <w:bookmarkEnd w:id="25"/>
    </w:p>
    <w:p w14:paraId="2CBADC6B" w14:textId="77777777" w:rsidR="00F77890" w:rsidRPr="004104BE" w:rsidRDefault="00F77890" w:rsidP="0058188C">
      <w:pPr>
        <w:spacing w:line="360" w:lineRule="auto"/>
        <w:rPr>
          <w:rFonts w:asciiTheme="minorBidi" w:hAnsiTheme="minorBidi"/>
        </w:rPr>
      </w:pPr>
      <w:r w:rsidRPr="004104BE">
        <w:rPr>
          <w:rFonts w:asciiTheme="minorBidi" w:hAnsiTheme="minorBidi"/>
        </w:rPr>
        <w:t xml:space="preserve">The Health and Care Act 2022 has established ICSs as the framework for PW in England. ICSs involve collaboration between NHS </w:t>
      </w:r>
      <w:proofErr w:type="spellStart"/>
      <w:r w:rsidRPr="004104BE">
        <w:rPr>
          <w:rFonts w:asciiTheme="minorBidi" w:hAnsiTheme="minorBidi"/>
        </w:rPr>
        <w:t>organisations</w:t>
      </w:r>
      <w:proofErr w:type="spellEnd"/>
      <w:r w:rsidRPr="004104BE">
        <w:rPr>
          <w:rFonts w:asciiTheme="minorBidi" w:hAnsiTheme="minorBidi"/>
        </w:rPr>
        <w:t>, local authorities, and other partners in the delivery of health services. An example of a collaborative approach in the delivery of PW services was established in Lancashire and South Cumbria, where the Integrated Care Board, five local authorities, and other stakeholders agreed to a Memorandum of Understanding (MoU) in the quest to enhance the quality of life for the residents.</w:t>
      </w:r>
      <w:r w:rsidR="0058188C">
        <w:rPr>
          <w:rFonts w:ascii="Arial" w:hAnsi="Arial" w:cs="Arial"/>
          <w:color w:val="222222"/>
          <w:sz w:val="20"/>
          <w:szCs w:val="20"/>
          <w:shd w:val="clear" w:color="auto" w:fill="FFFFFF"/>
        </w:rPr>
        <w:t xml:space="preserve"> (Hewitt, 2023)</w:t>
      </w:r>
    </w:p>
    <w:p w14:paraId="17A6CAAB" w14:textId="77777777" w:rsidR="00F77890" w:rsidRPr="004104BE" w:rsidRDefault="00F77890" w:rsidP="00315739">
      <w:pPr>
        <w:spacing w:line="360" w:lineRule="auto"/>
        <w:rPr>
          <w:rFonts w:asciiTheme="minorBidi" w:hAnsiTheme="minorBidi"/>
        </w:rPr>
      </w:pPr>
      <w:r w:rsidRPr="004104BE">
        <w:rPr>
          <w:rFonts w:asciiTheme="minorBidi" w:hAnsiTheme="minorBidi"/>
        </w:rPr>
        <w:t>The above case study shows how PW works in practice. In this MoU, it is stated that the principles that both organizations are working towards are transparency, mutual accountability, and decision-making. It also states that both organizations are committing to creating a preventative strength-based service. It also states that both organizations will work together to develop a proposal</w:t>
      </w:r>
      <w:r w:rsidR="009C26E8" w:rsidRPr="009C26E8">
        <w:rPr>
          <w:rFonts w:ascii="Segoe UI" w:hAnsi="Segoe UI" w:cs="Segoe UI"/>
          <w:color w:val="0F1115"/>
        </w:rPr>
        <w:t xml:space="preserve"> </w:t>
      </w:r>
      <w:r w:rsidR="00315739">
        <w:rPr>
          <w:rFonts w:ascii="Segoe UI" w:hAnsi="Segoe UI" w:cs="Segoe UI"/>
          <w:color w:val="0F1115"/>
        </w:rPr>
        <w:t>.</w:t>
      </w:r>
      <w:r w:rsidR="00315739">
        <w:rPr>
          <w:rFonts w:ascii="Arial" w:hAnsi="Arial" w:cs="Arial"/>
          <w:color w:val="222222"/>
          <w:sz w:val="20"/>
          <w:szCs w:val="20"/>
          <w:shd w:val="clear" w:color="auto" w:fill="FFFFFF"/>
        </w:rPr>
        <w:t>Gabriel, (2025). </w:t>
      </w:r>
      <w:r w:rsidRPr="004104BE">
        <w:rPr>
          <w:rFonts w:asciiTheme="minorBidi" w:hAnsiTheme="minorBidi"/>
        </w:rPr>
        <w:t>This is in line with the adult adult dynamic that My Home Life England (2026) recommends.</w:t>
      </w:r>
    </w:p>
    <w:p w14:paraId="74B9B4C5" w14:textId="77777777" w:rsidR="00F77890" w:rsidRPr="004104BE" w:rsidRDefault="00F77890" w:rsidP="004104BE">
      <w:pPr>
        <w:spacing w:line="360" w:lineRule="auto"/>
        <w:rPr>
          <w:rFonts w:asciiTheme="minorBidi" w:hAnsiTheme="minorBidi"/>
        </w:rPr>
      </w:pPr>
      <w:r w:rsidRPr="004104BE">
        <w:rPr>
          <w:rFonts w:asciiTheme="minorBidi" w:hAnsiTheme="minorBidi"/>
        </w:rPr>
        <w:t>The lessons learned in Lancashire and in South Cumbria are a good reminder that, whilst a framework of agreements may provide a clear base, the key to success always lies in relationship building and a commitment to common goals. Partnership working is built on relationship, not structure.</w:t>
      </w:r>
    </w:p>
    <w:p w14:paraId="1358E1AE" w14:textId="77777777" w:rsidR="00266AE2" w:rsidRDefault="00266AE2" w:rsidP="00F77890">
      <w:pPr>
        <w:pStyle w:val="Heading3"/>
        <w:spacing w:before="480" w:beforeAutospacing="0" w:after="240" w:afterAutospacing="0" w:line="450" w:lineRule="atLeast"/>
        <w:rPr>
          <w:rFonts w:ascii="Segoe UI" w:hAnsi="Segoe UI" w:cs="Segoe UI"/>
          <w:color w:val="0F1115"/>
          <w:sz w:val="30"/>
          <w:szCs w:val="30"/>
        </w:rPr>
      </w:pPr>
      <w:bookmarkStart w:id="26" w:name="_Toc225514240"/>
    </w:p>
    <w:p w14:paraId="53D68A48" w14:textId="77777777" w:rsidR="00F77890" w:rsidRDefault="00F77890" w:rsidP="00F77890">
      <w:pPr>
        <w:pStyle w:val="Heading3"/>
        <w:spacing w:before="480" w:beforeAutospacing="0" w:after="240" w:afterAutospacing="0" w:line="450" w:lineRule="atLeast"/>
        <w:rPr>
          <w:rFonts w:ascii="Segoe UI" w:hAnsi="Segoe UI" w:cs="Segoe UI"/>
          <w:color w:val="0F1115"/>
          <w:sz w:val="30"/>
          <w:szCs w:val="30"/>
        </w:rPr>
      </w:pPr>
      <w:bookmarkStart w:id="27" w:name="_Toc225514433"/>
      <w:r>
        <w:rPr>
          <w:rFonts w:ascii="Segoe UI" w:hAnsi="Segoe UI" w:cs="Segoe UI"/>
          <w:color w:val="0F1115"/>
          <w:sz w:val="30"/>
          <w:szCs w:val="30"/>
        </w:rPr>
        <w:t>7. Policy and Legislation</w:t>
      </w:r>
      <w:bookmarkEnd w:id="26"/>
      <w:bookmarkEnd w:id="27"/>
    </w:p>
    <w:p w14:paraId="6883BD3A" w14:textId="77777777" w:rsidR="00F77890" w:rsidRPr="004104BE" w:rsidRDefault="00F77890" w:rsidP="00BE4040">
      <w:pPr>
        <w:spacing w:line="360" w:lineRule="auto"/>
        <w:rPr>
          <w:rFonts w:asciiTheme="minorBidi" w:hAnsiTheme="minorBidi"/>
        </w:rPr>
      </w:pPr>
      <w:r w:rsidRPr="004104BE">
        <w:rPr>
          <w:rFonts w:asciiTheme="minorBidi" w:hAnsiTheme="minorBidi"/>
        </w:rPr>
        <w:t>Recent policy and legislation have been instrumental in promoting the integration of PCC and PW. For instance, the Health and Care Act 2022 is arguably the most important change in a decade. It puts ICSs on a statutory basis and removes barriers to data sharing and joint decision-making. It allows a more integrated approach to planning and delivery of services (</w:t>
      </w:r>
      <w:r w:rsidR="00BE4040">
        <w:rPr>
          <w:rFonts w:ascii="Arial" w:hAnsi="Arial" w:cs="Arial"/>
          <w:color w:val="222222"/>
          <w:sz w:val="20"/>
          <w:szCs w:val="20"/>
          <w:shd w:val="clear" w:color="auto" w:fill="FFFFFF"/>
        </w:rPr>
        <w:t xml:space="preserve">Thomson and Chatterjee, 2024.) </w:t>
      </w:r>
      <w:r w:rsidRPr="004104BE">
        <w:rPr>
          <w:rFonts w:asciiTheme="minorBidi" w:hAnsiTheme="minorBidi"/>
        </w:rPr>
        <w:t>It also recognizes the role of local authorities in determining health services. It is a reflection of a commitment to place-based partnership.</w:t>
      </w:r>
      <w:r w:rsidR="009C26E8">
        <w:rPr>
          <w:rFonts w:ascii="Segoe UI" w:hAnsi="Segoe UI" w:cs="Segoe UI"/>
          <w:color w:val="0F1115"/>
        </w:rPr>
        <w:t xml:space="preserve"> (</w:t>
      </w:r>
      <w:proofErr w:type="spellStart"/>
      <w:r w:rsidR="00BE4040">
        <w:rPr>
          <w:rFonts w:ascii="Arial" w:hAnsi="Arial" w:cs="Arial"/>
          <w:color w:val="222222"/>
          <w:sz w:val="20"/>
          <w:szCs w:val="20"/>
          <w:shd w:val="clear" w:color="auto" w:fill="FFFFFF"/>
        </w:rPr>
        <w:t>Slee</w:t>
      </w:r>
      <w:proofErr w:type="spellEnd"/>
      <w:r w:rsidR="00BE4040">
        <w:rPr>
          <w:rFonts w:ascii="Arial" w:hAnsi="Arial" w:cs="Arial"/>
          <w:color w:val="222222"/>
          <w:sz w:val="20"/>
          <w:szCs w:val="20"/>
          <w:shd w:val="clear" w:color="auto" w:fill="FFFFFF"/>
        </w:rPr>
        <w:t xml:space="preserve"> and Hopkins, 2024).</w:t>
      </w:r>
    </w:p>
    <w:p w14:paraId="20FF4871" w14:textId="77777777" w:rsidR="004104BE" w:rsidRPr="004104BE" w:rsidRDefault="004104BE" w:rsidP="004104BE">
      <w:pPr>
        <w:spacing w:line="360" w:lineRule="auto"/>
        <w:rPr>
          <w:rFonts w:asciiTheme="minorBidi" w:hAnsiTheme="minorBidi"/>
        </w:rPr>
      </w:pPr>
      <w:r w:rsidRPr="004104BE">
        <w:rPr>
          <w:rFonts w:asciiTheme="minorBidi" w:hAnsiTheme="minorBidi"/>
        </w:rPr>
        <w:t xml:space="preserve">Apart from the above act, the NHS Long Term Plan (NHS England, 2019) provides the strategic direction for the NHS. This document provides the commitment to making </w:t>
      </w:r>
      <w:proofErr w:type="spellStart"/>
      <w:r w:rsidRPr="004104BE">
        <w:rPr>
          <w:rFonts w:asciiTheme="minorBidi" w:hAnsiTheme="minorBidi"/>
        </w:rPr>
        <w:t>personalised</w:t>
      </w:r>
      <w:proofErr w:type="spellEnd"/>
      <w:r w:rsidRPr="004104BE">
        <w:rPr>
          <w:rFonts w:asciiTheme="minorBidi" w:hAnsiTheme="minorBidi"/>
        </w:rPr>
        <w:t xml:space="preserve"> care business as usual, including targets for shared decision making, social prescribing, and </w:t>
      </w:r>
      <w:proofErr w:type="spellStart"/>
      <w:r w:rsidRPr="004104BE">
        <w:rPr>
          <w:rFonts w:asciiTheme="minorBidi" w:hAnsiTheme="minorBidi"/>
        </w:rPr>
        <w:t>personalised</w:t>
      </w:r>
      <w:proofErr w:type="spellEnd"/>
      <w:r w:rsidRPr="004104BE">
        <w:rPr>
          <w:rFonts w:asciiTheme="minorBidi" w:hAnsiTheme="minorBidi"/>
        </w:rPr>
        <w:t xml:space="preserve"> care and support plans. Partnership working is also related to the concept of </w:t>
      </w:r>
      <w:proofErr w:type="spellStart"/>
      <w:r w:rsidRPr="004104BE">
        <w:rPr>
          <w:rFonts w:asciiTheme="minorBidi" w:hAnsiTheme="minorBidi"/>
        </w:rPr>
        <w:t>personalised</w:t>
      </w:r>
      <w:proofErr w:type="spellEnd"/>
      <w:r w:rsidRPr="004104BE">
        <w:rPr>
          <w:rFonts w:asciiTheme="minorBidi" w:hAnsiTheme="minorBidi"/>
        </w:rPr>
        <w:t xml:space="preserve"> care in the plan, </w:t>
      </w:r>
      <w:proofErr w:type="spellStart"/>
      <w:r w:rsidRPr="004104BE">
        <w:rPr>
          <w:rFonts w:asciiTheme="minorBidi" w:hAnsiTheme="minorBidi"/>
        </w:rPr>
        <w:t>recognising</w:t>
      </w:r>
      <w:proofErr w:type="spellEnd"/>
      <w:r w:rsidRPr="004104BE">
        <w:rPr>
          <w:rFonts w:asciiTheme="minorBidi" w:hAnsiTheme="minorBidi"/>
        </w:rPr>
        <w:t xml:space="preserve"> the value of integrated services in achieving </w:t>
      </w:r>
      <w:proofErr w:type="spellStart"/>
      <w:r w:rsidRPr="004104BE">
        <w:rPr>
          <w:rFonts w:asciiTheme="minorBidi" w:hAnsiTheme="minorBidi"/>
        </w:rPr>
        <w:t>person-centred</w:t>
      </w:r>
      <w:proofErr w:type="spellEnd"/>
      <w:r w:rsidRPr="004104BE">
        <w:rPr>
          <w:rFonts w:asciiTheme="minorBidi" w:hAnsiTheme="minorBidi"/>
        </w:rPr>
        <w:t xml:space="preserve"> outcomes. The above acts provide a cohesive framework for change, though the implementation of the framework is a challenge.</w:t>
      </w:r>
    </w:p>
    <w:p w14:paraId="7C8ADFE1" w14:textId="77777777" w:rsidR="004104BE" w:rsidRPr="004104BE" w:rsidRDefault="004104BE" w:rsidP="004104BE">
      <w:pPr>
        <w:pStyle w:val="Heading3"/>
        <w:spacing w:before="480" w:beforeAutospacing="0" w:after="240" w:afterAutospacing="0" w:line="450" w:lineRule="atLeast"/>
        <w:rPr>
          <w:rFonts w:ascii="Segoe UI" w:hAnsi="Segoe UI" w:cs="Segoe UI"/>
          <w:color w:val="0F1115"/>
          <w:sz w:val="30"/>
          <w:szCs w:val="30"/>
        </w:rPr>
      </w:pPr>
      <w:bookmarkStart w:id="28" w:name="_Toc225514241"/>
      <w:bookmarkStart w:id="29" w:name="_Toc225514434"/>
      <w:r>
        <w:rPr>
          <w:rFonts w:ascii="Segoe UI" w:hAnsi="Segoe UI" w:cs="Segoe UI"/>
          <w:color w:val="0F1115"/>
          <w:sz w:val="30"/>
          <w:szCs w:val="30"/>
        </w:rPr>
        <w:t>8. Recommendations for Future Development</w:t>
      </w:r>
      <w:bookmarkEnd w:id="28"/>
      <w:bookmarkEnd w:id="29"/>
    </w:p>
    <w:p w14:paraId="76BBA9DB" w14:textId="77777777" w:rsidR="004104BE" w:rsidRPr="004104BE" w:rsidRDefault="004104BE" w:rsidP="004104BE">
      <w:pPr>
        <w:spacing w:line="360" w:lineRule="auto"/>
        <w:rPr>
          <w:rFonts w:asciiTheme="minorBidi" w:hAnsiTheme="minorBidi"/>
        </w:rPr>
      </w:pPr>
      <w:r w:rsidRPr="004104BE">
        <w:rPr>
          <w:rFonts w:asciiTheme="minorBidi" w:hAnsiTheme="minorBidi"/>
        </w:rPr>
        <w:t>Based on this analysis, a set of recommendations is developed that can be used to advance PCC and PW in the UK.</w:t>
      </w:r>
    </w:p>
    <w:p w14:paraId="18701EC9" w14:textId="77777777" w:rsidR="004104BE" w:rsidRPr="004104BE" w:rsidRDefault="004104BE" w:rsidP="004104BE">
      <w:pPr>
        <w:spacing w:line="360" w:lineRule="auto"/>
        <w:rPr>
          <w:rFonts w:asciiTheme="minorBidi" w:hAnsiTheme="minorBidi"/>
        </w:rPr>
      </w:pPr>
      <w:r w:rsidRPr="004104BE">
        <w:rPr>
          <w:rFonts w:asciiTheme="minorBidi" w:hAnsiTheme="minorBidi"/>
        </w:rPr>
        <w:t xml:space="preserve">The first is to ensure that adult to adult relationships are a guiding principle in all health and social care interactions. It is recommended that commissioners and providers adopt relational approaches that value adult expertise equally between providers and service users (My Home Life England, 2026). Secondly, </w:t>
      </w:r>
      <w:proofErr w:type="spellStart"/>
      <w:r w:rsidRPr="004104BE">
        <w:rPr>
          <w:rFonts w:asciiTheme="minorBidi" w:hAnsiTheme="minorBidi"/>
        </w:rPr>
        <w:t>organisational</w:t>
      </w:r>
      <w:proofErr w:type="spellEnd"/>
      <w:r w:rsidRPr="004104BE">
        <w:rPr>
          <w:rFonts w:asciiTheme="minorBidi" w:hAnsiTheme="minorBidi"/>
        </w:rPr>
        <w:t xml:space="preserve"> support for PCC needs to be strengthened by investing in leadership and care environments that are well-staffed. According to Nilsson (2026), middle managers are critical in enabling or disabling </w:t>
      </w:r>
      <w:proofErr w:type="spellStart"/>
      <w:r w:rsidRPr="004104BE">
        <w:rPr>
          <w:rFonts w:asciiTheme="minorBidi" w:hAnsiTheme="minorBidi"/>
        </w:rPr>
        <w:t>person-centred</w:t>
      </w:r>
      <w:proofErr w:type="spellEnd"/>
      <w:r w:rsidRPr="004104BE">
        <w:rPr>
          <w:rFonts w:asciiTheme="minorBidi" w:hAnsiTheme="minorBidi"/>
        </w:rPr>
        <w:t xml:space="preserve"> practice.</w:t>
      </w:r>
    </w:p>
    <w:p w14:paraId="2059D1F9" w14:textId="77777777" w:rsidR="004104BE" w:rsidRPr="004104BE" w:rsidRDefault="004104BE" w:rsidP="00E735FC">
      <w:pPr>
        <w:spacing w:line="360" w:lineRule="auto"/>
        <w:rPr>
          <w:rFonts w:asciiTheme="minorBidi" w:hAnsiTheme="minorBidi"/>
        </w:rPr>
      </w:pPr>
      <w:r w:rsidRPr="004104BE">
        <w:rPr>
          <w:rFonts w:asciiTheme="minorBidi" w:hAnsiTheme="minorBidi"/>
        </w:rPr>
        <w:t xml:space="preserve">Thirdly, education and training in </w:t>
      </w:r>
      <w:proofErr w:type="spellStart"/>
      <w:r w:rsidRPr="004104BE">
        <w:rPr>
          <w:rFonts w:asciiTheme="minorBidi" w:hAnsiTheme="minorBidi"/>
        </w:rPr>
        <w:t>person-centred</w:t>
      </w:r>
      <w:proofErr w:type="spellEnd"/>
      <w:r w:rsidRPr="004104BE">
        <w:rPr>
          <w:rFonts w:asciiTheme="minorBidi" w:hAnsiTheme="minorBidi"/>
        </w:rPr>
        <w:t xml:space="preserve"> approaches should be improved and made evidence-based through established theoretical frameworks su</w:t>
      </w:r>
      <w:r w:rsidR="000149AB">
        <w:rPr>
          <w:rFonts w:asciiTheme="minorBidi" w:hAnsiTheme="minorBidi"/>
        </w:rPr>
        <w:t>ch as the McCormack model (2024</w:t>
      </w:r>
      <w:r w:rsidRPr="004104BE">
        <w:rPr>
          <w:rFonts w:asciiTheme="minorBidi" w:hAnsiTheme="minorBidi"/>
        </w:rPr>
        <w:t xml:space="preserve">). Fourthly, effective evaluation systems should be developed. Instruments such as the Person </w:t>
      </w:r>
      <w:proofErr w:type="spellStart"/>
      <w:r w:rsidRPr="004104BE">
        <w:rPr>
          <w:rFonts w:asciiTheme="minorBidi" w:hAnsiTheme="minorBidi"/>
        </w:rPr>
        <w:t>Centred</w:t>
      </w:r>
      <w:proofErr w:type="spellEnd"/>
      <w:r w:rsidRPr="004104BE">
        <w:rPr>
          <w:rFonts w:asciiTheme="minorBidi" w:hAnsiTheme="minorBidi"/>
        </w:rPr>
        <w:t xml:space="preserve"> Care instrument for outpatient care (Nilsson, 2026) should be utilized in measuring the level of improvement. Lastly, the commissioning and regulatory systems should be made congruent with the PCC and PW principles. Rather than being overly focused on compliance, regulators should support innovation and reward outcomes that matter most to the people who use the services (</w:t>
      </w:r>
      <w:proofErr w:type="spellStart"/>
      <w:r w:rsidR="00E735FC">
        <w:rPr>
          <w:rFonts w:ascii="Arial" w:hAnsi="Arial" w:cs="Arial"/>
          <w:color w:val="222222"/>
          <w:sz w:val="20"/>
          <w:szCs w:val="20"/>
          <w:shd w:val="clear" w:color="auto" w:fill="FFFFFF"/>
        </w:rPr>
        <w:t>Oniwinde</w:t>
      </w:r>
      <w:proofErr w:type="spellEnd"/>
      <w:r w:rsidR="00E735FC">
        <w:rPr>
          <w:rFonts w:ascii="Arial" w:hAnsi="Arial" w:cs="Arial"/>
          <w:color w:val="222222"/>
          <w:sz w:val="20"/>
          <w:szCs w:val="20"/>
          <w:shd w:val="clear" w:color="auto" w:fill="FFFFFF"/>
        </w:rPr>
        <w:t>, 2024</w:t>
      </w:r>
      <w:r w:rsidRPr="004104BE">
        <w:rPr>
          <w:rFonts w:asciiTheme="minorBidi" w:hAnsiTheme="minorBidi"/>
        </w:rPr>
        <w:t>).</w:t>
      </w:r>
    </w:p>
    <w:p w14:paraId="30D905D7" w14:textId="77777777" w:rsidR="004104BE" w:rsidRDefault="004104BE" w:rsidP="004104BE">
      <w:pPr>
        <w:pStyle w:val="Heading3"/>
        <w:spacing w:before="480" w:beforeAutospacing="0" w:after="240" w:afterAutospacing="0" w:line="450" w:lineRule="atLeast"/>
        <w:rPr>
          <w:rFonts w:ascii="Segoe UI" w:hAnsi="Segoe UI" w:cs="Segoe UI"/>
          <w:color w:val="0F1115"/>
          <w:sz w:val="30"/>
          <w:szCs w:val="30"/>
        </w:rPr>
      </w:pPr>
      <w:bookmarkStart w:id="30" w:name="_Toc225514242"/>
      <w:bookmarkStart w:id="31" w:name="_Toc225514435"/>
      <w:r>
        <w:rPr>
          <w:rFonts w:ascii="Segoe UI" w:hAnsi="Segoe UI" w:cs="Segoe UI"/>
          <w:color w:val="0F1115"/>
          <w:sz w:val="30"/>
          <w:szCs w:val="30"/>
        </w:rPr>
        <w:t>9. Conclusion</w:t>
      </w:r>
      <w:bookmarkEnd w:id="30"/>
      <w:bookmarkEnd w:id="31"/>
    </w:p>
    <w:p w14:paraId="10C1CE6B" w14:textId="77777777" w:rsidR="004104BE" w:rsidRPr="004104BE" w:rsidRDefault="004104BE" w:rsidP="004104BE">
      <w:pPr>
        <w:spacing w:line="360" w:lineRule="auto"/>
        <w:rPr>
          <w:rFonts w:asciiTheme="minorBidi" w:hAnsiTheme="minorBidi"/>
        </w:rPr>
      </w:pPr>
      <w:r w:rsidRPr="004104BE">
        <w:rPr>
          <w:rFonts w:asciiTheme="minorBidi" w:hAnsiTheme="minorBidi"/>
        </w:rPr>
        <w:t>This report has assessed the importance of the concepts of person-centered care and partnership working, which have been demonstrated to be at the heart of modern health and social care provision in the United Kingdom. The concept of PCC marks a paradigm shift in the provision of care services with regard to individual service users' desires, values, and needs, with benefits to service users, practitioners, and services. However, there have been ongoing challenges with the implementation of PCC, which have been associated with the structures, resources, and power issues, making PCC more of an ideology rather than a reality.</w:t>
      </w:r>
    </w:p>
    <w:p w14:paraId="76189305" w14:textId="77777777" w:rsidR="004104BE" w:rsidRPr="004104BE" w:rsidRDefault="004104BE" w:rsidP="004104BE">
      <w:pPr>
        <w:spacing w:line="360" w:lineRule="auto"/>
        <w:rPr>
          <w:rFonts w:asciiTheme="minorBidi" w:hAnsiTheme="minorBidi"/>
        </w:rPr>
      </w:pPr>
      <w:r w:rsidRPr="004104BE">
        <w:rPr>
          <w:rFonts w:asciiTheme="minorBidi" w:hAnsiTheme="minorBidi"/>
        </w:rPr>
        <w:t>Partnership working provides the framework in which integrated person-centered care can be achieved. Partnership working enables the coordination of services, the removal of duplication, and the building of the collaborative working relationship needed to address the complexities of health and social need. The policy and legislative framework has seen the development of structures to enable collaboration, as set out in the Health and Care Act 2022. However, the practical experience of working in collaborative relationships is a significant challenge. Partnership working is not just about the decisions made, it is also about the relationship between individuals and organizations.</w:t>
      </w:r>
    </w:p>
    <w:p w14:paraId="27CD10D7" w14:textId="77777777" w:rsidR="004104BE" w:rsidRDefault="004104BE" w:rsidP="004104BE">
      <w:pPr>
        <w:spacing w:line="360" w:lineRule="auto"/>
        <w:rPr>
          <w:rFonts w:asciiTheme="minorBidi" w:hAnsiTheme="minorBidi"/>
        </w:rPr>
      </w:pPr>
      <w:r w:rsidRPr="004104BE">
        <w:rPr>
          <w:rFonts w:asciiTheme="minorBidi" w:hAnsiTheme="minorBidi"/>
        </w:rPr>
        <w:t xml:space="preserve">The evidence considered in the above report indicates that the widespread adoption of PCC and partnership working is likely to require changes in culture as well as structure. This includes the embedding of the importance of adult-to-adult working as a core principle, building on existing support for </w:t>
      </w:r>
      <w:proofErr w:type="spellStart"/>
      <w:r w:rsidRPr="004104BE">
        <w:rPr>
          <w:rFonts w:asciiTheme="minorBidi" w:hAnsiTheme="minorBidi"/>
        </w:rPr>
        <w:t>person-centred</w:t>
      </w:r>
      <w:proofErr w:type="spellEnd"/>
      <w:r w:rsidRPr="004104BE">
        <w:rPr>
          <w:rFonts w:asciiTheme="minorBidi" w:hAnsiTheme="minorBidi"/>
        </w:rPr>
        <w:t xml:space="preserve"> working in </w:t>
      </w:r>
      <w:proofErr w:type="spellStart"/>
      <w:r w:rsidRPr="004104BE">
        <w:rPr>
          <w:rFonts w:asciiTheme="minorBidi" w:hAnsiTheme="minorBidi"/>
        </w:rPr>
        <w:t>organisations</w:t>
      </w:r>
      <w:proofErr w:type="spellEnd"/>
      <w:r w:rsidRPr="004104BE">
        <w:rPr>
          <w:rFonts w:asciiTheme="minorBidi" w:hAnsiTheme="minorBidi"/>
        </w:rPr>
        <w:t xml:space="preserve">, and building effective systems of evaluation and improvement. Investment in leadership development, training opportunities, and effective approaches to relationship-based commissioning is vital in driving such changes. By working on the above recommendations, the UK is likely to continue moving towards a health and social care system that puts people at the heart of the system and ensures that the principles of </w:t>
      </w:r>
      <w:proofErr w:type="spellStart"/>
      <w:r w:rsidRPr="004104BE">
        <w:rPr>
          <w:rFonts w:asciiTheme="minorBidi" w:hAnsiTheme="minorBidi"/>
        </w:rPr>
        <w:t>person-centred</w:t>
      </w:r>
      <w:proofErr w:type="spellEnd"/>
      <w:r w:rsidRPr="004104BE">
        <w:rPr>
          <w:rFonts w:asciiTheme="minorBidi" w:hAnsiTheme="minorBidi"/>
        </w:rPr>
        <w:t xml:space="preserve"> care and true partnership working become the norm rather than the distant dream.</w:t>
      </w:r>
    </w:p>
    <w:p w14:paraId="010BE2D9" w14:textId="77777777" w:rsidR="004104BE" w:rsidRDefault="004104BE" w:rsidP="004104BE">
      <w:pPr>
        <w:spacing w:line="360" w:lineRule="auto"/>
        <w:rPr>
          <w:rFonts w:asciiTheme="minorBidi" w:hAnsiTheme="minorBidi"/>
        </w:rPr>
      </w:pPr>
    </w:p>
    <w:p w14:paraId="400A5109" w14:textId="77777777" w:rsidR="004104BE" w:rsidRDefault="004104BE" w:rsidP="004104BE">
      <w:pPr>
        <w:pStyle w:val="Heading3"/>
        <w:spacing w:before="480" w:beforeAutospacing="0" w:after="240" w:afterAutospacing="0" w:line="450" w:lineRule="atLeast"/>
        <w:rPr>
          <w:rFonts w:ascii="Segoe UI" w:hAnsi="Segoe UI" w:cs="Segoe UI"/>
          <w:color w:val="0F1115"/>
          <w:sz w:val="30"/>
          <w:szCs w:val="30"/>
        </w:rPr>
      </w:pPr>
      <w:bookmarkStart w:id="32" w:name="_Toc225514243"/>
      <w:bookmarkStart w:id="33" w:name="_Toc225514436"/>
      <w:r>
        <w:rPr>
          <w:rFonts w:ascii="Segoe UI" w:hAnsi="Segoe UI" w:cs="Segoe UI"/>
          <w:color w:val="0F1115"/>
          <w:sz w:val="30"/>
          <w:szCs w:val="30"/>
        </w:rPr>
        <w:t>References</w:t>
      </w:r>
      <w:bookmarkEnd w:id="32"/>
      <w:bookmarkEnd w:id="33"/>
    </w:p>
    <w:p w14:paraId="66D39492" w14:textId="77777777" w:rsidR="00E735FC" w:rsidRPr="005E467B" w:rsidRDefault="009C26E8" w:rsidP="005E467B">
      <w:pPr>
        <w:pStyle w:val="ds-markdown-paragraph"/>
        <w:numPr>
          <w:ilvl w:val="0"/>
          <w:numId w:val="2"/>
        </w:numPr>
        <w:spacing w:after="0" w:afterAutospacing="0" w:line="360" w:lineRule="auto"/>
        <w:rPr>
          <w:rFonts w:asciiTheme="minorBidi" w:hAnsiTheme="minorBidi" w:cstheme="minorBidi"/>
          <w:color w:val="222222"/>
          <w:sz w:val="22"/>
          <w:szCs w:val="22"/>
          <w:shd w:val="clear" w:color="auto" w:fill="FFFFFF"/>
        </w:rPr>
      </w:pPr>
      <w:r w:rsidRPr="005E467B">
        <w:rPr>
          <w:rFonts w:asciiTheme="minorBidi" w:hAnsiTheme="minorBidi" w:cstheme="minorBidi"/>
          <w:color w:val="222222"/>
          <w:sz w:val="22"/>
          <w:szCs w:val="22"/>
          <w:shd w:val="clear" w:color="auto" w:fill="FFFFFF"/>
        </w:rPr>
        <w:t>Childress, J.F. and Beauchamp, T.L., 2022. Common morality principles in biomedical ethics: responses to critics. </w:t>
      </w:r>
      <w:r w:rsidRPr="005E467B">
        <w:rPr>
          <w:rFonts w:asciiTheme="minorBidi" w:hAnsiTheme="minorBidi" w:cstheme="minorBidi"/>
          <w:i/>
          <w:iCs/>
          <w:color w:val="222222"/>
          <w:sz w:val="22"/>
          <w:szCs w:val="22"/>
          <w:shd w:val="clear" w:color="auto" w:fill="FFFFFF"/>
        </w:rPr>
        <w:t>Cambridge Quarterly of Healthcare Ethics</w:t>
      </w:r>
      <w:r w:rsidRPr="005E467B">
        <w:rPr>
          <w:rFonts w:asciiTheme="minorBidi" w:hAnsiTheme="minorBidi" w:cstheme="minorBidi"/>
          <w:color w:val="222222"/>
          <w:sz w:val="22"/>
          <w:szCs w:val="22"/>
          <w:shd w:val="clear" w:color="auto" w:fill="FFFFFF"/>
        </w:rPr>
        <w:t>, </w:t>
      </w:r>
      <w:r w:rsidRPr="005E467B">
        <w:rPr>
          <w:rFonts w:asciiTheme="minorBidi" w:hAnsiTheme="minorBidi" w:cstheme="minorBidi"/>
          <w:i/>
          <w:iCs/>
          <w:color w:val="222222"/>
          <w:sz w:val="22"/>
          <w:szCs w:val="22"/>
          <w:shd w:val="clear" w:color="auto" w:fill="FFFFFF"/>
        </w:rPr>
        <w:t>31</w:t>
      </w:r>
      <w:r w:rsidRPr="005E467B">
        <w:rPr>
          <w:rFonts w:asciiTheme="minorBidi" w:hAnsiTheme="minorBidi" w:cstheme="minorBidi"/>
          <w:color w:val="222222"/>
          <w:sz w:val="22"/>
          <w:szCs w:val="22"/>
          <w:shd w:val="clear" w:color="auto" w:fill="FFFFFF"/>
        </w:rPr>
        <w:t>(2), pp.164-176.</w:t>
      </w:r>
      <w:hyperlink r:id="rId6" w:history="1">
        <w:r w:rsidR="00E735FC" w:rsidRPr="005E467B">
          <w:rPr>
            <w:rStyle w:val="Hyperlink"/>
            <w:rFonts w:asciiTheme="minorBidi" w:hAnsiTheme="minorBidi" w:cstheme="minorBidi"/>
            <w:sz w:val="22"/>
            <w:szCs w:val="22"/>
          </w:rPr>
          <w:t>https://www.cambridge.org/core/journals/cambridge-quarterly-of-healthcare-ethics/article/common-morality-principles-in-biomedical-ethics-responses-to-critics/F4A98DE572AD071D9567B74F17B5837D</w:t>
        </w:r>
      </w:hyperlink>
    </w:p>
    <w:p w14:paraId="5DF78339" w14:textId="77777777" w:rsidR="00E735FC" w:rsidRPr="005E467B" w:rsidRDefault="00E735FC" w:rsidP="005E467B">
      <w:pPr>
        <w:pStyle w:val="ds-markdown-paragraph"/>
        <w:numPr>
          <w:ilvl w:val="0"/>
          <w:numId w:val="2"/>
        </w:numPr>
        <w:spacing w:after="0" w:afterAutospacing="0" w:line="360" w:lineRule="auto"/>
        <w:rPr>
          <w:rFonts w:asciiTheme="minorBidi" w:hAnsiTheme="minorBidi" w:cstheme="minorBidi"/>
          <w:color w:val="222222"/>
          <w:sz w:val="22"/>
          <w:szCs w:val="22"/>
          <w:shd w:val="clear" w:color="auto" w:fill="FFFFFF"/>
        </w:rPr>
      </w:pPr>
      <w:proofErr w:type="spellStart"/>
      <w:r w:rsidRPr="005E467B">
        <w:rPr>
          <w:rFonts w:asciiTheme="minorBidi" w:hAnsiTheme="minorBidi" w:cstheme="minorBidi"/>
          <w:color w:val="222222"/>
          <w:sz w:val="22"/>
          <w:szCs w:val="22"/>
          <w:shd w:val="clear" w:color="auto" w:fill="FFFFFF"/>
        </w:rPr>
        <w:t>Oniwinde</w:t>
      </w:r>
      <w:proofErr w:type="spellEnd"/>
      <w:r w:rsidRPr="005E467B">
        <w:rPr>
          <w:rFonts w:asciiTheme="minorBidi" w:hAnsiTheme="minorBidi" w:cstheme="minorBidi"/>
          <w:color w:val="222222"/>
          <w:sz w:val="22"/>
          <w:szCs w:val="22"/>
          <w:shd w:val="clear" w:color="auto" w:fill="FFFFFF"/>
        </w:rPr>
        <w:t>, B., 2024. </w:t>
      </w:r>
      <w:r w:rsidRPr="005E467B">
        <w:rPr>
          <w:rFonts w:asciiTheme="minorBidi" w:hAnsiTheme="minorBidi" w:cstheme="minorBidi"/>
          <w:i/>
          <w:iCs/>
          <w:color w:val="222222"/>
          <w:sz w:val="22"/>
          <w:szCs w:val="22"/>
          <w:shd w:val="clear" w:color="auto" w:fill="FFFFFF"/>
        </w:rPr>
        <w:t>To what extent does a focus on accountability promote regulatory compliance in the UK financial services sector?</w:t>
      </w:r>
      <w:r w:rsidRPr="005E467B">
        <w:rPr>
          <w:rFonts w:asciiTheme="minorBidi" w:hAnsiTheme="minorBidi" w:cstheme="minorBidi"/>
          <w:color w:val="222222"/>
          <w:sz w:val="22"/>
          <w:szCs w:val="22"/>
          <w:shd w:val="clear" w:color="auto" w:fill="FFFFFF"/>
        </w:rPr>
        <w:t> (Doctoral dissertation, Anglia Ruskin Research Online (ARRO).</w:t>
      </w:r>
      <w:r w:rsidRPr="005E467B">
        <w:rPr>
          <w:rFonts w:asciiTheme="minorBidi" w:hAnsiTheme="minorBidi" w:cstheme="minorBidi"/>
          <w:sz w:val="22"/>
          <w:szCs w:val="22"/>
        </w:rPr>
        <w:t xml:space="preserve"> </w:t>
      </w:r>
      <w:hyperlink r:id="rId7" w:history="1">
        <w:r w:rsidRPr="005E467B">
          <w:rPr>
            <w:rStyle w:val="Hyperlink"/>
            <w:rFonts w:asciiTheme="minorBidi" w:hAnsiTheme="minorBidi" w:cstheme="minorBidi"/>
            <w:sz w:val="22"/>
            <w:szCs w:val="22"/>
            <w:shd w:val="clear" w:color="auto" w:fill="FFFFFF"/>
          </w:rPr>
          <w:t>https://aru.figshare.com/articles/thesis/To_what_extent_does_a_focus_on_accountability_promote_regulatory_compliance_in_the_UK_financial_services_sector_/25133663</w:t>
        </w:r>
      </w:hyperlink>
    </w:p>
    <w:p w14:paraId="7B7207E8" w14:textId="77777777" w:rsidR="004104BE" w:rsidRPr="005E467B" w:rsidRDefault="00E735FC" w:rsidP="005E467B">
      <w:pPr>
        <w:pStyle w:val="ds-markdown-paragraph"/>
        <w:numPr>
          <w:ilvl w:val="0"/>
          <w:numId w:val="2"/>
        </w:numPr>
        <w:spacing w:after="0" w:afterAutospacing="0" w:line="360" w:lineRule="auto"/>
        <w:rPr>
          <w:rFonts w:asciiTheme="minorBidi" w:hAnsiTheme="minorBidi" w:cstheme="minorBidi"/>
          <w:color w:val="222222"/>
          <w:sz w:val="22"/>
          <w:szCs w:val="22"/>
          <w:shd w:val="clear" w:color="auto" w:fill="FFFFFF"/>
        </w:rPr>
      </w:pPr>
      <w:r w:rsidRPr="005E467B">
        <w:rPr>
          <w:rFonts w:asciiTheme="minorBidi" w:hAnsiTheme="minorBidi" w:cstheme="minorBidi"/>
          <w:color w:val="222222"/>
          <w:sz w:val="22"/>
          <w:szCs w:val="22"/>
          <w:shd w:val="clear" w:color="auto" w:fill="FFFFFF"/>
        </w:rPr>
        <w:t>Hewitt, P., 2023. The Hewitt Review. </w:t>
      </w:r>
      <w:r w:rsidRPr="005E467B">
        <w:rPr>
          <w:rFonts w:asciiTheme="minorBidi" w:hAnsiTheme="minorBidi" w:cstheme="minorBidi"/>
          <w:i/>
          <w:iCs/>
          <w:color w:val="222222"/>
          <w:sz w:val="22"/>
          <w:szCs w:val="22"/>
          <w:shd w:val="clear" w:color="auto" w:fill="FFFFFF"/>
        </w:rPr>
        <w:t>An independent review of integrated care Systems. Department of Health and Social Care</w:t>
      </w:r>
      <w:r w:rsidRPr="005E467B">
        <w:rPr>
          <w:rFonts w:asciiTheme="minorBidi" w:hAnsiTheme="minorBidi" w:cstheme="minorBidi"/>
          <w:color w:val="222222"/>
          <w:sz w:val="22"/>
          <w:szCs w:val="22"/>
          <w:shd w:val="clear" w:color="auto" w:fill="FFFFFF"/>
        </w:rPr>
        <w:t>.</w:t>
      </w:r>
      <w:hyperlink r:id="rId8" w:history="1">
        <w:r w:rsidR="0058188C" w:rsidRPr="005E467B">
          <w:rPr>
            <w:rStyle w:val="Hyperlink"/>
            <w:rFonts w:asciiTheme="minorBidi" w:hAnsiTheme="minorBidi" w:cstheme="minorBidi"/>
            <w:sz w:val="22"/>
            <w:szCs w:val="22"/>
            <w:shd w:val="clear" w:color="auto" w:fill="FFFFFF"/>
          </w:rPr>
          <w:t>https://www.housinglin.org.uk/_assets/Resources/Housing/Policy_documents/the-hewitt-review.pdf</w:t>
        </w:r>
      </w:hyperlink>
    </w:p>
    <w:p w14:paraId="60A64631" w14:textId="77777777" w:rsidR="0058188C" w:rsidRPr="005E467B" w:rsidRDefault="0058188C" w:rsidP="005E467B">
      <w:pPr>
        <w:pStyle w:val="ds-markdown-paragraph"/>
        <w:numPr>
          <w:ilvl w:val="0"/>
          <w:numId w:val="2"/>
        </w:numPr>
        <w:spacing w:after="0" w:afterAutospacing="0" w:line="360" w:lineRule="auto"/>
        <w:rPr>
          <w:rFonts w:asciiTheme="minorBidi" w:hAnsiTheme="minorBidi" w:cstheme="minorBidi"/>
          <w:color w:val="0F1115"/>
          <w:sz w:val="22"/>
          <w:szCs w:val="22"/>
        </w:rPr>
      </w:pPr>
      <w:r w:rsidRPr="005E467B">
        <w:rPr>
          <w:rFonts w:asciiTheme="minorBidi" w:hAnsiTheme="minorBidi" w:cstheme="minorBidi"/>
          <w:color w:val="222222"/>
          <w:sz w:val="22"/>
          <w:szCs w:val="22"/>
          <w:shd w:val="clear" w:color="auto" w:fill="FFFFFF"/>
        </w:rPr>
        <w:t>McCormack, B. ed., 2024. </w:t>
      </w:r>
      <w:r w:rsidRPr="005E467B">
        <w:rPr>
          <w:rFonts w:asciiTheme="minorBidi" w:hAnsiTheme="minorBidi" w:cstheme="minorBidi"/>
          <w:i/>
          <w:iCs/>
          <w:color w:val="222222"/>
          <w:sz w:val="22"/>
          <w:szCs w:val="22"/>
          <w:shd w:val="clear" w:color="auto" w:fill="FFFFFF"/>
        </w:rPr>
        <w:t xml:space="preserve">Developing </w:t>
      </w:r>
      <w:proofErr w:type="spellStart"/>
      <w:r w:rsidRPr="005E467B">
        <w:rPr>
          <w:rFonts w:asciiTheme="minorBidi" w:hAnsiTheme="minorBidi" w:cstheme="minorBidi"/>
          <w:i/>
          <w:iCs/>
          <w:color w:val="222222"/>
          <w:sz w:val="22"/>
          <w:szCs w:val="22"/>
          <w:shd w:val="clear" w:color="auto" w:fill="FFFFFF"/>
        </w:rPr>
        <w:t>Person-centred</w:t>
      </w:r>
      <w:proofErr w:type="spellEnd"/>
      <w:r w:rsidRPr="005E467B">
        <w:rPr>
          <w:rFonts w:asciiTheme="minorBidi" w:hAnsiTheme="minorBidi" w:cstheme="minorBidi"/>
          <w:i/>
          <w:iCs/>
          <w:color w:val="222222"/>
          <w:sz w:val="22"/>
          <w:szCs w:val="22"/>
          <w:shd w:val="clear" w:color="auto" w:fill="FFFFFF"/>
        </w:rPr>
        <w:t xml:space="preserve"> Cultures in Healthcare Education and Practice: An Essential Guide</w:t>
      </w:r>
      <w:r w:rsidRPr="005E467B">
        <w:rPr>
          <w:rFonts w:asciiTheme="minorBidi" w:hAnsiTheme="minorBidi" w:cstheme="minorBidi"/>
          <w:color w:val="222222"/>
          <w:sz w:val="22"/>
          <w:szCs w:val="22"/>
          <w:shd w:val="clear" w:color="auto" w:fill="FFFFFF"/>
        </w:rPr>
        <w:t>. John Wiley &amp; Sons.</w:t>
      </w:r>
      <w:r w:rsidR="000149AB" w:rsidRPr="005E467B">
        <w:rPr>
          <w:rFonts w:asciiTheme="minorBidi" w:hAnsiTheme="minorBidi" w:cstheme="minorBidi"/>
          <w:sz w:val="22"/>
          <w:szCs w:val="22"/>
        </w:rPr>
        <w:t xml:space="preserve"> </w:t>
      </w:r>
      <w:hyperlink r:id="rId9" w:history="1">
        <w:r w:rsidR="000149AB" w:rsidRPr="005E467B">
          <w:rPr>
            <w:rStyle w:val="Hyperlink"/>
            <w:rFonts w:asciiTheme="minorBidi" w:hAnsiTheme="minorBidi" w:cstheme="minorBidi"/>
            <w:sz w:val="22"/>
            <w:szCs w:val="22"/>
            <w:shd w:val="clear" w:color="auto" w:fill="FFFFFF"/>
          </w:rPr>
          <w:t>https://books.google.com/books?hl=en&amp;lr=&amp;id=JBT5EAAAQBAJ&amp;oi=fnd&amp;pg=PR9&amp;dq=McCormack,+B.+and+McCance,+T.+(2017)+Person-Centred+Practice+in+Nursing+and+Health+Care:+Theory+and+Practice.+2nd+edn.+Chichester:+Wiley-Blackwell.&amp;ots=iVV518N0KC&amp;sig=-MMPzc-wuuDBk3163UOWWFAfsvI</w:t>
        </w:r>
      </w:hyperlink>
    </w:p>
    <w:p w14:paraId="65DFA9D4" w14:textId="77777777" w:rsidR="0058188C" w:rsidRPr="005E467B" w:rsidRDefault="0058188C" w:rsidP="005E467B">
      <w:pPr>
        <w:pStyle w:val="ds-markdown-paragraph"/>
        <w:numPr>
          <w:ilvl w:val="0"/>
          <w:numId w:val="2"/>
        </w:numPr>
        <w:spacing w:after="0" w:afterAutospacing="0" w:line="360" w:lineRule="auto"/>
        <w:rPr>
          <w:rFonts w:asciiTheme="minorBidi" w:hAnsiTheme="minorBidi" w:cstheme="minorBidi"/>
          <w:color w:val="0F1115"/>
          <w:sz w:val="22"/>
          <w:szCs w:val="22"/>
        </w:rPr>
      </w:pPr>
      <w:r w:rsidRPr="005E467B">
        <w:rPr>
          <w:rFonts w:asciiTheme="minorBidi" w:hAnsiTheme="minorBidi" w:cstheme="minorBidi"/>
          <w:color w:val="222222"/>
          <w:sz w:val="22"/>
          <w:szCs w:val="22"/>
          <w:shd w:val="clear" w:color="auto" w:fill="FFFFFF"/>
        </w:rPr>
        <w:t xml:space="preserve">Smith, L. and Wilson, N., 2023. How </w:t>
      </w:r>
      <w:proofErr w:type="spellStart"/>
      <w:r w:rsidRPr="005E467B">
        <w:rPr>
          <w:rFonts w:asciiTheme="minorBidi" w:hAnsiTheme="minorBidi" w:cstheme="minorBidi"/>
          <w:color w:val="222222"/>
          <w:sz w:val="22"/>
          <w:szCs w:val="22"/>
          <w:shd w:val="clear" w:color="auto" w:fill="FFFFFF"/>
        </w:rPr>
        <w:t>person-centred</w:t>
      </w:r>
      <w:proofErr w:type="spellEnd"/>
      <w:r w:rsidRPr="005E467B">
        <w:rPr>
          <w:rFonts w:asciiTheme="minorBidi" w:hAnsiTheme="minorBidi" w:cstheme="minorBidi"/>
          <w:color w:val="222222"/>
          <w:sz w:val="22"/>
          <w:szCs w:val="22"/>
          <w:shd w:val="clear" w:color="auto" w:fill="FFFFFF"/>
        </w:rPr>
        <w:t xml:space="preserve"> care can be provided in forensic mental health. </w:t>
      </w:r>
      <w:r w:rsidRPr="005E467B">
        <w:rPr>
          <w:rFonts w:asciiTheme="minorBidi" w:hAnsiTheme="minorBidi" w:cstheme="minorBidi"/>
          <w:i/>
          <w:iCs/>
          <w:color w:val="222222"/>
          <w:sz w:val="22"/>
          <w:szCs w:val="22"/>
          <w:shd w:val="clear" w:color="auto" w:fill="FFFFFF"/>
        </w:rPr>
        <w:t>British Journal of Nursing</w:t>
      </w:r>
      <w:r w:rsidRPr="005E467B">
        <w:rPr>
          <w:rFonts w:asciiTheme="minorBidi" w:hAnsiTheme="minorBidi" w:cstheme="minorBidi"/>
          <w:color w:val="222222"/>
          <w:sz w:val="22"/>
          <w:szCs w:val="22"/>
          <w:shd w:val="clear" w:color="auto" w:fill="FFFFFF"/>
        </w:rPr>
        <w:t>, </w:t>
      </w:r>
      <w:r w:rsidRPr="005E467B">
        <w:rPr>
          <w:rFonts w:asciiTheme="minorBidi" w:hAnsiTheme="minorBidi" w:cstheme="minorBidi"/>
          <w:i/>
          <w:iCs/>
          <w:color w:val="222222"/>
          <w:sz w:val="22"/>
          <w:szCs w:val="22"/>
          <w:shd w:val="clear" w:color="auto" w:fill="FFFFFF"/>
        </w:rPr>
        <w:t>32</w:t>
      </w:r>
      <w:r w:rsidRPr="005E467B">
        <w:rPr>
          <w:rFonts w:asciiTheme="minorBidi" w:hAnsiTheme="minorBidi" w:cstheme="minorBidi"/>
          <w:color w:val="222222"/>
          <w:sz w:val="22"/>
          <w:szCs w:val="22"/>
          <w:shd w:val="clear" w:color="auto" w:fill="FFFFFF"/>
        </w:rPr>
        <w:t>(15), pp.754-756.</w:t>
      </w:r>
      <w:r w:rsidRPr="005E467B">
        <w:rPr>
          <w:rFonts w:asciiTheme="minorBidi" w:hAnsiTheme="minorBidi" w:cstheme="minorBidi"/>
          <w:sz w:val="22"/>
          <w:szCs w:val="22"/>
        </w:rPr>
        <w:t xml:space="preserve"> </w:t>
      </w:r>
      <w:hyperlink r:id="rId10" w:history="1">
        <w:r w:rsidRPr="005E467B">
          <w:rPr>
            <w:rStyle w:val="Hyperlink"/>
            <w:rFonts w:asciiTheme="minorBidi" w:hAnsiTheme="minorBidi" w:cstheme="minorBidi"/>
            <w:sz w:val="22"/>
            <w:szCs w:val="22"/>
            <w:shd w:val="clear" w:color="auto" w:fill="FFFFFF"/>
          </w:rPr>
          <w:t>https://www.magonlinelibrary.com/doi/full/10.12968/bjon.2023.32.15.754</w:t>
        </w:r>
      </w:hyperlink>
    </w:p>
    <w:p w14:paraId="508316A9" w14:textId="77777777" w:rsidR="000149AB" w:rsidRPr="005E467B" w:rsidRDefault="000149AB" w:rsidP="005E467B">
      <w:pPr>
        <w:pStyle w:val="ds-markdown-paragraph"/>
        <w:numPr>
          <w:ilvl w:val="0"/>
          <w:numId w:val="2"/>
        </w:numPr>
        <w:spacing w:after="0" w:afterAutospacing="0" w:line="360" w:lineRule="auto"/>
        <w:rPr>
          <w:rFonts w:asciiTheme="minorBidi" w:hAnsiTheme="minorBidi" w:cstheme="minorBidi"/>
          <w:color w:val="0F1115"/>
          <w:sz w:val="22"/>
          <w:szCs w:val="22"/>
        </w:rPr>
      </w:pPr>
      <w:proofErr w:type="spellStart"/>
      <w:r w:rsidRPr="005E467B">
        <w:rPr>
          <w:rFonts w:asciiTheme="minorBidi" w:hAnsiTheme="minorBidi" w:cstheme="minorBidi"/>
          <w:color w:val="222222"/>
          <w:sz w:val="22"/>
          <w:szCs w:val="22"/>
          <w:shd w:val="clear" w:color="auto" w:fill="FFFFFF"/>
        </w:rPr>
        <w:t>Shepanski</w:t>
      </w:r>
      <w:proofErr w:type="spellEnd"/>
      <w:r w:rsidRPr="005E467B">
        <w:rPr>
          <w:rFonts w:asciiTheme="minorBidi" w:hAnsiTheme="minorBidi" w:cstheme="minorBidi"/>
          <w:color w:val="222222"/>
          <w:sz w:val="22"/>
          <w:szCs w:val="22"/>
          <w:shd w:val="clear" w:color="auto" w:fill="FFFFFF"/>
        </w:rPr>
        <w:t xml:space="preserve">, M., 2023. A review of GR McLean, ethical basics for the caring professions: knowledge and skills for thoughtful practice (Abingdon, </w:t>
      </w:r>
      <w:proofErr w:type="spellStart"/>
      <w:r w:rsidRPr="005E467B">
        <w:rPr>
          <w:rFonts w:asciiTheme="minorBidi" w:hAnsiTheme="minorBidi" w:cstheme="minorBidi"/>
          <w:color w:val="222222"/>
          <w:sz w:val="22"/>
          <w:szCs w:val="22"/>
          <w:shd w:val="clear" w:color="auto" w:fill="FFFFFF"/>
        </w:rPr>
        <w:t>Oxon</w:t>
      </w:r>
      <w:proofErr w:type="spellEnd"/>
      <w:r w:rsidRPr="005E467B">
        <w:rPr>
          <w:rFonts w:asciiTheme="minorBidi" w:hAnsiTheme="minorBidi" w:cstheme="minorBidi"/>
          <w:color w:val="222222"/>
          <w:sz w:val="22"/>
          <w:szCs w:val="22"/>
          <w:shd w:val="clear" w:color="auto" w:fill="FFFFFF"/>
        </w:rPr>
        <w:t xml:space="preserve">: </w:t>
      </w:r>
      <w:proofErr w:type="spellStart"/>
      <w:r w:rsidRPr="005E467B">
        <w:rPr>
          <w:rFonts w:asciiTheme="minorBidi" w:hAnsiTheme="minorBidi" w:cstheme="minorBidi"/>
          <w:color w:val="222222"/>
          <w:sz w:val="22"/>
          <w:szCs w:val="22"/>
          <w:shd w:val="clear" w:color="auto" w:fill="FFFFFF"/>
        </w:rPr>
        <w:t>Routledge</w:t>
      </w:r>
      <w:proofErr w:type="spellEnd"/>
      <w:r w:rsidRPr="005E467B">
        <w:rPr>
          <w:rFonts w:asciiTheme="minorBidi" w:hAnsiTheme="minorBidi" w:cstheme="minorBidi"/>
          <w:color w:val="222222"/>
          <w:sz w:val="22"/>
          <w:szCs w:val="22"/>
          <w:shd w:val="clear" w:color="auto" w:fill="FFFFFF"/>
        </w:rPr>
        <w:t>, 2022. 240 p.). </w:t>
      </w:r>
      <w:r w:rsidRPr="005E467B">
        <w:rPr>
          <w:rFonts w:asciiTheme="minorBidi" w:hAnsiTheme="minorBidi" w:cstheme="minorBidi"/>
          <w:i/>
          <w:iCs/>
          <w:color w:val="222222"/>
          <w:sz w:val="22"/>
          <w:szCs w:val="22"/>
          <w:shd w:val="clear" w:color="auto" w:fill="FFFFFF"/>
        </w:rPr>
        <w:t>Monash Bioethics Review</w:t>
      </w:r>
      <w:r w:rsidRPr="005E467B">
        <w:rPr>
          <w:rFonts w:asciiTheme="minorBidi" w:hAnsiTheme="minorBidi" w:cstheme="minorBidi"/>
          <w:color w:val="222222"/>
          <w:sz w:val="22"/>
          <w:szCs w:val="22"/>
          <w:shd w:val="clear" w:color="auto" w:fill="FFFFFF"/>
        </w:rPr>
        <w:t>, </w:t>
      </w:r>
      <w:r w:rsidRPr="005E467B">
        <w:rPr>
          <w:rFonts w:asciiTheme="minorBidi" w:hAnsiTheme="minorBidi" w:cstheme="minorBidi"/>
          <w:i/>
          <w:iCs/>
          <w:color w:val="222222"/>
          <w:sz w:val="22"/>
          <w:szCs w:val="22"/>
          <w:shd w:val="clear" w:color="auto" w:fill="FFFFFF"/>
        </w:rPr>
        <w:t>41</w:t>
      </w:r>
      <w:r w:rsidRPr="005E467B">
        <w:rPr>
          <w:rFonts w:asciiTheme="minorBidi" w:hAnsiTheme="minorBidi" w:cstheme="minorBidi"/>
          <w:color w:val="222222"/>
          <w:sz w:val="22"/>
          <w:szCs w:val="22"/>
          <w:shd w:val="clear" w:color="auto" w:fill="FFFFFF"/>
        </w:rPr>
        <w:t>(</w:t>
      </w:r>
      <w:proofErr w:type="spellStart"/>
      <w:r w:rsidRPr="005E467B">
        <w:rPr>
          <w:rFonts w:asciiTheme="minorBidi" w:hAnsiTheme="minorBidi" w:cstheme="minorBidi"/>
          <w:color w:val="222222"/>
          <w:sz w:val="22"/>
          <w:szCs w:val="22"/>
          <w:shd w:val="clear" w:color="auto" w:fill="FFFFFF"/>
        </w:rPr>
        <w:t>Suppl</w:t>
      </w:r>
      <w:proofErr w:type="spellEnd"/>
      <w:r w:rsidRPr="005E467B">
        <w:rPr>
          <w:rFonts w:asciiTheme="minorBidi" w:hAnsiTheme="minorBidi" w:cstheme="minorBidi"/>
          <w:color w:val="222222"/>
          <w:sz w:val="22"/>
          <w:szCs w:val="22"/>
          <w:shd w:val="clear" w:color="auto" w:fill="FFFFFF"/>
        </w:rPr>
        <w:t xml:space="preserve"> 1), pp.96-98.</w:t>
      </w:r>
      <w:hyperlink r:id="rId11" w:history="1">
        <w:r w:rsidRPr="005E467B">
          <w:rPr>
            <w:rStyle w:val="Hyperlink"/>
            <w:rFonts w:asciiTheme="minorBidi" w:hAnsiTheme="minorBidi" w:cstheme="minorBidi"/>
            <w:sz w:val="22"/>
            <w:szCs w:val="22"/>
          </w:rPr>
          <w:t xml:space="preserve"> </w:t>
        </w:r>
        <w:r w:rsidRPr="005E467B">
          <w:rPr>
            <w:rStyle w:val="Hyperlink"/>
            <w:rFonts w:asciiTheme="minorBidi" w:hAnsiTheme="minorBidi" w:cstheme="minorBidi"/>
            <w:sz w:val="22"/>
            <w:szCs w:val="22"/>
            <w:shd w:val="clear" w:color="auto" w:fill="FFFFFF"/>
          </w:rPr>
          <w:t>https://link.springer.com/article/10.1007/s40592-023-00184-w</w:t>
        </w:r>
      </w:hyperlink>
    </w:p>
    <w:p w14:paraId="500939C5" w14:textId="77777777" w:rsidR="004104BE" w:rsidRPr="005E467B" w:rsidRDefault="004104BE" w:rsidP="005E467B">
      <w:pPr>
        <w:pStyle w:val="ds-markdown-paragraph"/>
        <w:numPr>
          <w:ilvl w:val="0"/>
          <w:numId w:val="2"/>
        </w:numPr>
        <w:spacing w:after="0" w:afterAutospacing="0" w:line="360" w:lineRule="auto"/>
        <w:rPr>
          <w:rFonts w:asciiTheme="minorBidi" w:hAnsiTheme="minorBidi" w:cstheme="minorBidi"/>
          <w:color w:val="0F1115"/>
          <w:sz w:val="22"/>
          <w:szCs w:val="22"/>
        </w:rPr>
      </w:pPr>
      <w:r w:rsidRPr="005E467B">
        <w:rPr>
          <w:rFonts w:asciiTheme="minorBidi" w:hAnsiTheme="minorBidi" w:cstheme="minorBidi"/>
          <w:color w:val="0F1115"/>
          <w:sz w:val="22"/>
          <w:szCs w:val="22"/>
        </w:rPr>
        <w:t>My Home Life England (2026) </w:t>
      </w:r>
      <w:r w:rsidRPr="005E467B">
        <w:rPr>
          <w:rStyle w:val="Emphasis"/>
          <w:rFonts w:asciiTheme="minorBidi" w:hAnsiTheme="minorBidi" w:cstheme="minorBidi"/>
          <w:color w:val="0F1115"/>
          <w:sz w:val="22"/>
          <w:szCs w:val="22"/>
        </w:rPr>
        <w:t>Improved outcomes through partnership working: A vision for social care</w:t>
      </w:r>
      <w:r w:rsidRPr="005E467B">
        <w:rPr>
          <w:rFonts w:asciiTheme="minorBidi" w:hAnsiTheme="minorBidi" w:cstheme="minorBidi"/>
          <w:color w:val="0F1115"/>
          <w:sz w:val="22"/>
          <w:szCs w:val="22"/>
        </w:rPr>
        <w:t>. London: My Home Life.</w:t>
      </w:r>
      <w:r w:rsidR="000149AB" w:rsidRPr="005E467B">
        <w:rPr>
          <w:rFonts w:asciiTheme="minorBidi" w:hAnsiTheme="minorBidi" w:cstheme="minorBidi"/>
          <w:sz w:val="22"/>
          <w:szCs w:val="22"/>
        </w:rPr>
        <w:t xml:space="preserve"> </w:t>
      </w:r>
      <w:hyperlink r:id="rId12" w:history="1">
        <w:r w:rsidR="000149AB" w:rsidRPr="005E467B">
          <w:rPr>
            <w:rStyle w:val="Hyperlink"/>
            <w:rFonts w:asciiTheme="minorBidi" w:hAnsiTheme="minorBidi" w:cstheme="minorBidi"/>
            <w:sz w:val="22"/>
            <w:szCs w:val="22"/>
          </w:rPr>
          <w:t>https://myhomelife.org.uk/wp-content/uploads/2026/02/MHLE-Partnership-Working-Report_2026.pdf</w:t>
        </w:r>
      </w:hyperlink>
    </w:p>
    <w:p w14:paraId="0CFA1562" w14:textId="77777777" w:rsidR="004104BE" w:rsidRPr="005E467B" w:rsidRDefault="004104BE" w:rsidP="005E467B">
      <w:pPr>
        <w:pStyle w:val="ds-markdown-paragraph"/>
        <w:numPr>
          <w:ilvl w:val="0"/>
          <w:numId w:val="2"/>
        </w:numPr>
        <w:spacing w:after="0" w:afterAutospacing="0" w:line="360" w:lineRule="auto"/>
        <w:rPr>
          <w:rFonts w:asciiTheme="minorBidi" w:hAnsiTheme="minorBidi" w:cstheme="minorBidi"/>
          <w:color w:val="0F1115"/>
          <w:sz w:val="22"/>
          <w:szCs w:val="22"/>
        </w:rPr>
      </w:pPr>
      <w:r w:rsidRPr="005E467B">
        <w:rPr>
          <w:rFonts w:asciiTheme="minorBidi" w:hAnsiTheme="minorBidi" w:cstheme="minorBidi"/>
          <w:color w:val="0F1115"/>
          <w:sz w:val="22"/>
          <w:szCs w:val="22"/>
        </w:rPr>
        <w:t>NHS England (2019) </w:t>
      </w:r>
      <w:r w:rsidRPr="005E467B">
        <w:rPr>
          <w:rStyle w:val="Emphasis"/>
          <w:rFonts w:asciiTheme="minorBidi" w:hAnsiTheme="minorBidi" w:cstheme="minorBidi"/>
          <w:color w:val="0F1115"/>
          <w:sz w:val="22"/>
          <w:szCs w:val="22"/>
        </w:rPr>
        <w:t>The NHS Long Term Plan</w:t>
      </w:r>
      <w:r w:rsidRPr="005E467B">
        <w:rPr>
          <w:rFonts w:asciiTheme="minorBidi" w:hAnsiTheme="minorBidi" w:cstheme="minorBidi"/>
          <w:color w:val="0F1115"/>
          <w:sz w:val="22"/>
          <w:szCs w:val="22"/>
        </w:rPr>
        <w:t>. London: NHS England.</w:t>
      </w:r>
      <w:r w:rsidR="000149AB" w:rsidRPr="005E467B">
        <w:rPr>
          <w:rFonts w:asciiTheme="minorBidi" w:hAnsiTheme="minorBidi" w:cstheme="minorBidi"/>
          <w:sz w:val="22"/>
          <w:szCs w:val="22"/>
        </w:rPr>
        <w:t xml:space="preserve"> </w:t>
      </w:r>
      <w:hyperlink r:id="rId13" w:history="1">
        <w:r w:rsidR="000149AB" w:rsidRPr="005E467B">
          <w:rPr>
            <w:rStyle w:val="Hyperlink"/>
            <w:rFonts w:asciiTheme="minorBidi" w:hAnsiTheme="minorBidi" w:cstheme="minorBidi"/>
            <w:sz w:val="22"/>
            <w:szCs w:val="22"/>
          </w:rPr>
          <w:t>https://www.england.nhs.uk/2019/01/long-term-plan/</w:t>
        </w:r>
      </w:hyperlink>
    </w:p>
    <w:p w14:paraId="711309C5" w14:textId="77777777" w:rsidR="004104BE" w:rsidRPr="005E467B" w:rsidRDefault="004104BE" w:rsidP="005E467B">
      <w:pPr>
        <w:pStyle w:val="ds-markdown-paragraph"/>
        <w:numPr>
          <w:ilvl w:val="0"/>
          <w:numId w:val="2"/>
        </w:numPr>
        <w:spacing w:after="0" w:afterAutospacing="0" w:line="360" w:lineRule="auto"/>
        <w:rPr>
          <w:rFonts w:asciiTheme="minorBidi" w:hAnsiTheme="minorBidi" w:cstheme="minorBidi"/>
          <w:color w:val="0F1115"/>
          <w:sz w:val="22"/>
          <w:szCs w:val="22"/>
        </w:rPr>
      </w:pPr>
      <w:r w:rsidRPr="005E467B">
        <w:rPr>
          <w:rFonts w:asciiTheme="minorBidi" w:hAnsiTheme="minorBidi" w:cstheme="minorBidi"/>
          <w:color w:val="0F1115"/>
          <w:sz w:val="22"/>
          <w:szCs w:val="22"/>
        </w:rPr>
        <w:t>Nilsson, A. (2026) </w:t>
      </w:r>
      <w:proofErr w:type="spellStart"/>
      <w:r w:rsidRPr="005E467B">
        <w:rPr>
          <w:rStyle w:val="Emphasis"/>
          <w:rFonts w:asciiTheme="minorBidi" w:hAnsiTheme="minorBidi" w:cstheme="minorBidi"/>
          <w:color w:val="0F1115"/>
          <w:sz w:val="22"/>
          <w:szCs w:val="22"/>
        </w:rPr>
        <w:t>Person-centred</w:t>
      </w:r>
      <w:proofErr w:type="spellEnd"/>
      <w:r w:rsidRPr="005E467B">
        <w:rPr>
          <w:rStyle w:val="Emphasis"/>
          <w:rFonts w:asciiTheme="minorBidi" w:hAnsiTheme="minorBidi" w:cstheme="minorBidi"/>
          <w:color w:val="0F1115"/>
          <w:sz w:val="22"/>
          <w:szCs w:val="22"/>
        </w:rPr>
        <w:t xml:space="preserve"> outpatient care for persons with long-term conditions</w:t>
      </w:r>
      <w:r w:rsidRPr="005E467B">
        <w:rPr>
          <w:rFonts w:asciiTheme="minorBidi" w:hAnsiTheme="minorBidi" w:cstheme="minorBidi"/>
          <w:color w:val="0F1115"/>
          <w:sz w:val="22"/>
          <w:szCs w:val="22"/>
        </w:rPr>
        <w:t xml:space="preserve">. Doctoral Thesis. </w:t>
      </w:r>
      <w:proofErr w:type="spellStart"/>
      <w:r w:rsidRPr="005E467B">
        <w:rPr>
          <w:rFonts w:asciiTheme="minorBidi" w:hAnsiTheme="minorBidi" w:cstheme="minorBidi"/>
          <w:color w:val="0F1115"/>
          <w:sz w:val="22"/>
          <w:szCs w:val="22"/>
        </w:rPr>
        <w:t>Kristianstad</w:t>
      </w:r>
      <w:proofErr w:type="spellEnd"/>
      <w:r w:rsidRPr="005E467B">
        <w:rPr>
          <w:rFonts w:asciiTheme="minorBidi" w:hAnsiTheme="minorBidi" w:cstheme="minorBidi"/>
          <w:color w:val="0F1115"/>
          <w:sz w:val="22"/>
          <w:szCs w:val="22"/>
        </w:rPr>
        <w:t xml:space="preserve">: </w:t>
      </w:r>
      <w:proofErr w:type="spellStart"/>
      <w:r w:rsidRPr="005E467B">
        <w:rPr>
          <w:rFonts w:asciiTheme="minorBidi" w:hAnsiTheme="minorBidi" w:cstheme="minorBidi"/>
          <w:color w:val="0F1115"/>
          <w:sz w:val="22"/>
          <w:szCs w:val="22"/>
        </w:rPr>
        <w:t>Högskolan</w:t>
      </w:r>
      <w:proofErr w:type="spellEnd"/>
      <w:r w:rsidRPr="005E467B">
        <w:rPr>
          <w:rFonts w:asciiTheme="minorBidi" w:hAnsiTheme="minorBidi" w:cstheme="minorBidi"/>
          <w:color w:val="0F1115"/>
          <w:sz w:val="22"/>
          <w:szCs w:val="22"/>
        </w:rPr>
        <w:t xml:space="preserve"> </w:t>
      </w:r>
      <w:proofErr w:type="spellStart"/>
      <w:r w:rsidRPr="005E467B">
        <w:rPr>
          <w:rFonts w:asciiTheme="minorBidi" w:hAnsiTheme="minorBidi" w:cstheme="minorBidi"/>
          <w:color w:val="0F1115"/>
          <w:sz w:val="22"/>
          <w:szCs w:val="22"/>
        </w:rPr>
        <w:t>Kristianstad</w:t>
      </w:r>
      <w:proofErr w:type="spellEnd"/>
      <w:r w:rsidRPr="005E467B">
        <w:rPr>
          <w:rFonts w:asciiTheme="minorBidi" w:hAnsiTheme="minorBidi" w:cstheme="minorBidi"/>
          <w:color w:val="0F1115"/>
          <w:sz w:val="22"/>
          <w:szCs w:val="22"/>
        </w:rPr>
        <w:t>.</w:t>
      </w:r>
      <w:r w:rsidR="000149AB" w:rsidRPr="005E467B">
        <w:rPr>
          <w:rFonts w:asciiTheme="minorBidi" w:hAnsiTheme="minorBidi" w:cstheme="minorBidi"/>
          <w:sz w:val="22"/>
          <w:szCs w:val="22"/>
        </w:rPr>
        <w:t xml:space="preserve"> </w:t>
      </w:r>
      <w:hyperlink r:id="rId14" w:history="1">
        <w:r w:rsidR="000149AB" w:rsidRPr="005E467B">
          <w:rPr>
            <w:rStyle w:val="Hyperlink"/>
            <w:rFonts w:asciiTheme="minorBidi" w:hAnsiTheme="minorBidi" w:cstheme="minorBidi"/>
            <w:sz w:val="22"/>
            <w:szCs w:val="22"/>
          </w:rPr>
          <w:t>https://researchportal.hkr.se/en/publications/person-centred-outpatient-care-for-persons-with-long-term-conditi/fingerprints/</w:t>
        </w:r>
      </w:hyperlink>
    </w:p>
    <w:p w14:paraId="026ABB1D" w14:textId="77777777" w:rsidR="000149AB" w:rsidRPr="005E467B" w:rsidRDefault="000149AB" w:rsidP="005E467B">
      <w:pPr>
        <w:pStyle w:val="ds-markdown-paragraph"/>
        <w:numPr>
          <w:ilvl w:val="0"/>
          <w:numId w:val="2"/>
        </w:numPr>
        <w:spacing w:after="0" w:afterAutospacing="0" w:line="360" w:lineRule="auto"/>
        <w:rPr>
          <w:rFonts w:asciiTheme="minorBidi" w:hAnsiTheme="minorBidi" w:cstheme="minorBidi"/>
          <w:color w:val="0F1115"/>
          <w:sz w:val="22"/>
          <w:szCs w:val="22"/>
        </w:rPr>
      </w:pPr>
      <w:proofErr w:type="spellStart"/>
      <w:r w:rsidRPr="005E467B">
        <w:rPr>
          <w:rFonts w:asciiTheme="minorBidi" w:hAnsiTheme="minorBidi" w:cstheme="minorBidi"/>
          <w:color w:val="222222"/>
          <w:sz w:val="22"/>
          <w:szCs w:val="22"/>
          <w:shd w:val="clear" w:color="auto" w:fill="FFFFFF"/>
        </w:rPr>
        <w:t>Mousazadeh</w:t>
      </w:r>
      <w:proofErr w:type="spellEnd"/>
      <w:r w:rsidRPr="005E467B">
        <w:rPr>
          <w:rFonts w:asciiTheme="minorBidi" w:hAnsiTheme="minorBidi" w:cstheme="minorBidi"/>
          <w:color w:val="222222"/>
          <w:sz w:val="22"/>
          <w:szCs w:val="22"/>
          <w:shd w:val="clear" w:color="auto" w:fill="FFFFFF"/>
        </w:rPr>
        <w:t xml:space="preserve">, N., </w:t>
      </w:r>
      <w:proofErr w:type="spellStart"/>
      <w:r w:rsidRPr="005E467B">
        <w:rPr>
          <w:rFonts w:asciiTheme="minorBidi" w:hAnsiTheme="minorBidi" w:cstheme="minorBidi"/>
          <w:color w:val="222222"/>
          <w:sz w:val="22"/>
          <w:szCs w:val="22"/>
          <w:shd w:val="clear" w:color="auto" w:fill="FFFFFF"/>
        </w:rPr>
        <w:t>Babaieasl</w:t>
      </w:r>
      <w:proofErr w:type="spellEnd"/>
      <w:r w:rsidRPr="005E467B">
        <w:rPr>
          <w:rFonts w:asciiTheme="minorBidi" w:hAnsiTheme="minorBidi" w:cstheme="minorBidi"/>
          <w:color w:val="222222"/>
          <w:sz w:val="22"/>
          <w:szCs w:val="22"/>
          <w:shd w:val="clear" w:color="auto" w:fill="FFFFFF"/>
        </w:rPr>
        <w:t xml:space="preserve">, F., </w:t>
      </w:r>
      <w:proofErr w:type="spellStart"/>
      <w:r w:rsidRPr="005E467B">
        <w:rPr>
          <w:rFonts w:asciiTheme="minorBidi" w:hAnsiTheme="minorBidi" w:cstheme="minorBidi"/>
          <w:color w:val="222222"/>
          <w:sz w:val="22"/>
          <w:szCs w:val="22"/>
          <w:shd w:val="clear" w:color="auto" w:fill="FFFFFF"/>
        </w:rPr>
        <w:t>Bagherian</w:t>
      </w:r>
      <w:proofErr w:type="spellEnd"/>
      <w:r w:rsidRPr="005E467B">
        <w:rPr>
          <w:rFonts w:asciiTheme="minorBidi" w:hAnsiTheme="minorBidi" w:cstheme="minorBidi"/>
          <w:color w:val="222222"/>
          <w:sz w:val="22"/>
          <w:szCs w:val="22"/>
          <w:shd w:val="clear" w:color="auto" w:fill="FFFFFF"/>
        </w:rPr>
        <w:t xml:space="preserve">, S. and </w:t>
      </w:r>
      <w:proofErr w:type="spellStart"/>
      <w:r w:rsidRPr="005E467B">
        <w:rPr>
          <w:rFonts w:asciiTheme="minorBidi" w:hAnsiTheme="minorBidi" w:cstheme="minorBidi"/>
          <w:color w:val="222222"/>
          <w:sz w:val="22"/>
          <w:szCs w:val="22"/>
          <w:shd w:val="clear" w:color="auto" w:fill="FFFFFF"/>
        </w:rPr>
        <w:t>Mivehchi</w:t>
      </w:r>
      <w:proofErr w:type="spellEnd"/>
      <w:r w:rsidRPr="005E467B">
        <w:rPr>
          <w:rFonts w:asciiTheme="minorBidi" w:hAnsiTheme="minorBidi" w:cstheme="minorBidi"/>
          <w:color w:val="222222"/>
          <w:sz w:val="22"/>
          <w:szCs w:val="22"/>
          <w:shd w:val="clear" w:color="auto" w:fill="FFFFFF"/>
        </w:rPr>
        <w:t>, S., 2025. The spectrum of person-centered care: from luxury to necessity: a descriptive qualitative study. </w:t>
      </w:r>
      <w:r w:rsidRPr="005E467B">
        <w:rPr>
          <w:rFonts w:asciiTheme="minorBidi" w:hAnsiTheme="minorBidi" w:cstheme="minorBidi"/>
          <w:i/>
          <w:iCs/>
          <w:color w:val="222222"/>
          <w:sz w:val="22"/>
          <w:szCs w:val="22"/>
          <w:shd w:val="clear" w:color="auto" w:fill="FFFFFF"/>
        </w:rPr>
        <w:t>BMC nursing</w:t>
      </w:r>
      <w:r w:rsidRPr="005E467B">
        <w:rPr>
          <w:rFonts w:asciiTheme="minorBidi" w:hAnsiTheme="minorBidi" w:cstheme="minorBidi"/>
          <w:color w:val="222222"/>
          <w:sz w:val="22"/>
          <w:szCs w:val="22"/>
          <w:shd w:val="clear" w:color="auto" w:fill="FFFFFF"/>
        </w:rPr>
        <w:t>, </w:t>
      </w:r>
      <w:r w:rsidRPr="005E467B">
        <w:rPr>
          <w:rFonts w:asciiTheme="minorBidi" w:hAnsiTheme="minorBidi" w:cstheme="minorBidi"/>
          <w:i/>
          <w:iCs/>
          <w:color w:val="222222"/>
          <w:sz w:val="22"/>
          <w:szCs w:val="22"/>
          <w:shd w:val="clear" w:color="auto" w:fill="FFFFFF"/>
        </w:rPr>
        <w:t>24</w:t>
      </w:r>
      <w:r w:rsidRPr="005E467B">
        <w:rPr>
          <w:rFonts w:asciiTheme="minorBidi" w:hAnsiTheme="minorBidi" w:cstheme="minorBidi"/>
          <w:color w:val="222222"/>
          <w:sz w:val="22"/>
          <w:szCs w:val="22"/>
          <w:shd w:val="clear" w:color="auto" w:fill="FFFFFF"/>
        </w:rPr>
        <w:t>(1), p.1078.</w:t>
      </w:r>
      <w:r w:rsidR="00BE4040" w:rsidRPr="005E467B">
        <w:rPr>
          <w:rFonts w:asciiTheme="minorBidi" w:hAnsiTheme="minorBidi" w:cstheme="minorBidi"/>
          <w:sz w:val="22"/>
          <w:szCs w:val="22"/>
        </w:rPr>
        <w:t xml:space="preserve"> </w:t>
      </w:r>
      <w:hyperlink r:id="rId15" w:history="1">
        <w:r w:rsidR="00BE4040" w:rsidRPr="005E467B">
          <w:rPr>
            <w:rStyle w:val="Hyperlink"/>
            <w:rFonts w:asciiTheme="minorBidi" w:hAnsiTheme="minorBidi" w:cstheme="minorBidi"/>
            <w:sz w:val="22"/>
            <w:szCs w:val="22"/>
            <w:shd w:val="clear" w:color="auto" w:fill="FFFFFF"/>
          </w:rPr>
          <w:t>https://link.springer.com/article/10.1186/s12912-025-03737-y</w:t>
        </w:r>
      </w:hyperlink>
    </w:p>
    <w:p w14:paraId="5398F444" w14:textId="77777777" w:rsidR="004104BE" w:rsidRPr="005E467B" w:rsidRDefault="004104BE" w:rsidP="005E467B">
      <w:pPr>
        <w:pStyle w:val="ds-markdown-paragraph"/>
        <w:numPr>
          <w:ilvl w:val="0"/>
          <w:numId w:val="2"/>
        </w:numPr>
        <w:spacing w:after="0" w:afterAutospacing="0" w:line="360" w:lineRule="auto"/>
        <w:rPr>
          <w:rFonts w:asciiTheme="minorBidi" w:hAnsiTheme="minorBidi" w:cstheme="minorBidi"/>
          <w:color w:val="0F1115"/>
          <w:sz w:val="22"/>
          <w:szCs w:val="22"/>
        </w:rPr>
      </w:pPr>
      <w:r w:rsidRPr="005E467B">
        <w:rPr>
          <w:rFonts w:asciiTheme="minorBidi" w:hAnsiTheme="minorBidi" w:cstheme="minorBidi"/>
          <w:color w:val="0F1115"/>
          <w:sz w:val="22"/>
          <w:szCs w:val="22"/>
        </w:rPr>
        <w:t>Thompson, R. (2024) ‘Partnership working in health and social care: a realist review’, </w:t>
      </w:r>
      <w:r w:rsidRPr="005E467B">
        <w:rPr>
          <w:rStyle w:val="Emphasis"/>
          <w:rFonts w:asciiTheme="minorBidi" w:hAnsiTheme="minorBidi" w:cstheme="minorBidi"/>
          <w:color w:val="0F1115"/>
          <w:sz w:val="22"/>
          <w:szCs w:val="22"/>
        </w:rPr>
        <w:t>Health &amp; Social Care in the Community</w:t>
      </w:r>
      <w:r w:rsidRPr="005E467B">
        <w:rPr>
          <w:rFonts w:asciiTheme="minorBidi" w:hAnsiTheme="minorBidi" w:cstheme="minorBidi"/>
          <w:color w:val="0F1115"/>
          <w:sz w:val="22"/>
          <w:szCs w:val="22"/>
        </w:rPr>
        <w:t>, 32(1), pp. 45–53.</w:t>
      </w:r>
    </w:p>
    <w:p w14:paraId="2DDFBF68" w14:textId="77777777" w:rsidR="004104BE" w:rsidRPr="005E467B" w:rsidRDefault="004104BE" w:rsidP="005E467B">
      <w:pPr>
        <w:spacing w:line="360" w:lineRule="auto"/>
        <w:rPr>
          <w:rFonts w:asciiTheme="minorBidi" w:hAnsiTheme="minorBidi"/>
        </w:rPr>
      </w:pPr>
    </w:p>
    <w:p w14:paraId="7BBEB612" w14:textId="77777777" w:rsidR="00315739" w:rsidRPr="005E467B" w:rsidRDefault="00315739" w:rsidP="005E467B">
      <w:pPr>
        <w:pStyle w:val="ListParagraph"/>
        <w:numPr>
          <w:ilvl w:val="0"/>
          <w:numId w:val="2"/>
        </w:numPr>
        <w:spacing w:line="360" w:lineRule="auto"/>
        <w:rPr>
          <w:rFonts w:asciiTheme="minorBidi" w:hAnsiTheme="minorBidi"/>
        </w:rPr>
      </w:pPr>
      <w:r w:rsidRPr="005E467B">
        <w:rPr>
          <w:rFonts w:asciiTheme="minorBidi" w:hAnsiTheme="minorBidi"/>
          <w:color w:val="222222"/>
          <w:shd w:val="clear" w:color="auto" w:fill="FFFFFF"/>
        </w:rPr>
        <w:t>Gabriel, K.P., 2025. </w:t>
      </w:r>
      <w:r w:rsidRPr="005E467B">
        <w:rPr>
          <w:rFonts w:asciiTheme="minorBidi" w:hAnsiTheme="minorBidi"/>
          <w:i/>
          <w:iCs/>
          <w:color w:val="222222"/>
          <w:shd w:val="clear" w:color="auto" w:fill="FFFFFF"/>
        </w:rPr>
        <w:t>Focusing on Strengths or Highlighting Deficits?: How Social Mission-Driven Organizations Take Strengths-Based Approaches to Destigmatization</w:t>
      </w:r>
      <w:r w:rsidRPr="005E467B">
        <w:rPr>
          <w:rFonts w:asciiTheme="minorBidi" w:hAnsiTheme="minorBidi"/>
          <w:color w:val="222222"/>
          <w:shd w:val="clear" w:color="auto" w:fill="FFFFFF"/>
        </w:rPr>
        <w:t> (Doctoral dissertation, The University of Arizona).</w:t>
      </w:r>
      <w:r w:rsidRPr="005E467B">
        <w:rPr>
          <w:rFonts w:asciiTheme="minorBidi" w:hAnsiTheme="minorBidi"/>
        </w:rPr>
        <w:t xml:space="preserve"> </w:t>
      </w:r>
      <w:hyperlink r:id="rId16" w:history="1">
        <w:r w:rsidRPr="005E467B">
          <w:rPr>
            <w:rStyle w:val="Hyperlink"/>
            <w:rFonts w:asciiTheme="minorBidi" w:hAnsiTheme="minorBidi"/>
            <w:shd w:val="clear" w:color="auto" w:fill="FFFFFF"/>
          </w:rPr>
          <w:t>https://search.proquest.com/openview/c7406b74a7f569c124736781d45691e4/1?pq-origsite=gscholar&amp;cbl=18750&amp;diss=y</w:t>
        </w:r>
      </w:hyperlink>
    </w:p>
    <w:p w14:paraId="5E5BC0B5" w14:textId="77777777" w:rsidR="00BE4040" w:rsidRPr="005E467B" w:rsidRDefault="00BE4040" w:rsidP="005E467B">
      <w:pPr>
        <w:pStyle w:val="ListParagraph"/>
        <w:numPr>
          <w:ilvl w:val="0"/>
          <w:numId w:val="2"/>
        </w:numPr>
        <w:spacing w:line="360" w:lineRule="auto"/>
        <w:rPr>
          <w:rFonts w:asciiTheme="minorBidi" w:hAnsiTheme="minorBidi"/>
          <w:color w:val="222222"/>
          <w:shd w:val="clear" w:color="auto" w:fill="FFFFFF"/>
        </w:rPr>
      </w:pPr>
      <w:proofErr w:type="spellStart"/>
      <w:r w:rsidRPr="005E467B">
        <w:rPr>
          <w:rFonts w:asciiTheme="minorBidi" w:hAnsiTheme="minorBidi"/>
          <w:color w:val="222222"/>
          <w:shd w:val="clear" w:color="auto" w:fill="FFFFFF"/>
        </w:rPr>
        <w:t>Slee</w:t>
      </w:r>
      <w:proofErr w:type="spellEnd"/>
      <w:r w:rsidRPr="005E467B">
        <w:rPr>
          <w:rFonts w:asciiTheme="minorBidi" w:hAnsiTheme="minorBidi"/>
          <w:color w:val="222222"/>
          <w:shd w:val="clear" w:color="auto" w:fill="FFFFFF"/>
        </w:rPr>
        <w:t>, B. and Hopkins, J., 2024. Place-Based Collaborative Action as a Means of Delivering Goods and Services in Rural Areas of Developed Economies. </w:t>
      </w:r>
      <w:r w:rsidRPr="005E467B">
        <w:rPr>
          <w:rFonts w:asciiTheme="minorBidi" w:hAnsiTheme="minorBidi"/>
          <w:i/>
          <w:iCs/>
          <w:color w:val="222222"/>
          <w:shd w:val="clear" w:color="auto" w:fill="FFFFFF"/>
        </w:rPr>
        <w:t>World</w:t>
      </w:r>
      <w:r w:rsidRPr="005E467B">
        <w:rPr>
          <w:rFonts w:asciiTheme="minorBidi" w:hAnsiTheme="minorBidi"/>
          <w:color w:val="222222"/>
          <w:shd w:val="clear" w:color="auto" w:fill="FFFFFF"/>
        </w:rPr>
        <w:t>, </w:t>
      </w:r>
      <w:r w:rsidRPr="005E467B">
        <w:rPr>
          <w:rFonts w:asciiTheme="minorBidi" w:hAnsiTheme="minorBidi"/>
          <w:i/>
          <w:iCs/>
          <w:color w:val="222222"/>
          <w:shd w:val="clear" w:color="auto" w:fill="FFFFFF"/>
        </w:rPr>
        <w:t>5</w:t>
      </w:r>
      <w:r w:rsidRPr="005E467B">
        <w:rPr>
          <w:rFonts w:asciiTheme="minorBidi" w:hAnsiTheme="minorBidi"/>
          <w:color w:val="222222"/>
          <w:shd w:val="clear" w:color="auto" w:fill="FFFFFF"/>
        </w:rPr>
        <w:t>(3), pp.506-526.</w:t>
      </w:r>
      <w:r w:rsidRPr="005E467B">
        <w:rPr>
          <w:rFonts w:asciiTheme="minorBidi" w:hAnsiTheme="minorBidi"/>
        </w:rPr>
        <w:t xml:space="preserve"> </w:t>
      </w:r>
      <w:hyperlink r:id="rId17" w:history="1">
        <w:r w:rsidRPr="005E467B">
          <w:rPr>
            <w:rStyle w:val="Hyperlink"/>
            <w:rFonts w:asciiTheme="minorBidi" w:hAnsiTheme="minorBidi"/>
            <w:shd w:val="clear" w:color="auto" w:fill="FFFFFF"/>
          </w:rPr>
          <w:t>https://www.mdpi.com/2673-4060/5/3/26</w:t>
        </w:r>
      </w:hyperlink>
    </w:p>
    <w:p w14:paraId="00FCB673" w14:textId="77777777" w:rsidR="00BE4040" w:rsidRPr="005E467B" w:rsidRDefault="00BE4040" w:rsidP="005E467B">
      <w:pPr>
        <w:pStyle w:val="ListParagraph"/>
        <w:numPr>
          <w:ilvl w:val="0"/>
          <w:numId w:val="2"/>
        </w:numPr>
        <w:spacing w:line="360" w:lineRule="auto"/>
        <w:rPr>
          <w:rFonts w:asciiTheme="minorBidi" w:hAnsiTheme="minorBidi"/>
          <w:color w:val="222222"/>
          <w:shd w:val="clear" w:color="auto" w:fill="FFFFFF"/>
        </w:rPr>
      </w:pPr>
      <w:r w:rsidRPr="005E467B">
        <w:rPr>
          <w:rFonts w:asciiTheme="minorBidi" w:hAnsiTheme="minorBidi"/>
          <w:color w:val="222222"/>
          <w:shd w:val="clear" w:color="auto" w:fill="FFFFFF"/>
        </w:rPr>
        <w:t>Thomson, L.J. and Chatterjee, H.J., 2024. Barriers and enablers of integrated care in the UK: a rapid evidence review of review articles and grey literature 2018–2022. </w:t>
      </w:r>
      <w:r w:rsidRPr="005E467B">
        <w:rPr>
          <w:rFonts w:asciiTheme="minorBidi" w:hAnsiTheme="minorBidi"/>
          <w:i/>
          <w:iCs/>
          <w:color w:val="222222"/>
          <w:shd w:val="clear" w:color="auto" w:fill="FFFFFF"/>
        </w:rPr>
        <w:t>Frontiers in Public Health</w:t>
      </w:r>
      <w:r w:rsidRPr="005E467B">
        <w:rPr>
          <w:rFonts w:asciiTheme="minorBidi" w:hAnsiTheme="minorBidi"/>
          <w:color w:val="222222"/>
          <w:shd w:val="clear" w:color="auto" w:fill="FFFFFF"/>
        </w:rPr>
        <w:t>, </w:t>
      </w:r>
      <w:r w:rsidRPr="005E467B">
        <w:rPr>
          <w:rFonts w:asciiTheme="minorBidi" w:hAnsiTheme="minorBidi"/>
          <w:i/>
          <w:iCs/>
          <w:color w:val="222222"/>
          <w:shd w:val="clear" w:color="auto" w:fill="FFFFFF"/>
        </w:rPr>
        <w:t>11</w:t>
      </w:r>
      <w:r w:rsidRPr="005E467B">
        <w:rPr>
          <w:rFonts w:asciiTheme="minorBidi" w:hAnsiTheme="minorBidi"/>
          <w:color w:val="222222"/>
          <w:shd w:val="clear" w:color="auto" w:fill="FFFFFF"/>
        </w:rPr>
        <w:t>, p.1286479.</w:t>
      </w:r>
      <w:r w:rsidRPr="005E467B">
        <w:rPr>
          <w:rFonts w:asciiTheme="minorBidi" w:hAnsiTheme="minorBidi"/>
        </w:rPr>
        <w:t xml:space="preserve"> </w:t>
      </w:r>
      <w:hyperlink r:id="rId18" w:history="1">
        <w:r w:rsidRPr="005E467B">
          <w:rPr>
            <w:rStyle w:val="Hyperlink"/>
            <w:rFonts w:asciiTheme="minorBidi" w:hAnsiTheme="minorBidi"/>
            <w:shd w:val="clear" w:color="auto" w:fill="FFFFFF"/>
          </w:rPr>
          <w:t>https://www.frontiersin.org/journals/public-health/articles/10.3389/fpubh.2023.1286479/full</w:t>
        </w:r>
      </w:hyperlink>
    </w:p>
    <w:p w14:paraId="79F01352" w14:textId="77777777" w:rsidR="00315739" w:rsidRPr="005E467B" w:rsidRDefault="00315739" w:rsidP="005E467B">
      <w:pPr>
        <w:pStyle w:val="ListParagraph"/>
        <w:numPr>
          <w:ilvl w:val="0"/>
          <w:numId w:val="2"/>
        </w:numPr>
        <w:spacing w:line="360" w:lineRule="auto"/>
        <w:rPr>
          <w:rFonts w:asciiTheme="minorBidi" w:hAnsiTheme="minorBidi"/>
          <w:color w:val="222222"/>
          <w:shd w:val="clear" w:color="auto" w:fill="FFFFFF"/>
        </w:rPr>
      </w:pPr>
      <w:r w:rsidRPr="005E467B">
        <w:rPr>
          <w:rFonts w:asciiTheme="minorBidi" w:hAnsiTheme="minorBidi"/>
          <w:color w:val="222222"/>
          <w:shd w:val="clear" w:color="auto" w:fill="FFFFFF"/>
        </w:rPr>
        <w:t>Price, N., 2026. </w:t>
      </w:r>
      <w:r w:rsidRPr="005E467B">
        <w:rPr>
          <w:rFonts w:asciiTheme="minorBidi" w:hAnsiTheme="minorBidi"/>
          <w:i/>
          <w:iCs/>
          <w:color w:val="222222"/>
          <w:shd w:val="clear" w:color="auto" w:fill="FFFFFF"/>
        </w:rPr>
        <w:t>Effective Leadership Strategies for Aligning Vision and Mission to Drive Sustainability</w:t>
      </w:r>
      <w:r w:rsidRPr="005E467B">
        <w:rPr>
          <w:rFonts w:asciiTheme="minorBidi" w:hAnsiTheme="minorBidi"/>
          <w:color w:val="222222"/>
          <w:shd w:val="clear" w:color="auto" w:fill="FFFFFF"/>
        </w:rPr>
        <w:t> (Doctoral dissertation, Walden University).</w:t>
      </w:r>
      <w:r w:rsidRPr="005E467B">
        <w:rPr>
          <w:rFonts w:asciiTheme="minorBidi" w:hAnsiTheme="minorBidi"/>
        </w:rPr>
        <w:t xml:space="preserve"> </w:t>
      </w:r>
      <w:hyperlink r:id="rId19" w:history="1">
        <w:r w:rsidRPr="005E467B">
          <w:rPr>
            <w:rStyle w:val="Hyperlink"/>
            <w:rFonts w:asciiTheme="minorBidi" w:hAnsiTheme="minorBidi"/>
            <w:shd w:val="clear" w:color="auto" w:fill="FFFFFF"/>
          </w:rPr>
          <w:t>https://search.proquest.com/openview/7cfd9a0c35012d1503e42dca2573deb7/1?pq-origsite=gscholar&amp;cbl=18750&amp;diss=y</w:t>
        </w:r>
      </w:hyperlink>
    </w:p>
    <w:p w14:paraId="0A221DD1" w14:textId="77777777" w:rsidR="00BE4040" w:rsidRPr="004104BE" w:rsidRDefault="00BE4040" w:rsidP="004104BE">
      <w:pPr>
        <w:spacing w:line="360" w:lineRule="auto"/>
        <w:rPr>
          <w:rFonts w:asciiTheme="minorBidi" w:hAnsiTheme="minorBidi"/>
        </w:rPr>
      </w:pPr>
    </w:p>
    <w:sectPr w:rsidR="00BE4040" w:rsidRPr="004104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0A213C"/>
    <w:multiLevelType w:val="hybridMultilevel"/>
    <w:tmpl w:val="AFFE29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7C4488"/>
    <w:multiLevelType w:val="multilevel"/>
    <w:tmpl w:val="BD920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4658708">
    <w:abstractNumId w:val="1"/>
  </w:num>
  <w:num w:numId="2" w16cid:durableId="6541159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11BB"/>
    <w:rsid w:val="000149AB"/>
    <w:rsid w:val="000924F8"/>
    <w:rsid w:val="00143281"/>
    <w:rsid w:val="00266AE2"/>
    <w:rsid w:val="00315739"/>
    <w:rsid w:val="004104BE"/>
    <w:rsid w:val="0058188C"/>
    <w:rsid w:val="005E467B"/>
    <w:rsid w:val="006B79A5"/>
    <w:rsid w:val="007211BB"/>
    <w:rsid w:val="007E56C5"/>
    <w:rsid w:val="00925254"/>
    <w:rsid w:val="009C26E8"/>
    <w:rsid w:val="00AD1657"/>
    <w:rsid w:val="00BE4040"/>
    <w:rsid w:val="00C22AB6"/>
    <w:rsid w:val="00E5163A"/>
    <w:rsid w:val="00E735FC"/>
    <w:rsid w:val="00F77890"/>
    <w:rsid w:val="00FD6F87"/>
    <w:rsid w:val="00FE02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9109F"/>
  <w15:chartTrackingRefBased/>
  <w15:docId w15:val="{699E3375-E437-42AD-A79B-C7DE82380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AE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104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7211B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211BB"/>
    <w:rPr>
      <w:rFonts w:ascii="Times New Roman" w:eastAsia="Times New Roman" w:hAnsi="Times New Roman" w:cs="Times New Roman"/>
      <w:b/>
      <w:bCs/>
      <w:sz w:val="27"/>
      <w:szCs w:val="27"/>
    </w:rPr>
  </w:style>
  <w:style w:type="paragraph" w:customStyle="1" w:styleId="ds-markdown-paragraph">
    <w:name w:val="ds-markdown-paragraph"/>
    <w:basedOn w:val="Normal"/>
    <w:rsid w:val="007211B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4104BE"/>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4104BE"/>
    <w:rPr>
      <w:i/>
      <w:iCs/>
    </w:rPr>
  </w:style>
  <w:style w:type="character" w:styleId="Hyperlink">
    <w:name w:val="Hyperlink"/>
    <w:basedOn w:val="DefaultParagraphFont"/>
    <w:uiPriority w:val="99"/>
    <w:unhideWhenUsed/>
    <w:rsid w:val="00E735FC"/>
    <w:rPr>
      <w:color w:val="0563C1" w:themeColor="hyperlink"/>
      <w:u w:val="single"/>
    </w:rPr>
  </w:style>
  <w:style w:type="paragraph" w:styleId="ListParagraph">
    <w:name w:val="List Paragraph"/>
    <w:basedOn w:val="Normal"/>
    <w:uiPriority w:val="34"/>
    <w:qFormat/>
    <w:rsid w:val="005E467B"/>
    <w:pPr>
      <w:ind w:left="720"/>
      <w:contextualSpacing/>
    </w:pPr>
  </w:style>
  <w:style w:type="character" w:styleId="Strong">
    <w:name w:val="Strong"/>
    <w:basedOn w:val="DefaultParagraphFont"/>
    <w:uiPriority w:val="22"/>
    <w:qFormat/>
    <w:rsid w:val="005E467B"/>
    <w:rPr>
      <w:b/>
      <w:bCs/>
    </w:rPr>
  </w:style>
  <w:style w:type="character" w:customStyle="1" w:styleId="Heading1Char">
    <w:name w:val="Heading 1 Char"/>
    <w:basedOn w:val="DefaultParagraphFont"/>
    <w:link w:val="Heading1"/>
    <w:uiPriority w:val="9"/>
    <w:rsid w:val="00266AE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66AE2"/>
    <w:pPr>
      <w:outlineLvl w:val="9"/>
    </w:pPr>
  </w:style>
  <w:style w:type="paragraph" w:styleId="TOC3">
    <w:name w:val="toc 3"/>
    <w:basedOn w:val="Normal"/>
    <w:next w:val="Normal"/>
    <w:autoRedefine/>
    <w:uiPriority w:val="39"/>
    <w:unhideWhenUsed/>
    <w:rsid w:val="00266AE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308528">
      <w:bodyDiv w:val="1"/>
      <w:marLeft w:val="0"/>
      <w:marRight w:val="0"/>
      <w:marTop w:val="0"/>
      <w:marBottom w:val="0"/>
      <w:divBdr>
        <w:top w:val="none" w:sz="0" w:space="0" w:color="auto"/>
        <w:left w:val="none" w:sz="0" w:space="0" w:color="auto"/>
        <w:bottom w:val="none" w:sz="0" w:space="0" w:color="auto"/>
        <w:right w:val="none" w:sz="0" w:space="0" w:color="auto"/>
      </w:divBdr>
    </w:div>
    <w:div w:id="274336026">
      <w:bodyDiv w:val="1"/>
      <w:marLeft w:val="0"/>
      <w:marRight w:val="0"/>
      <w:marTop w:val="0"/>
      <w:marBottom w:val="0"/>
      <w:divBdr>
        <w:top w:val="none" w:sz="0" w:space="0" w:color="auto"/>
        <w:left w:val="none" w:sz="0" w:space="0" w:color="auto"/>
        <w:bottom w:val="none" w:sz="0" w:space="0" w:color="auto"/>
        <w:right w:val="none" w:sz="0" w:space="0" w:color="auto"/>
      </w:divBdr>
      <w:divsChild>
        <w:div w:id="649946550">
          <w:marLeft w:val="0"/>
          <w:marRight w:val="0"/>
          <w:marTop w:val="0"/>
          <w:marBottom w:val="0"/>
          <w:divBdr>
            <w:top w:val="none" w:sz="0" w:space="0" w:color="auto"/>
            <w:left w:val="none" w:sz="0" w:space="0" w:color="auto"/>
            <w:bottom w:val="none" w:sz="0" w:space="0" w:color="auto"/>
            <w:right w:val="none" w:sz="0" w:space="0" w:color="auto"/>
          </w:divBdr>
          <w:divsChild>
            <w:div w:id="158841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866066">
      <w:bodyDiv w:val="1"/>
      <w:marLeft w:val="0"/>
      <w:marRight w:val="0"/>
      <w:marTop w:val="0"/>
      <w:marBottom w:val="0"/>
      <w:divBdr>
        <w:top w:val="none" w:sz="0" w:space="0" w:color="auto"/>
        <w:left w:val="none" w:sz="0" w:space="0" w:color="auto"/>
        <w:bottom w:val="none" w:sz="0" w:space="0" w:color="auto"/>
        <w:right w:val="none" w:sz="0" w:space="0" w:color="auto"/>
      </w:divBdr>
    </w:div>
    <w:div w:id="898593690">
      <w:bodyDiv w:val="1"/>
      <w:marLeft w:val="0"/>
      <w:marRight w:val="0"/>
      <w:marTop w:val="0"/>
      <w:marBottom w:val="0"/>
      <w:divBdr>
        <w:top w:val="none" w:sz="0" w:space="0" w:color="auto"/>
        <w:left w:val="none" w:sz="0" w:space="0" w:color="auto"/>
        <w:bottom w:val="none" w:sz="0" w:space="0" w:color="auto"/>
        <w:right w:val="none" w:sz="0" w:space="0" w:color="auto"/>
      </w:divBdr>
    </w:div>
    <w:div w:id="1353338895">
      <w:bodyDiv w:val="1"/>
      <w:marLeft w:val="0"/>
      <w:marRight w:val="0"/>
      <w:marTop w:val="0"/>
      <w:marBottom w:val="0"/>
      <w:divBdr>
        <w:top w:val="none" w:sz="0" w:space="0" w:color="auto"/>
        <w:left w:val="none" w:sz="0" w:space="0" w:color="auto"/>
        <w:bottom w:val="none" w:sz="0" w:space="0" w:color="auto"/>
        <w:right w:val="none" w:sz="0" w:space="0" w:color="auto"/>
      </w:divBdr>
      <w:divsChild>
        <w:div w:id="1931691943">
          <w:marLeft w:val="0"/>
          <w:marRight w:val="0"/>
          <w:marTop w:val="0"/>
          <w:marBottom w:val="0"/>
          <w:divBdr>
            <w:top w:val="none" w:sz="0" w:space="0" w:color="auto"/>
            <w:left w:val="none" w:sz="0" w:space="0" w:color="auto"/>
            <w:bottom w:val="none" w:sz="0" w:space="0" w:color="auto"/>
            <w:right w:val="none" w:sz="0" w:space="0" w:color="auto"/>
          </w:divBdr>
          <w:divsChild>
            <w:div w:id="559481269">
              <w:marLeft w:val="0"/>
              <w:marRight w:val="0"/>
              <w:marTop w:val="0"/>
              <w:marBottom w:val="0"/>
              <w:divBdr>
                <w:top w:val="none" w:sz="0" w:space="0" w:color="auto"/>
                <w:left w:val="none" w:sz="0" w:space="0" w:color="auto"/>
                <w:bottom w:val="none" w:sz="0" w:space="0" w:color="auto"/>
                <w:right w:val="none" w:sz="0" w:space="0" w:color="auto"/>
              </w:divBdr>
              <w:divsChild>
                <w:div w:id="65564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44331">
          <w:marLeft w:val="0"/>
          <w:marRight w:val="0"/>
          <w:marTop w:val="0"/>
          <w:marBottom w:val="0"/>
          <w:divBdr>
            <w:top w:val="none" w:sz="0" w:space="0" w:color="auto"/>
            <w:left w:val="none" w:sz="0" w:space="0" w:color="auto"/>
            <w:bottom w:val="none" w:sz="0" w:space="0" w:color="auto"/>
            <w:right w:val="none" w:sz="0" w:space="0" w:color="auto"/>
          </w:divBdr>
          <w:divsChild>
            <w:div w:id="1904171018">
              <w:marLeft w:val="0"/>
              <w:marRight w:val="0"/>
              <w:marTop w:val="0"/>
              <w:marBottom w:val="0"/>
              <w:divBdr>
                <w:top w:val="none" w:sz="0" w:space="0" w:color="auto"/>
                <w:left w:val="none" w:sz="0" w:space="0" w:color="auto"/>
                <w:bottom w:val="none" w:sz="0" w:space="0" w:color="auto"/>
                <w:right w:val="none" w:sz="0" w:space="0" w:color="auto"/>
              </w:divBdr>
              <w:divsChild>
                <w:div w:id="160283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840035">
          <w:marLeft w:val="0"/>
          <w:marRight w:val="0"/>
          <w:marTop w:val="0"/>
          <w:marBottom w:val="0"/>
          <w:divBdr>
            <w:top w:val="none" w:sz="0" w:space="0" w:color="auto"/>
            <w:left w:val="none" w:sz="0" w:space="0" w:color="auto"/>
            <w:bottom w:val="none" w:sz="0" w:space="0" w:color="auto"/>
            <w:right w:val="none" w:sz="0" w:space="0" w:color="auto"/>
          </w:divBdr>
          <w:divsChild>
            <w:div w:id="603806163">
              <w:marLeft w:val="0"/>
              <w:marRight w:val="0"/>
              <w:marTop w:val="0"/>
              <w:marBottom w:val="0"/>
              <w:divBdr>
                <w:top w:val="none" w:sz="0" w:space="0" w:color="auto"/>
                <w:left w:val="none" w:sz="0" w:space="0" w:color="auto"/>
                <w:bottom w:val="none" w:sz="0" w:space="0" w:color="auto"/>
                <w:right w:val="none" w:sz="0" w:space="0" w:color="auto"/>
              </w:divBdr>
              <w:divsChild>
                <w:div w:id="1428499400">
                  <w:marLeft w:val="0"/>
                  <w:marRight w:val="0"/>
                  <w:marTop w:val="0"/>
                  <w:marBottom w:val="150"/>
                  <w:divBdr>
                    <w:top w:val="none" w:sz="0" w:space="0" w:color="auto"/>
                    <w:left w:val="none" w:sz="0" w:space="0" w:color="auto"/>
                    <w:bottom w:val="none" w:sz="0" w:space="0" w:color="auto"/>
                    <w:right w:val="none" w:sz="0" w:space="0" w:color="auto"/>
                  </w:divBdr>
                  <w:divsChild>
                    <w:div w:id="348485509">
                      <w:marLeft w:val="0"/>
                      <w:marRight w:val="0"/>
                      <w:marTop w:val="0"/>
                      <w:marBottom w:val="0"/>
                      <w:divBdr>
                        <w:top w:val="none" w:sz="0" w:space="0" w:color="auto"/>
                        <w:left w:val="none" w:sz="0" w:space="0" w:color="auto"/>
                        <w:bottom w:val="none" w:sz="0" w:space="0" w:color="auto"/>
                        <w:right w:val="none" w:sz="0" w:space="0" w:color="auto"/>
                      </w:divBdr>
                    </w:div>
                    <w:div w:id="1051154203">
                      <w:marLeft w:val="0"/>
                      <w:marRight w:val="0"/>
                      <w:marTop w:val="60"/>
                      <w:marBottom w:val="0"/>
                      <w:divBdr>
                        <w:top w:val="none" w:sz="0" w:space="0" w:color="auto"/>
                        <w:left w:val="none" w:sz="0" w:space="0" w:color="auto"/>
                        <w:bottom w:val="none" w:sz="0" w:space="0" w:color="auto"/>
                        <w:right w:val="none" w:sz="0" w:space="0" w:color="auto"/>
                      </w:divBdr>
                      <w:divsChild>
                        <w:div w:id="167964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usinglin.org.uk/_assets/Resources/Housing/Policy_documents/the-hewitt-review.pdf" TargetMode="External"/><Relationship Id="rId13" Type="http://schemas.openxmlformats.org/officeDocument/2006/relationships/hyperlink" Target="https://www.england.nhs.uk/2019/01/long-term-plan/" TargetMode="External"/><Relationship Id="rId18" Type="http://schemas.openxmlformats.org/officeDocument/2006/relationships/hyperlink" Target="https://www.frontiersin.org/journals/public-health/articles/10.3389/fpubh.2023.1286479/ful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aru.figshare.com/articles/thesis/To_what_extent_does_a_focus_on_accountability_promote_regulatory_compliance_in_the_UK_financial_services_sector_/25133663" TargetMode="External"/><Relationship Id="rId12" Type="http://schemas.openxmlformats.org/officeDocument/2006/relationships/hyperlink" Target="https://myhomelife.org.uk/wp-content/uploads/2026/02/MHLE-Partnership-Working-Report_2026.pdf" TargetMode="External"/><Relationship Id="rId17" Type="http://schemas.openxmlformats.org/officeDocument/2006/relationships/hyperlink" Target="https://www.mdpi.com/2673-4060/5/3/26" TargetMode="External"/><Relationship Id="rId2" Type="http://schemas.openxmlformats.org/officeDocument/2006/relationships/numbering" Target="numbering.xml"/><Relationship Id="rId16" Type="http://schemas.openxmlformats.org/officeDocument/2006/relationships/hyperlink" Target="https://search.proquest.com/openview/c7406b74a7f569c124736781d45691e4/1?pq-origsite=gscholar&amp;cbl=18750&amp;diss=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ambridge.org/core/journals/cambridge-quarterly-of-healthcare-ethics/article/common-morality-principles-in-biomedical-ethics-responses-to-critics/F4A98DE572AD071D9567B74F17B5837D" TargetMode="External"/><Relationship Id="rId11" Type="http://schemas.openxmlformats.org/officeDocument/2006/relationships/hyperlink" Target="%20https:/link.springer.com/article/10.1007/s40592-023-00184-w" TargetMode="External"/><Relationship Id="rId5" Type="http://schemas.openxmlformats.org/officeDocument/2006/relationships/webSettings" Target="webSettings.xml"/><Relationship Id="rId15" Type="http://schemas.openxmlformats.org/officeDocument/2006/relationships/hyperlink" Target="https://link.springer.com/article/10.1186/s12912-025-03737-y" TargetMode="External"/><Relationship Id="rId10" Type="http://schemas.openxmlformats.org/officeDocument/2006/relationships/hyperlink" Target="https://www.magonlinelibrary.com/doi/full/10.12968/bjon.2023.32.15.754" TargetMode="External"/><Relationship Id="rId19" Type="http://schemas.openxmlformats.org/officeDocument/2006/relationships/hyperlink" Target="https://search.proquest.com/openview/7cfd9a0c35012d1503e42dca2573deb7/1?pq-origsite=gscholar&amp;cbl=18750&amp;diss=y" TargetMode="External"/><Relationship Id="rId4" Type="http://schemas.openxmlformats.org/officeDocument/2006/relationships/settings" Target="settings.xml"/><Relationship Id="rId9" Type="http://schemas.openxmlformats.org/officeDocument/2006/relationships/hyperlink" Target="https://books.google.com/books?hl=en&amp;lr=&amp;id=JBT5EAAAQBAJ&amp;oi=fnd&amp;pg=PR9&amp;dq=McCormack,+B.+and+McCance,+T.+(2017)+Person-Centred+Practice+in+Nursing+and+Health+Care:+Theory+and+Practice.+2nd+edn.+Chichester:+Wiley-Blackwell.&amp;ots=iVV518N0KC&amp;sig=-MMPzc-wuuDBk3163UOWWFAfsvI" TargetMode="External"/><Relationship Id="rId14" Type="http://schemas.openxmlformats.org/officeDocument/2006/relationships/hyperlink" Target="https://researchportal.hkr.se/en/publications/person-centred-outpatient-care-for-persons-with-long-term-conditi/fingerpri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E8060-4B5D-472B-A6A3-E6C4D2C1BC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Pages>
  <Words>3173</Words>
  <Characters>18091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 Solution</dc:creator>
  <cp:keywords/>
  <dc:description/>
  <cp:lastModifiedBy>varisha Altash</cp:lastModifiedBy>
  <cp:revision>7</cp:revision>
  <dcterms:created xsi:type="dcterms:W3CDTF">2026-03-27T18:58:00Z</dcterms:created>
  <dcterms:modified xsi:type="dcterms:W3CDTF">2026-03-29T00:08:00Z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9246cb40-7fab-403f-8da4-d3484a6dd732</vt:lpwstr>
  </property>
</Properties>
</file>