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0C37" w:rsidRDefault="007E19E1">
      <w:pPr>
        <w:widowControl w:val="0"/>
        <w:spacing w:before="200"/>
      </w:pPr>
      <w:r>
        <w:rPr>
          <w:noProof/>
          <w:lang w:val="en-US"/>
        </w:rPr>
        <w:drawing>
          <wp:anchor distT="0" distB="0" distL="114300" distR="114300" simplePos="0" relativeHeight="251658240" behindDoc="0" locked="0" layoutInCell="1" allowOverlap="1">
            <wp:simplePos x="0" y="0"/>
            <wp:positionH relativeFrom="column">
              <wp:posOffset>911860</wp:posOffset>
            </wp:positionH>
            <wp:positionV relativeFrom="paragraph">
              <wp:posOffset>0</wp:posOffset>
            </wp:positionV>
            <wp:extent cx="4037330" cy="1586865"/>
            <wp:effectExtent l="19050" t="0" r="1270" b="0"/>
            <wp:wrapSquare wrapText="bothSides" distT="0" distB="0" distL="114300" distR="114300"/>
            <wp:docPr id="716284451" name="image2.png" descr="University of Wales Trinity Saint David | World-Class Education in Wales"/>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 World-Class Education in Wales"/>
                    <pic:cNvPicPr preferRelativeResize="0"/>
                  </pic:nvPicPr>
                  <pic:blipFill>
                    <a:blip r:embed="rId7"/>
                    <a:srcRect/>
                    <a:stretch>
                      <a:fillRect/>
                    </a:stretch>
                  </pic:blipFill>
                  <pic:spPr>
                    <a:xfrm>
                      <a:off x="0" y="0"/>
                      <a:ext cx="4037330" cy="1586865"/>
                    </a:xfrm>
                    <a:prstGeom prst="rect">
                      <a:avLst/>
                    </a:prstGeom>
                    <a:ln/>
                  </pic:spPr>
                </pic:pic>
              </a:graphicData>
            </a:graphic>
          </wp:anchor>
        </w:drawing>
      </w:r>
    </w:p>
    <w:p w:rsidR="000B0C37" w:rsidRDefault="000B0C37">
      <w:pPr>
        <w:widowControl w:val="0"/>
        <w:spacing w:before="200"/>
      </w:pPr>
    </w:p>
    <w:p w:rsidR="000B0C37" w:rsidRDefault="000B0C37">
      <w:pPr>
        <w:widowControl w:val="0"/>
        <w:spacing w:before="200"/>
        <w:jc w:val="center"/>
        <w:rPr>
          <w:b/>
          <w:sz w:val="32"/>
          <w:szCs w:val="32"/>
        </w:rPr>
      </w:pPr>
    </w:p>
    <w:p w:rsidR="003E026B" w:rsidRDefault="003E026B" w:rsidP="003E026B">
      <w:pPr>
        <w:widowControl w:val="0"/>
        <w:spacing w:before="200"/>
        <w:jc w:val="center"/>
        <w:rPr>
          <w:rStyle w:val="IntenseEmphasis"/>
          <w:i w:val="0"/>
          <w:color w:val="000000" w:themeColor="text1"/>
          <w:sz w:val="32"/>
          <w:szCs w:val="32"/>
        </w:rPr>
      </w:pPr>
    </w:p>
    <w:p w:rsidR="003E026B" w:rsidRPr="00560D82" w:rsidRDefault="003E026B" w:rsidP="003E026B">
      <w:pPr>
        <w:widowControl w:val="0"/>
        <w:spacing w:before="200"/>
        <w:jc w:val="center"/>
        <w:rPr>
          <w:rStyle w:val="IntenseEmphasis"/>
          <w:i w:val="0"/>
          <w:color w:val="000000" w:themeColor="text1"/>
          <w:sz w:val="36"/>
          <w:szCs w:val="36"/>
        </w:rPr>
      </w:pPr>
      <w:r w:rsidRPr="00560D82">
        <w:rPr>
          <w:rStyle w:val="IntenseEmphasis"/>
          <w:b/>
          <w:i w:val="0"/>
          <w:color w:val="000000" w:themeColor="text1"/>
          <w:sz w:val="36"/>
          <w:szCs w:val="36"/>
        </w:rPr>
        <w:t>Programme Name:</w:t>
      </w:r>
      <w:r w:rsidRPr="00560D82">
        <w:rPr>
          <w:rStyle w:val="IntenseEmphasis"/>
          <w:i w:val="0"/>
          <w:color w:val="000000" w:themeColor="text1"/>
          <w:sz w:val="36"/>
          <w:szCs w:val="36"/>
        </w:rPr>
        <w:t xml:space="preserve"> Master of Business Administration</w:t>
      </w:r>
    </w:p>
    <w:p w:rsidR="003E026B" w:rsidRPr="00560D82" w:rsidRDefault="003E026B" w:rsidP="003E026B">
      <w:pPr>
        <w:widowControl w:val="0"/>
        <w:spacing w:before="200"/>
        <w:jc w:val="center"/>
        <w:rPr>
          <w:rStyle w:val="IntenseEmphasis"/>
          <w:i w:val="0"/>
          <w:color w:val="000000" w:themeColor="text1"/>
          <w:sz w:val="36"/>
          <w:szCs w:val="36"/>
        </w:rPr>
      </w:pPr>
      <w:r w:rsidRPr="00560D82">
        <w:rPr>
          <w:rStyle w:val="IntenseEmphasis"/>
          <w:i w:val="0"/>
          <w:color w:val="000000" w:themeColor="text1"/>
          <w:sz w:val="36"/>
          <w:szCs w:val="36"/>
        </w:rPr>
        <w:t xml:space="preserve">       </w:t>
      </w:r>
      <w:r w:rsidRPr="00560D82">
        <w:rPr>
          <w:rStyle w:val="IntenseEmphasis"/>
          <w:b/>
          <w:i w:val="0"/>
          <w:color w:val="000000" w:themeColor="text1"/>
          <w:sz w:val="36"/>
          <w:szCs w:val="36"/>
        </w:rPr>
        <w:t xml:space="preserve">Module Name:  </w:t>
      </w:r>
      <w:r w:rsidRPr="00560D82">
        <w:rPr>
          <w:rStyle w:val="IntenseEmphasis"/>
          <w:i w:val="0"/>
          <w:color w:val="000000" w:themeColor="text1"/>
          <w:sz w:val="36"/>
          <w:szCs w:val="36"/>
        </w:rPr>
        <w:t xml:space="preserve">Marketing Management </w:t>
      </w:r>
    </w:p>
    <w:p w:rsidR="003E026B" w:rsidRPr="00560D82" w:rsidRDefault="003E026B" w:rsidP="003E026B">
      <w:pPr>
        <w:widowControl w:val="0"/>
        <w:spacing w:before="200"/>
        <w:jc w:val="center"/>
        <w:rPr>
          <w:iCs/>
          <w:color w:val="000000" w:themeColor="text1"/>
          <w:sz w:val="36"/>
          <w:szCs w:val="36"/>
        </w:rPr>
      </w:pPr>
      <w:r w:rsidRPr="00560D82">
        <w:rPr>
          <w:rStyle w:val="IntenseEmphasis"/>
          <w:b/>
          <w:i w:val="0"/>
          <w:color w:val="000000" w:themeColor="text1"/>
          <w:sz w:val="36"/>
          <w:szCs w:val="36"/>
        </w:rPr>
        <w:t xml:space="preserve">     Module code:</w:t>
      </w:r>
      <w:r w:rsidRPr="00560D82">
        <w:rPr>
          <w:rStyle w:val="IntenseEmphasis"/>
          <w:i w:val="0"/>
          <w:color w:val="000000" w:themeColor="text1"/>
          <w:sz w:val="36"/>
          <w:szCs w:val="36"/>
        </w:rPr>
        <w:t xml:space="preserve">  LCMB7024</w:t>
      </w:r>
    </w:p>
    <w:p w:rsidR="003E026B" w:rsidRPr="00560D82" w:rsidRDefault="003E026B" w:rsidP="003E026B">
      <w:pPr>
        <w:widowControl w:val="0"/>
        <w:spacing w:before="200"/>
        <w:jc w:val="center"/>
        <w:rPr>
          <w:rStyle w:val="IntenseEmphasis"/>
          <w:i w:val="0"/>
          <w:color w:val="000000" w:themeColor="text1"/>
          <w:sz w:val="36"/>
          <w:szCs w:val="36"/>
        </w:rPr>
      </w:pPr>
      <w:r w:rsidRPr="00560D82">
        <w:rPr>
          <w:rStyle w:val="IntenseEmphasis"/>
          <w:b/>
          <w:i w:val="0"/>
          <w:color w:val="000000" w:themeColor="text1"/>
          <w:sz w:val="36"/>
          <w:szCs w:val="36"/>
        </w:rPr>
        <w:t>Assignment Title:</w:t>
      </w:r>
      <w:r w:rsidRPr="00560D82">
        <w:rPr>
          <w:rStyle w:val="IntenseEmphasis"/>
          <w:i w:val="0"/>
          <w:color w:val="000000" w:themeColor="text1"/>
          <w:sz w:val="36"/>
          <w:szCs w:val="36"/>
        </w:rPr>
        <w:t xml:space="preserve"> </w:t>
      </w:r>
      <w:r w:rsidRPr="00560D82">
        <w:rPr>
          <w:iCs/>
          <w:color w:val="000000" w:themeColor="text1"/>
          <w:sz w:val="36"/>
          <w:szCs w:val="36"/>
        </w:rPr>
        <w:t>Assessment Component 1- Essay</w:t>
      </w:r>
    </w:p>
    <w:p w:rsidR="003E026B" w:rsidRPr="00560D82" w:rsidRDefault="003E026B" w:rsidP="003E026B">
      <w:pPr>
        <w:widowControl w:val="0"/>
        <w:spacing w:before="200"/>
        <w:jc w:val="center"/>
        <w:rPr>
          <w:rStyle w:val="IntenseEmphasis"/>
          <w:i w:val="0"/>
          <w:color w:val="000000" w:themeColor="text1"/>
          <w:sz w:val="36"/>
          <w:szCs w:val="36"/>
        </w:rPr>
      </w:pPr>
      <w:r w:rsidRPr="00560D82">
        <w:rPr>
          <w:rStyle w:val="IntenseEmphasis"/>
          <w:i w:val="0"/>
          <w:color w:val="000000" w:themeColor="text1"/>
          <w:sz w:val="36"/>
          <w:szCs w:val="36"/>
        </w:rPr>
        <w:t xml:space="preserve">          </w:t>
      </w:r>
    </w:p>
    <w:p w:rsidR="003E026B" w:rsidRPr="00F44594" w:rsidRDefault="00560D82" w:rsidP="003E026B">
      <w:pPr>
        <w:widowControl w:val="0"/>
        <w:tabs>
          <w:tab w:val="left" w:pos="6074"/>
        </w:tabs>
        <w:spacing w:before="200"/>
        <w:rPr>
          <w:rStyle w:val="IntenseEmphasis"/>
          <w:b/>
          <w:i w:val="0"/>
          <w:color w:val="000000" w:themeColor="text1"/>
          <w:sz w:val="40"/>
          <w:szCs w:val="40"/>
          <w:u w:val="single"/>
        </w:rPr>
      </w:pPr>
      <w:r w:rsidRPr="00F44594">
        <w:rPr>
          <w:rStyle w:val="IntenseEmphasis"/>
          <w:b/>
          <w:i w:val="0"/>
          <w:color w:val="000000" w:themeColor="text1"/>
          <w:sz w:val="40"/>
          <w:szCs w:val="40"/>
          <w:u w:val="single"/>
        </w:rPr>
        <w:t>Submitted by:</w:t>
      </w:r>
    </w:p>
    <w:p w:rsidR="003E026B" w:rsidRPr="00F44594" w:rsidRDefault="000649C2" w:rsidP="003E026B">
      <w:pPr>
        <w:widowControl w:val="0"/>
        <w:spacing w:before="200"/>
        <w:rPr>
          <w:b/>
          <w:sz w:val="36"/>
          <w:szCs w:val="36"/>
        </w:rPr>
      </w:pPr>
      <w:r w:rsidRPr="00F44594">
        <w:rPr>
          <w:b/>
          <w:sz w:val="36"/>
          <w:szCs w:val="36"/>
        </w:rPr>
        <w:t xml:space="preserve">Student Name: </w:t>
      </w:r>
      <w:r w:rsidR="003E026B" w:rsidRPr="00F44594">
        <w:rPr>
          <w:b/>
          <w:sz w:val="36"/>
          <w:szCs w:val="36"/>
        </w:rPr>
        <w:t>Md. Nadimul Hasan Shuvo</w:t>
      </w:r>
    </w:p>
    <w:p w:rsidR="003E026B" w:rsidRPr="00560D82" w:rsidRDefault="003E026B" w:rsidP="003E026B">
      <w:pPr>
        <w:widowControl w:val="0"/>
        <w:spacing w:before="200"/>
        <w:jc w:val="left"/>
        <w:rPr>
          <w:sz w:val="36"/>
          <w:szCs w:val="36"/>
        </w:rPr>
      </w:pPr>
      <w:r w:rsidRPr="00560D82">
        <w:rPr>
          <w:sz w:val="36"/>
          <w:szCs w:val="36"/>
        </w:rPr>
        <w:t>Student ID: 2428681</w:t>
      </w:r>
    </w:p>
    <w:p w:rsidR="003E026B" w:rsidRPr="00F44594" w:rsidRDefault="003E026B" w:rsidP="003E026B">
      <w:pPr>
        <w:widowControl w:val="0"/>
        <w:spacing w:before="200"/>
        <w:jc w:val="left"/>
        <w:rPr>
          <w:b/>
          <w:sz w:val="40"/>
          <w:szCs w:val="40"/>
          <w:u w:val="single"/>
        </w:rPr>
      </w:pPr>
      <w:r w:rsidRPr="00F44594">
        <w:rPr>
          <w:b/>
          <w:sz w:val="40"/>
          <w:szCs w:val="40"/>
          <w:u w:val="single"/>
        </w:rPr>
        <w:t>Submitted to:</w:t>
      </w:r>
    </w:p>
    <w:p w:rsidR="003E026B" w:rsidRPr="00F44594" w:rsidRDefault="000649C2" w:rsidP="003E026B">
      <w:pPr>
        <w:widowControl w:val="0"/>
        <w:spacing w:before="200"/>
        <w:jc w:val="left"/>
        <w:rPr>
          <w:b/>
          <w:sz w:val="36"/>
          <w:szCs w:val="36"/>
        </w:rPr>
      </w:pPr>
      <w:r w:rsidRPr="00F44594">
        <w:rPr>
          <w:b/>
          <w:sz w:val="36"/>
          <w:szCs w:val="36"/>
        </w:rPr>
        <w:t xml:space="preserve">Lecturer’s Name: </w:t>
      </w:r>
      <w:r w:rsidR="003E026B" w:rsidRPr="00F44594">
        <w:rPr>
          <w:b/>
          <w:sz w:val="36"/>
          <w:szCs w:val="36"/>
        </w:rPr>
        <w:t>Dr Laila Maazouz</w:t>
      </w:r>
    </w:p>
    <w:p w:rsidR="003E026B" w:rsidRPr="00560D82" w:rsidRDefault="00F44594" w:rsidP="003E026B">
      <w:pPr>
        <w:widowControl w:val="0"/>
        <w:spacing w:before="200"/>
        <w:jc w:val="left"/>
        <w:rPr>
          <w:sz w:val="36"/>
          <w:szCs w:val="36"/>
        </w:rPr>
      </w:pPr>
      <w:r>
        <w:rPr>
          <w:sz w:val="36"/>
          <w:szCs w:val="36"/>
        </w:rPr>
        <w:t>Submission Date: 22</w:t>
      </w:r>
      <w:r w:rsidR="003E026B" w:rsidRPr="00560D82">
        <w:rPr>
          <w:sz w:val="36"/>
          <w:szCs w:val="36"/>
        </w:rPr>
        <w:t>.03.2025</w:t>
      </w:r>
    </w:p>
    <w:p w:rsidR="000B0C37" w:rsidRPr="00560D82" w:rsidRDefault="002D18F1" w:rsidP="002D18F1">
      <w:pPr>
        <w:widowControl w:val="0"/>
        <w:spacing w:before="200"/>
        <w:jc w:val="center"/>
        <w:rPr>
          <w:sz w:val="36"/>
          <w:szCs w:val="36"/>
        </w:rPr>
      </w:pPr>
      <w:r w:rsidRPr="00560D82">
        <w:rPr>
          <w:sz w:val="36"/>
          <w:szCs w:val="36"/>
        </w:rPr>
        <w:t xml:space="preserve">Total Wards </w:t>
      </w:r>
      <w:r w:rsidR="00560D82" w:rsidRPr="00560D82">
        <w:rPr>
          <w:sz w:val="36"/>
          <w:szCs w:val="36"/>
        </w:rPr>
        <w:t>Count:</w:t>
      </w:r>
      <w:r w:rsidR="002D5D71" w:rsidRPr="00560D82">
        <w:rPr>
          <w:sz w:val="36"/>
          <w:szCs w:val="36"/>
        </w:rPr>
        <w:t xml:space="preserve"> 2675</w:t>
      </w:r>
    </w:p>
    <w:p w:rsidR="000B0C37" w:rsidRDefault="007E19E1">
      <w:pPr>
        <w:pStyle w:val="Heading2"/>
        <w:keepNext w:val="0"/>
        <w:keepLines w:val="0"/>
        <w:widowControl w:val="0"/>
        <w:spacing w:before="200" w:after="80"/>
        <w:rPr>
          <w:b/>
          <w:sz w:val="34"/>
          <w:szCs w:val="34"/>
        </w:rPr>
      </w:pPr>
      <w:bookmarkStart w:id="0" w:name="_heading=h.2kt0mhloe34s" w:colFirst="0" w:colLast="0"/>
      <w:bookmarkEnd w:id="0"/>
      <w:r>
        <w:rPr>
          <w:b/>
          <w:sz w:val="34"/>
          <w:szCs w:val="34"/>
        </w:rPr>
        <w:lastRenderedPageBreak/>
        <w:t xml:space="preserve">Introduction </w:t>
      </w:r>
    </w:p>
    <w:p w:rsidR="00394EA2" w:rsidRDefault="00394EA2" w:rsidP="00394EA2">
      <w:r>
        <w:t xml:space="preserve">Market entry decisions are crucial for strategic management in today’s business environment, especially in the case of new product and market development. The first decision that has been considered as critical for companies is whether to be a leader or a follower. All these approaches have their unique strengths and limitations that should be aligned with internal factors such as available resources, innovativeness, and brand equity and external factors such as demand, technology, and competition </w:t>
      </w:r>
      <w:r w:rsidRPr="00680A16">
        <w:rPr>
          <w:b/>
        </w:rPr>
        <w:t>(Kotler et al., 2019).</w:t>
      </w:r>
    </w:p>
    <w:p w:rsidR="00394EA2" w:rsidRDefault="00394EA2" w:rsidP="00394EA2">
      <w:r>
        <w:t xml:space="preserve">A pioneer is a firm that is the first to offer a new product, service or idea to the market consumers </w:t>
      </w:r>
      <w:r w:rsidRPr="00680A16">
        <w:rPr>
          <w:b/>
        </w:rPr>
        <w:t>(Rogers, 2003).</w:t>
      </w:r>
      <w:r>
        <w:t xml:space="preserve"> The first mover advantage implies that the company gets the chance to create customer awareness and brand loyalty as well as shape consumer preferences. Nevertheless, there are certain risks involved with pioneers since the market reaction, the technology, and even regulation are unknown at this stage. On the other hand, the follower firms come into the market after the pioneer firms, and they adapt themselves to the initial situations of the market. However, the follower companies do not get a chance to seize the early market but are relieved of uncertainty, which is coupled with better technology, and in most cases, low initial investment </w:t>
      </w:r>
      <w:r w:rsidRPr="00680A16">
        <w:rPr>
          <w:b/>
        </w:rPr>
        <w:t>(Harvard Business Review, 2022).</w:t>
      </w:r>
      <w:r>
        <w:t xml:space="preserve"> </w:t>
      </w:r>
      <w:r w:rsidRPr="00680A16">
        <w:rPr>
          <w:b/>
        </w:rPr>
        <w:t>Bett et al., (2013)</w:t>
      </w:r>
      <w:r>
        <w:t xml:space="preserve"> also indicate that followers are able to identify gaps which are left behind by pioneers and they are able to use better marketing, pricing and product strategies in order to capture the market which is left behind by the pioneer firm.</w:t>
      </w:r>
    </w:p>
    <w:p w:rsidR="00394EA2" w:rsidRDefault="00394EA2" w:rsidP="00394EA2">
      <w:r>
        <w:t>The purpose of this essay is to identify the benefits of being a pioneer and a follower, as well as to provide examples of real-life situations, and to discuss the strategies used by successful pioneers and followers when it comes to product life cycle to improve the growth and competitive advantage. Thus, the assessment of both strategies is going to help the understanding of this Essay to identify how companies can position themselves for the long-term success.</w:t>
      </w:r>
    </w:p>
    <w:p w:rsidR="000B0C37" w:rsidRDefault="007E19E1">
      <w:pPr>
        <w:pStyle w:val="Heading1"/>
        <w:widowControl w:val="0"/>
        <w:spacing w:before="200"/>
      </w:pPr>
      <w:r>
        <w:t xml:space="preserve">Advantages of Being a Pioneer </w:t>
      </w:r>
    </w:p>
    <w:p w:rsidR="000B0C37" w:rsidRDefault="00394EA2" w:rsidP="00394EA2">
      <w:pPr>
        <w:widowControl w:val="0"/>
        <w:spacing w:before="200" w:after="240"/>
      </w:pPr>
      <w:r w:rsidRPr="00394EA2">
        <w:t xml:space="preserve">The benefits of first or being a pioneer in a market are quite numerous and can lead to domination in the market if well exploited. The first one is first-mover advantage, where the firms that enter first in a given market are in a better position to create brand awareness and consumers’ loyalty before other firms enter the market. The first movers have a significant </w:t>
      </w:r>
      <w:r w:rsidRPr="00394EA2">
        <w:lastRenderedPageBreak/>
        <w:t xml:space="preserve">advantage since they help in influencing the consumer preferences and defining the standards in the industry </w:t>
      </w:r>
      <w:r w:rsidRPr="00680A16">
        <w:rPr>
          <w:b/>
        </w:rPr>
        <w:t>(Peres, Muller and Mahajan, 2010).</w:t>
      </w:r>
      <w:r w:rsidRPr="00394EA2">
        <w:t xml:space="preserve"> In its findings, HBR established that first movers have on average 30% higher brand awareness than that of late entrants especially in the fields of technology and consumer goods </w:t>
      </w:r>
      <w:r w:rsidRPr="00680A16">
        <w:rPr>
          <w:b/>
        </w:rPr>
        <w:t>(Harvard Business Review, 2022).</w:t>
      </w:r>
    </w:p>
    <w:p w:rsidR="000B0C37" w:rsidRDefault="007E19E1">
      <w:pPr>
        <w:widowControl w:val="0"/>
        <w:spacing w:before="200" w:after="240"/>
      </w:pPr>
      <w:r>
        <w:t>For example, Apple Inc. redefined the smart</w:t>
      </w:r>
      <w:r w:rsidR="00680A16">
        <w:t xml:space="preserve"> </w:t>
      </w:r>
      <w:r>
        <w:t>phone industry with the launch of the iPhone in 2007. By combining a touch</w:t>
      </w:r>
      <w:r w:rsidR="00680A16">
        <w:t xml:space="preserve"> </w:t>
      </w:r>
      <w:r>
        <w:t>screen interface, internet connectivity, and an app ecosystem, Apple secured a dominant position in the smart</w:t>
      </w:r>
      <w:r w:rsidR="00680A16">
        <w:t xml:space="preserve"> </w:t>
      </w:r>
      <w:r>
        <w:t>phone market. As of 2024, Apple holds approximately 20% of the global smart</w:t>
      </w:r>
      <w:r w:rsidR="00680A16">
        <w:t xml:space="preserve"> </w:t>
      </w:r>
      <w:r>
        <w:t xml:space="preserve">phone market share and generates over £200 billion annually from iPhone sales alone </w:t>
      </w:r>
      <w:r w:rsidRPr="00680A16">
        <w:rPr>
          <w:b/>
        </w:rPr>
        <w:t>(Statista, 2024b).</w:t>
      </w:r>
    </w:p>
    <w:p w:rsidR="000B0C37" w:rsidRDefault="007E19E1">
      <w:pPr>
        <w:widowControl w:val="0"/>
        <w:spacing w:before="200" w:after="240"/>
      </w:pPr>
      <w:r>
        <w:t xml:space="preserve">Another key advantage is the ability to control scarce resources such as patents, supply chain partnerships, and prime retail space. Tesla, a pioneer in the electric vehicle (EV) market, secured critical battery supply agreements and built an extensive supercharger network long before competitors could react. This infrastructure advantage contributed to Tesla’s 50% market share in the U.S. EV market as of 2024 </w:t>
      </w:r>
      <w:r w:rsidRPr="00680A16">
        <w:rPr>
          <w:b/>
        </w:rPr>
        <w:t>(Statista, 2024d).</w:t>
      </w:r>
    </w:p>
    <w:p w:rsidR="000B0C37" w:rsidRPr="00680A16" w:rsidRDefault="007E19E1">
      <w:pPr>
        <w:widowControl w:val="0"/>
        <w:spacing w:before="200" w:after="240"/>
        <w:rPr>
          <w:b/>
        </w:rPr>
      </w:pPr>
      <w:r>
        <w:t xml:space="preserve">Pioneers also benefit from economies of scale. Being the first to market allows companies to begin production earlier, reducing unit costs through experience and supplier relationships </w:t>
      </w:r>
      <w:r w:rsidRPr="00680A16">
        <w:rPr>
          <w:b/>
        </w:rPr>
        <w:t>(Kotler et al., 2019).</w:t>
      </w:r>
      <w:r>
        <w:t xml:space="preserve"> This cost advantage enables pioneers’ companies to reinvestment into R&amp;D, further enhancing product features and maintaining market </w:t>
      </w:r>
      <w:r w:rsidRPr="00680A16">
        <w:rPr>
          <w:b/>
        </w:rPr>
        <w:t>leadership (McKinsey and Company, 2023).</w:t>
      </w:r>
      <w:r>
        <w:t xml:space="preserve"> Coca-Cola, for instance, established global distribution networks in the early 20th century, securing exclusive agreements with bottlers and retailers, which contributed to its long-term dominance in the £870 billion global non-alcoholic beverage market </w:t>
      </w:r>
      <w:r w:rsidRPr="00680A16">
        <w:rPr>
          <w:b/>
        </w:rPr>
        <w:t>(IBIS</w:t>
      </w:r>
      <w:r w:rsidR="00680A16" w:rsidRPr="00680A16">
        <w:rPr>
          <w:b/>
        </w:rPr>
        <w:t xml:space="preserve"> </w:t>
      </w:r>
      <w:r w:rsidRPr="00680A16">
        <w:rPr>
          <w:b/>
        </w:rPr>
        <w:t>World, 2023).</w:t>
      </w:r>
    </w:p>
    <w:p w:rsidR="000B0C37" w:rsidRDefault="007E19E1">
      <w:pPr>
        <w:widowControl w:val="0"/>
        <w:spacing w:before="200" w:after="240"/>
      </w:pPr>
      <w:r>
        <w:t xml:space="preserve">Moreover, pioneers can influence regulatory frameworks in emerging industries. For instance, Google shaped many online advertising regulations by being the first large-scale provider of search-based advertising, giving it a structural advantage over smaller entrants </w:t>
      </w:r>
      <w:r w:rsidRPr="00680A16">
        <w:rPr>
          <w:b/>
        </w:rPr>
        <w:t>(Harvard Business Review, 2022).</w:t>
      </w:r>
    </w:p>
    <w:p w:rsidR="000B0C37" w:rsidRDefault="007E19E1">
      <w:pPr>
        <w:widowControl w:val="0"/>
        <w:spacing w:before="200" w:after="240"/>
      </w:pPr>
      <w:r>
        <w:t xml:space="preserve">However, being a pioneer is not without risk. According to Lieberman and Montgomery (1988), 47% of pioneers fail, often due to high development costs, uncertain demand, and technological </w:t>
      </w:r>
      <w:r>
        <w:lastRenderedPageBreak/>
        <w:t>hurdles. Yet, those that succeed tend to capture sustained market leadership, strong customer loyalty, and the ability to dictate pricing in the early stages of the product life cycle. In summary, companies like Apple, Tesla, Coca-Cola, and Google illustrate how pioneering, despite its risks, can deliver early market dominance, cost leadership, and long-term competitive advantage when combined with strategic innovation and resource control (</w:t>
      </w:r>
      <w:r w:rsidRPr="00680A16">
        <w:rPr>
          <w:b/>
        </w:rPr>
        <w:t>Kotler et al., 2019).</w:t>
      </w:r>
    </w:p>
    <w:p w:rsidR="000B0C37" w:rsidRDefault="007E19E1">
      <w:pPr>
        <w:pStyle w:val="Heading1"/>
        <w:keepNext w:val="0"/>
        <w:keepLines w:val="0"/>
        <w:widowControl w:val="0"/>
        <w:spacing w:before="200"/>
      </w:pPr>
      <w:bookmarkStart w:id="1" w:name="_heading=h.d47byvx8nedn" w:colFirst="0" w:colLast="0"/>
      <w:bookmarkEnd w:id="1"/>
      <w:r>
        <w:t xml:space="preserve">Advantages of Being a Follower </w:t>
      </w:r>
    </w:p>
    <w:p w:rsidR="000B0C37" w:rsidRPr="00680A16" w:rsidRDefault="007E19E1">
      <w:pPr>
        <w:widowControl w:val="0"/>
        <w:spacing w:before="200" w:after="240"/>
        <w:rPr>
          <w:b/>
        </w:rPr>
      </w:pPr>
      <w:r>
        <w:t xml:space="preserve">Follower companies, also known as second-movers or late entrants, benefit significantly from observing and learning from the mistakes and successes of pioneers. This approach allows them to reduce market uncertainty, avoid costly trial-and-error processes, and refine their offerings based on customer feedback and technological advancements </w:t>
      </w:r>
      <w:r w:rsidRPr="00680A16">
        <w:rPr>
          <w:b/>
        </w:rPr>
        <w:t>(Peres, Muller and Mahajan, 2010).</w:t>
      </w:r>
    </w:p>
    <w:p w:rsidR="000B0C37" w:rsidRPr="00680A16" w:rsidRDefault="007E19E1">
      <w:pPr>
        <w:widowControl w:val="0"/>
        <w:spacing w:before="200" w:after="240"/>
        <w:rPr>
          <w:b/>
        </w:rPr>
      </w:pPr>
      <w:r>
        <w:t xml:space="preserve">One major advantage for followers is lower research and development (R&amp;D) costs. By building on existing technologies and concepts introduced by pioneers, followers can allocate resources more efficiently </w:t>
      </w:r>
      <w:r w:rsidRPr="00680A16">
        <w:rPr>
          <w:b/>
        </w:rPr>
        <w:t>(Schilling, 2019).</w:t>
      </w:r>
      <w:r>
        <w:t xml:space="preserve"> For instance, Samsung entered the smartphone market after Apple but quickly became the largest smartphone vendor globally by learning from Apple’s product designs and customer experiences, focusing on innovation in hardware, software flexibility, and pricing options </w:t>
      </w:r>
      <w:r w:rsidRPr="00680A16">
        <w:rPr>
          <w:b/>
        </w:rPr>
        <w:t>(Statista, 2024).</w:t>
      </w:r>
    </w:p>
    <w:p w:rsidR="000B0C37" w:rsidRDefault="007E19E1">
      <w:pPr>
        <w:widowControl w:val="0"/>
        <w:spacing w:before="200" w:after="240"/>
      </w:pPr>
      <w:r>
        <w:t xml:space="preserve">Followers also benefit from targeted market segmentation. Pioneers often introduce products to broad audiences, while followers can identify underserved market segments and tailor products to meet their specific needs </w:t>
      </w:r>
      <w:r w:rsidRPr="00680A16">
        <w:rPr>
          <w:b/>
        </w:rPr>
        <w:t>(Rogers, 2003).</w:t>
      </w:r>
      <w:r>
        <w:t xml:space="preserve"> Netflix, originally a DVD rental service, entered the video streaming market after pioneers like Hulu. By understanding consumer demand for original content, personalised recommendations, and global accessibility, Netflix rapidly outpaced its competitors, reaching over 230 million subscribers globally by 2024 </w:t>
      </w:r>
      <w:r w:rsidRPr="00680A16">
        <w:rPr>
          <w:b/>
        </w:rPr>
        <w:t>(Statista, 2024b).</w:t>
      </w:r>
    </w:p>
    <w:p w:rsidR="000B0C37" w:rsidRDefault="007E19E1">
      <w:pPr>
        <w:widowControl w:val="0"/>
        <w:spacing w:before="200" w:after="240"/>
      </w:pPr>
      <w:r>
        <w:t xml:space="preserve">Another advantage is flexibility in pricing strategies. Pioneers often invest heavily in R&amp;D and marketing, leading to higher initial prices. Followers, with lower development costs, can adopt aggressive pricing strategies to attract price-sensitive consumers. Xiaomi, a Chinese smartphone brand, successfully undercut Samsung and Apple by offering high-quality devices at competitive </w:t>
      </w:r>
      <w:r>
        <w:lastRenderedPageBreak/>
        <w:t xml:space="preserve">prices, capturing significant market share in emerging markets </w:t>
      </w:r>
      <w:r w:rsidRPr="00680A16">
        <w:rPr>
          <w:b/>
        </w:rPr>
        <w:t>(Statista, 2024c).</w:t>
      </w:r>
    </w:p>
    <w:p w:rsidR="000B0C37" w:rsidRDefault="007E19E1">
      <w:pPr>
        <w:widowControl w:val="0"/>
        <w:spacing w:before="200" w:after="240"/>
      </w:pPr>
      <w:r>
        <w:t xml:space="preserve">Moreover, followers can leverage partnerships and alliances that pioneers may have overlooked. They can also adopt best practices in manufacturing, supply chain management, and digital marketing, ensuring operational efficiency and enhanced customer experience </w:t>
      </w:r>
      <w:r w:rsidRPr="00680A16">
        <w:rPr>
          <w:b/>
        </w:rPr>
        <w:t>(IBISWorld, 2023).</w:t>
      </w:r>
    </w:p>
    <w:p w:rsidR="000B0C37" w:rsidRDefault="007E19E1">
      <w:pPr>
        <w:widowControl w:val="0"/>
        <w:spacing w:before="200" w:after="240"/>
      </w:pPr>
      <w:r>
        <w:t>While followers may struggle with brand differentiation, their ability to innovate incrementally, adopt emerging technologies, and respond to evolving consumer preferences often allows them to overtake pioneers. In summary, successful followers like Samsung, Netflix, and Xiaomi demonstrate that late entrants can achieve market leadership by combining strategic agility, customer-centric innovation, and cost leadership.</w:t>
      </w:r>
    </w:p>
    <w:p w:rsidR="000B0C37" w:rsidRDefault="007E19E1">
      <w:pPr>
        <w:widowControl w:val="0"/>
        <w:spacing w:before="200"/>
        <w:rPr>
          <w:b/>
          <w:sz w:val="34"/>
          <w:szCs w:val="34"/>
        </w:rPr>
      </w:pPr>
      <w:r>
        <w:br w:type="page"/>
      </w:r>
    </w:p>
    <w:p w:rsidR="000B0C37" w:rsidRDefault="007E19E1">
      <w:pPr>
        <w:widowControl w:val="0"/>
        <w:spacing w:before="200"/>
        <w:rPr>
          <w:b/>
          <w:sz w:val="34"/>
          <w:szCs w:val="34"/>
        </w:rPr>
      </w:pPr>
      <w:r>
        <w:rPr>
          <w:b/>
          <w:sz w:val="34"/>
          <w:szCs w:val="34"/>
        </w:rPr>
        <w:lastRenderedPageBreak/>
        <w:t>Product Life Cycle Strategies at Growth Stage</w:t>
      </w:r>
    </w:p>
    <w:p w:rsidR="000B0C37" w:rsidRDefault="007E19E1">
      <w:pPr>
        <w:widowControl w:val="0"/>
        <w:spacing w:before="200"/>
        <w:rPr>
          <w:b/>
          <w:sz w:val="34"/>
          <w:szCs w:val="34"/>
        </w:rPr>
      </w:pPr>
      <w:r>
        <w:rPr>
          <w:b/>
          <w:noProof/>
          <w:sz w:val="34"/>
          <w:szCs w:val="34"/>
          <w:lang w:val="en-US"/>
        </w:rPr>
        <w:drawing>
          <wp:inline distT="114300" distB="114300" distL="114300" distR="114300">
            <wp:extent cx="5943600" cy="3505200"/>
            <wp:effectExtent l="0" t="0" r="0" b="0"/>
            <wp:docPr id="71628445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05200"/>
                    </a:xfrm>
                    <a:prstGeom prst="rect">
                      <a:avLst/>
                    </a:prstGeom>
                    <a:ln/>
                  </pic:spPr>
                </pic:pic>
              </a:graphicData>
            </a:graphic>
          </wp:inline>
        </w:drawing>
      </w:r>
    </w:p>
    <w:p w:rsidR="000B0C37" w:rsidRPr="00680A16" w:rsidRDefault="007E19E1">
      <w:pPr>
        <w:jc w:val="center"/>
        <w:rPr>
          <w:b/>
        </w:rPr>
      </w:pPr>
      <w:r>
        <w:t xml:space="preserve">Figure 1: The Product Strategy and the Product Life Cycle </w:t>
      </w:r>
      <w:r w:rsidRPr="00680A16">
        <w:rPr>
          <w:b/>
        </w:rPr>
        <w:t>(Source: Kotler et al., 2019)</w:t>
      </w:r>
    </w:p>
    <w:p w:rsidR="0053769A" w:rsidRDefault="00582AA4" w:rsidP="00B84BFE">
      <w:pPr>
        <w:widowControl w:val="0"/>
        <w:spacing w:before="200" w:after="240"/>
        <w:rPr>
          <w:b/>
          <w:bCs/>
          <w:sz w:val="32"/>
          <w:szCs w:val="32"/>
        </w:rPr>
      </w:pPr>
      <w:r>
        <w:rPr>
          <w:b/>
          <w:bCs/>
          <w:sz w:val="32"/>
          <w:szCs w:val="32"/>
        </w:rPr>
        <w:t>T</w:t>
      </w:r>
      <w:r w:rsidR="00B84BFE" w:rsidRPr="0053769A">
        <w:rPr>
          <w:b/>
          <w:bCs/>
          <w:sz w:val="32"/>
          <w:szCs w:val="32"/>
        </w:rPr>
        <w:t>he introductory stage</w:t>
      </w:r>
    </w:p>
    <w:p w:rsidR="00B84BFE" w:rsidRPr="0053769A" w:rsidRDefault="0053769A" w:rsidP="00B84BFE">
      <w:pPr>
        <w:widowControl w:val="0"/>
        <w:spacing w:before="200" w:after="240"/>
        <w:rPr>
          <w:b/>
          <w:bCs/>
          <w:sz w:val="32"/>
          <w:szCs w:val="32"/>
        </w:rPr>
      </w:pPr>
      <w:r>
        <w:t>A</w:t>
      </w:r>
      <w:r w:rsidR="00B84BFE" w:rsidRPr="00B84BFE">
        <w:t xml:space="preserve"> new product is launched and pioneers usually spend much in research and development to prove feasibility and to create awareness for the product. Consumers are gradually becoming aware of the product and confident to make a purchase hence limited sales. Originally, the costs are higher because very few units are produced, and this makes pioneers to focus on product quality, differentiation, and brand image. If they join during this stage, followers can learn from pioneer mistakes and improve their products before facing much opposition, but the entry is not as early. However, both pioneers and followers face difficulties in finding distribution channels and making a profit until the demand is established. </w:t>
      </w:r>
    </w:p>
    <w:p w:rsidR="00582AA4" w:rsidRDefault="00582AA4" w:rsidP="00B84BFE">
      <w:pPr>
        <w:widowControl w:val="0"/>
        <w:spacing w:before="200" w:after="240"/>
        <w:rPr>
          <w:b/>
          <w:bCs/>
          <w:sz w:val="32"/>
          <w:szCs w:val="32"/>
        </w:rPr>
      </w:pPr>
    </w:p>
    <w:p w:rsidR="00582AA4" w:rsidRDefault="00582AA4" w:rsidP="00B84BFE">
      <w:pPr>
        <w:widowControl w:val="0"/>
        <w:spacing w:before="200" w:after="240"/>
        <w:rPr>
          <w:b/>
          <w:bCs/>
          <w:sz w:val="32"/>
          <w:szCs w:val="32"/>
        </w:rPr>
      </w:pPr>
    </w:p>
    <w:p w:rsidR="0053769A" w:rsidRPr="001249DC" w:rsidRDefault="007E19E1" w:rsidP="00B84BFE">
      <w:pPr>
        <w:widowControl w:val="0"/>
        <w:spacing w:before="200" w:after="240"/>
        <w:rPr>
          <w:b/>
          <w:bCs/>
          <w:sz w:val="32"/>
          <w:szCs w:val="32"/>
        </w:rPr>
      </w:pPr>
      <w:r w:rsidRPr="001249DC">
        <w:rPr>
          <w:b/>
          <w:bCs/>
          <w:sz w:val="32"/>
          <w:szCs w:val="32"/>
        </w:rPr>
        <w:lastRenderedPageBreak/>
        <w:t>The growth stage</w:t>
      </w:r>
    </w:p>
    <w:p w:rsidR="000B0C37" w:rsidRDefault="007E19E1" w:rsidP="00B84BFE">
      <w:pPr>
        <w:widowControl w:val="0"/>
        <w:spacing w:before="200" w:after="240"/>
      </w:pPr>
      <w:r>
        <w:t xml:space="preserve"> </w:t>
      </w:r>
      <w:r w:rsidR="0053769A">
        <w:t xml:space="preserve">The Growth stage </w:t>
      </w:r>
      <w:r>
        <w:t xml:space="preserve">of the product life cycle is a crucial period for both pioneers and followers, as sales volumes increase rapidly, competition intensifies, and companies must solidify their market positions to ensure long-term profitability </w:t>
      </w:r>
      <w:r w:rsidRPr="00680A16">
        <w:rPr>
          <w:b/>
        </w:rPr>
        <w:t xml:space="preserve">(Kotler et al., 2019). </w:t>
      </w:r>
      <w:r>
        <w:t xml:space="preserve">During this stage, pioneers those who introduced the product or technology first, focus heavily on expanding their market presence while defending the advantages they gained as first movers. Since pioneers have already created initial awareness in the introduction stage, the growth phase is the time to expand customer bases and secure broader adoption </w:t>
      </w:r>
      <w:r w:rsidRPr="00680A16">
        <w:rPr>
          <w:b/>
        </w:rPr>
        <w:t>(Peres, Muller and Mahajan, 2010</w:t>
      </w:r>
      <w:r w:rsidR="00D76EC2" w:rsidRPr="00680A16">
        <w:rPr>
          <w:b/>
        </w:rPr>
        <w:t>).</w:t>
      </w:r>
      <w:r w:rsidR="00D76EC2">
        <w:t xml:space="preserve"> The</w:t>
      </w:r>
      <w:r>
        <w:t xml:space="preserve"> fortress strategy is one of the most efficient strategies that can be used by pioneers in this stage. This strategy aims to make loyal clients out of consumers, raise the cost of switching to competitors’ products or services, and grow the distribution channels, thereby consolidating power in the market. Applying this strategy, pioneers refine the product portfolios, improve the customer value and maintain the competitive advantage. Apple’s approach after releasing iPhone can be considered as the fortress strategy because it extended the product line with advanced models, presented new services like iCloud and Apple Music, and built an ecosystem that made consumers stay within the Apple environment. This strategy helped Apple to maintain its market dominance by repulsing the forces from the followers that were emerging in the market. On the other hand, followers tend to use the attack strategy where they confront pioneers through offering cheaper prices, better products, and different channel of distribution. As for followers, the market education process does not require significant investments since the demand for the product has already been developed. They adapt it and enhance already existing ideas in technology and the market to achieve competitive advantage. Xiaomi is among the examples of the followers which adopt a successful attack strategy in the smartphone industry. This led to Xiaomi releasing high quality smartphones in the market with a considerably lower price than what was offered by Apple and Samsung. This aggressive strategy let Xiaomi cover significant share of emerging markets and pose a threat to pioneers.</w:t>
      </w:r>
    </w:p>
    <w:p w:rsidR="000B0C37" w:rsidRDefault="007E19E1">
      <w:pPr>
        <w:widowControl w:val="0"/>
        <w:spacing w:before="200" w:after="240"/>
      </w:pPr>
      <w:r>
        <w:t xml:space="preserve">Geographical expansion is another key strategy for pioneers during the growth stage. Tesla, the pioneer in the electric vehicle market, initially focused on North America but quickly expanded into Europe and China as demand for electric vehicles surged. This rapid market extension allowed Tesla to capture 15% of the global electric vehicle market by 2024, supported by its </w:t>
      </w:r>
      <w:r>
        <w:lastRenderedPageBreak/>
        <w:t xml:space="preserve">direct-to-consumer sales model, which provided better pricing control and customer experience </w:t>
      </w:r>
      <w:r w:rsidRPr="00680A16">
        <w:rPr>
          <w:b/>
        </w:rPr>
        <w:t>(Statista, 2024a).</w:t>
      </w:r>
      <w:r>
        <w:t xml:space="preserve"> By entering multiple international markets early, Tesla reduced its dependence on any single region while securing early-mover infrastructure advantages, such as charging networks, in those territories </w:t>
      </w:r>
      <w:r w:rsidRPr="00680A16">
        <w:rPr>
          <w:b/>
        </w:rPr>
        <w:t>(McKinsey and Company, 2023).</w:t>
      </w:r>
    </w:p>
    <w:p w:rsidR="000B0C37" w:rsidRPr="00680A16" w:rsidRDefault="007E19E1">
      <w:pPr>
        <w:widowControl w:val="0"/>
        <w:spacing w:before="200" w:after="240"/>
        <w:rPr>
          <w:b/>
        </w:rPr>
      </w:pPr>
      <w:r>
        <w:t xml:space="preserve">Pioneers also tend to leverage economies of scale during the growth stage, which helps them gradually reduce per-unit costs as production volumes increase. These cost savings can either be reinvested into further product development or used to lower prices, making the product more accessible to broader consumer segments </w:t>
      </w:r>
      <w:r w:rsidRPr="00680A16">
        <w:rPr>
          <w:b/>
        </w:rPr>
        <w:t>(Kotler et al., 2019).</w:t>
      </w:r>
      <w:r>
        <w:t xml:space="preserve"> Amazon’s Kindle, for example, launched at £399 in 2007. As demand grew and manufacturing efficiencies improved, Amazon was able to reduce the price of entry-level Kindles to under £100 by 2023, further fuelling growth </w:t>
      </w:r>
      <w:r w:rsidRPr="00680A16">
        <w:rPr>
          <w:b/>
        </w:rPr>
        <w:t>(Harvard Business Review, 2022).</w:t>
      </w:r>
      <w:r>
        <w:t xml:space="preserve"> Alongside cost advantages, pioneers often focus on building comprehensive ecosystems around their core products. Apple’s ecosystem, including Apple Music, Apple Pay, and the App Store, reinforces loyalty by encouraging users to stay within the Apple environment, contributing to the company’s £85 billion in annual services revenue by 2024 </w:t>
      </w:r>
      <w:r w:rsidRPr="00680A16">
        <w:rPr>
          <w:b/>
        </w:rPr>
        <w:t>(Statista, 2024d).</w:t>
      </w:r>
    </w:p>
    <w:p w:rsidR="000B0C37" w:rsidRDefault="007E19E1">
      <w:pPr>
        <w:widowControl w:val="0"/>
        <w:spacing w:before="200" w:after="240"/>
      </w:pPr>
      <w:r>
        <w:t xml:space="preserve">While pioneers focus on reinforcing leadership, followers entering during the growth stage rely on different strategies to gain traction. They benefit from observing pioneers’ successes and failures, allowing them to introduce refined products with improved features and fewer initial defects. Samsung’s entry into the smartphone market after Apple’s success is a prime example. Samsung rapidly identified consumer preferences for larger screens, superior cameras, and greater customisation, all of which were missing in the earliest iPhones. This fast-follower approach enabled Samsung to surpass Apple in market share, holding 21% of the global smartphone market by 2024 </w:t>
      </w:r>
      <w:r w:rsidRPr="00680A16">
        <w:rPr>
          <w:b/>
        </w:rPr>
        <w:t>(Statista, 2024a).</w:t>
      </w:r>
    </w:p>
    <w:p w:rsidR="000B0C37" w:rsidRDefault="007E19E1">
      <w:pPr>
        <w:widowControl w:val="0"/>
        <w:spacing w:before="200" w:after="240"/>
      </w:pPr>
      <w:r>
        <w:t xml:space="preserve">Pricing strategies play a crucial role for followers during the growth stage. Many late entrants compete on cost, particularly in price-sensitive markets, by offering products with competitive specifications at lower prices than pioneers </w:t>
      </w:r>
      <w:r w:rsidRPr="00680A16">
        <w:rPr>
          <w:b/>
        </w:rPr>
        <w:t xml:space="preserve">(McKinsey and Company, 2023). </w:t>
      </w:r>
      <w:r>
        <w:t xml:space="preserve">Xiaomi exemplifies this strategy in the smartphone sector. By producing high-quality smartphones at lower prices, Xiaomi appealed to budget-conscious consumers across China, India, and Southeast Asia. As a result, Xiaomi captured 13% of the global smartphone market by 2024, </w:t>
      </w:r>
      <w:r>
        <w:lastRenderedPageBreak/>
        <w:t xml:space="preserve">despite entering the market much later than Apple and Samsung. </w:t>
      </w:r>
      <w:r w:rsidRPr="00680A16">
        <w:rPr>
          <w:b/>
        </w:rPr>
        <w:t>(Business Insider, 2024)</w:t>
      </w:r>
    </w:p>
    <w:p w:rsidR="000B0C37" w:rsidRDefault="007E19E1">
      <w:pPr>
        <w:widowControl w:val="0"/>
        <w:spacing w:before="200" w:after="240"/>
      </w:pPr>
      <w:r>
        <w:t xml:space="preserve">Market segmentation also plays a vital role in followers’ growth strategies. Followers often identify and target niches that pioneers either overlooked or underserved </w:t>
      </w:r>
      <w:r w:rsidRPr="00680A16">
        <w:rPr>
          <w:b/>
        </w:rPr>
        <w:t xml:space="preserve">(Rogers, 2003). </w:t>
      </w:r>
      <w:r>
        <w:t xml:space="preserve">Netflix is a notable example of this approach. Although streaming platforms like Hulu existed before it, Netflix differentiated itself during the growth stage by focusing heavily on personalised content recommendations, localised content production, and a global subscriber strategy. Netflix’s annual content budget reached over £17 billion in 2024, contributing to its global subscriber count surpassing 230 million </w:t>
      </w:r>
      <w:r w:rsidRPr="00067F33">
        <w:rPr>
          <w:b/>
        </w:rPr>
        <w:t xml:space="preserve">(Netflix Annual Report, 2024). </w:t>
      </w:r>
      <w:r>
        <w:t>This ability to tailor content to different cultural preferences and individual tastes gave Netflix an edge over earlier platforms that were less flexible.</w:t>
      </w:r>
    </w:p>
    <w:p w:rsidR="00B84BFE" w:rsidRDefault="00DA3A25" w:rsidP="00B84BFE">
      <w:pPr>
        <w:widowControl w:val="0"/>
        <w:spacing w:before="200" w:after="240"/>
      </w:pPr>
      <w:r>
        <w:fldChar w:fldCharType="begin"/>
      </w:r>
      <w:r w:rsidR="00B84BFE">
        <w:instrText xml:space="preserve"> INCLUDEPICTURE "https://haltian.com/wp-content/uploads/2024/06/product-lifecycle-infographic1.jpg" \* MERGEFORMATINET </w:instrText>
      </w:r>
      <w:r>
        <w:fldChar w:fldCharType="separate"/>
      </w:r>
      <w:r w:rsidR="00B84BFE">
        <w:rPr>
          <w:noProof/>
          <w:lang w:val="en-US"/>
        </w:rPr>
        <w:drawing>
          <wp:inline distT="0" distB="0" distL="0" distR="0">
            <wp:extent cx="5943600" cy="3006725"/>
            <wp:effectExtent l="0" t="0" r="0" b="3175"/>
            <wp:docPr id="564980906" name="Picture 3" descr="What is the product development cycle? The basics [infographic] | Halt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the product development cycle? The basics [infographic] | Haltian"/>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3006725"/>
                    </a:xfrm>
                    <a:prstGeom prst="rect">
                      <a:avLst/>
                    </a:prstGeom>
                    <a:noFill/>
                    <a:ln>
                      <a:noFill/>
                    </a:ln>
                  </pic:spPr>
                </pic:pic>
              </a:graphicData>
            </a:graphic>
          </wp:inline>
        </w:drawing>
      </w:r>
      <w:r>
        <w:fldChar w:fldCharType="end"/>
      </w:r>
    </w:p>
    <w:p w:rsidR="007927A2" w:rsidRDefault="00B84BFE" w:rsidP="007927A2">
      <w:pPr>
        <w:widowControl w:val="0"/>
        <w:spacing w:before="200" w:after="240"/>
        <w:jc w:val="center"/>
      </w:pPr>
      <w:r>
        <w:t xml:space="preserve">Figure </w:t>
      </w:r>
      <w:r w:rsidR="004537B8">
        <w:t>2: Product</w:t>
      </w:r>
      <w:r>
        <w:t xml:space="preserve"> development cycle (Source: Kotler et al., 2019)</w:t>
      </w:r>
    </w:p>
    <w:p w:rsidR="0053769A" w:rsidRDefault="00B84BFE" w:rsidP="007927A2">
      <w:pPr>
        <w:widowControl w:val="0"/>
        <w:spacing w:before="200" w:after="240"/>
        <w:jc w:val="center"/>
      </w:pPr>
      <w:r w:rsidRPr="0053769A">
        <w:rPr>
          <w:b/>
          <w:bCs/>
          <w:sz w:val="32"/>
          <w:szCs w:val="32"/>
        </w:rPr>
        <w:t>The maturity stage</w:t>
      </w:r>
    </w:p>
    <w:p w:rsidR="00B84BFE" w:rsidRDefault="0053769A" w:rsidP="00B84BFE">
      <w:pPr>
        <w:widowControl w:val="0"/>
        <w:spacing w:before="200" w:after="240"/>
      </w:pPr>
      <w:r>
        <w:t xml:space="preserve">The marurity stage </w:t>
      </w:r>
      <w:r w:rsidR="00B84BFE">
        <w:t xml:space="preserve"> is defined by slow or fluctuating sales since most of the potential customers have either experimented or switched to the product. The competition becomes more fierce, the profit margins reduce and the market share moves from one firm to another through brands and not a large number of consumers </w:t>
      </w:r>
      <w:r w:rsidR="00B84BFE" w:rsidRPr="00067F33">
        <w:rPr>
          <w:b/>
        </w:rPr>
        <w:t>(Kotler et al., 2019)..</w:t>
      </w:r>
      <w:r w:rsidR="00B84BFE">
        <w:t xml:space="preserve"> This suggests that pioneers rely on the </w:t>
      </w:r>
      <w:r w:rsidR="00B84BFE">
        <w:lastRenderedPageBreak/>
        <w:t xml:space="preserve">strengths of brand recognition and distribution channels and often turn into product differentiation or incremental improvements. Concerning the second approach, followers stress on aggressive pricing, better service, or a narrow scope to unseat incumbents. Both depend on the marketing concepts that aim at customer retention and appeal to the fundamental marketing communication of USPs. Economies of cost are also achieved, and the overall efficiency of processes is enhanced </w:t>
      </w:r>
      <w:r w:rsidR="00B84BFE" w:rsidRPr="00067F33">
        <w:rPr>
          <w:b/>
        </w:rPr>
        <w:t>(McKinsey and Company, 2023).</w:t>
      </w:r>
    </w:p>
    <w:p w:rsidR="0053769A" w:rsidRPr="0053769A" w:rsidRDefault="004537B8">
      <w:pPr>
        <w:widowControl w:val="0"/>
        <w:spacing w:before="200" w:after="240"/>
        <w:rPr>
          <w:b/>
          <w:bCs/>
          <w:sz w:val="32"/>
          <w:szCs w:val="32"/>
        </w:rPr>
      </w:pPr>
      <w:r w:rsidRPr="0053769A">
        <w:rPr>
          <w:b/>
          <w:bCs/>
          <w:sz w:val="32"/>
          <w:szCs w:val="32"/>
        </w:rPr>
        <w:t>The decline stage</w:t>
      </w:r>
    </w:p>
    <w:p w:rsidR="000B0C37" w:rsidRDefault="0053769A">
      <w:pPr>
        <w:widowControl w:val="0"/>
        <w:spacing w:before="200" w:after="240"/>
      </w:pPr>
      <w:r>
        <w:t xml:space="preserve">The decline stage </w:t>
      </w:r>
      <w:r w:rsidR="004537B8" w:rsidRPr="00B84BFE">
        <w:t>is characterised by low sales, high competition and changing customer needs and wants. Pioneers, who heavily invested in branding and setting up of structures, rebalance their products by directing them to specific markets or providing new editions</w:t>
      </w:r>
      <w:r w:rsidR="00B84BFE">
        <w:t xml:space="preserve"> </w:t>
      </w:r>
      <w:r w:rsidR="00B84BFE" w:rsidRPr="00067F33">
        <w:rPr>
          <w:b/>
        </w:rPr>
        <w:t>(Kotler et al., 2019).</w:t>
      </w:r>
      <w:r w:rsidR="004537B8" w:rsidRPr="00B84BFE">
        <w:t xml:space="preserve">Google has continued to grow the search engine’s life cycle through Application of artificial intelligence and diversification with cloud computing. Some pioneers use what has been referred to as a ‘harvesting strategy’ wherein they continue to cut on the costs while enjoying the maximum </w:t>
      </w:r>
      <w:r w:rsidR="00D76EC2" w:rsidRPr="00B84BFE">
        <w:t>number</w:t>
      </w:r>
      <w:r w:rsidR="004537B8" w:rsidRPr="00B84BFE">
        <w:t xml:space="preserve"> of profits as is evident with older versions of Microsoft Windows </w:t>
      </w:r>
      <w:r w:rsidR="004537B8" w:rsidRPr="00067F33">
        <w:rPr>
          <w:b/>
        </w:rPr>
        <w:t xml:space="preserve">(Kim and Mauborgne, 2015). </w:t>
      </w:r>
      <w:r w:rsidR="004537B8" w:rsidRPr="00B84BFE">
        <w:t xml:space="preserve">The followers who have relatively low sunk cost may leave the market, go for low-cost strategies or take advantage of the pioneers’ decline to offer low-priced substitutes, making certain of their short-term profitability before leaving the market </w:t>
      </w:r>
      <w:r w:rsidR="004537B8" w:rsidRPr="00067F33">
        <w:rPr>
          <w:b/>
        </w:rPr>
        <w:t>(Kotler et al., 2019).</w:t>
      </w:r>
    </w:p>
    <w:p w:rsidR="000B0C37" w:rsidRDefault="007E19E1">
      <w:pPr>
        <w:pStyle w:val="Heading1"/>
        <w:keepNext w:val="0"/>
        <w:keepLines w:val="0"/>
        <w:widowControl w:val="0"/>
        <w:spacing w:before="200"/>
      </w:pPr>
      <w:r>
        <w:t xml:space="preserve">Conclusion </w:t>
      </w:r>
    </w:p>
    <w:p w:rsidR="000B0C37" w:rsidRDefault="007E19E1">
      <w:pPr>
        <w:widowControl w:val="0"/>
        <w:spacing w:before="200" w:after="240"/>
      </w:pPr>
      <w:r>
        <w:t xml:space="preserve">Choosing whether to be a pioneer or a follower is one of the most strategic management decisions that companies have to make whenever they are introducing new products to the market or venturing into new markets. Each of them has its strengths and weaknesses, and the performance ultimately depends on the extent to which the company is able to match its chosen approach to the internal resources and the external environment. In my opinion, pioneers have advantages such as creating a brand in the market, customers’ trust, and control over resources and channels of distribution. However, they also experience high costs of new product development, high levels of market risk, and risk of technological risk. On the other hand, followers minimise most of these risks by observing what pioneers go through. They build their strategies based on current technologies, enhance products according to clients’ needs, and often </w:t>
      </w:r>
      <w:r>
        <w:lastRenderedPageBreak/>
        <w:t xml:space="preserve">base their competition on cost. The strategists have outcompeted the pioneers most of the time for being more perceptive of the market opportunities and easily perceptive of the customer demands. Last but not least, it would be important for pioneers to effectively address the growth of PLM in order to guarantee the sustainability of competitive advantage in the market, and the same holds true for the followers. </w:t>
      </w:r>
      <w:r>
        <w:br w:type="page"/>
      </w:r>
    </w:p>
    <w:p w:rsidR="000B0C37" w:rsidRDefault="007E19E1">
      <w:pPr>
        <w:pStyle w:val="Heading1"/>
        <w:widowControl w:val="0"/>
        <w:spacing w:before="200" w:after="240"/>
      </w:pPr>
      <w:bookmarkStart w:id="2" w:name="_heading=h.csn3oj93mw7s" w:colFirst="0" w:colLast="0"/>
      <w:bookmarkEnd w:id="2"/>
      <w:r>
        <w:lastRenderedPageBreak/>
        <w:t>References</w:t>
      </w:r>
    </w:p>
    <w:p w:rsidR="000B0C37" w:rsidRDefault="007E19E1">
      <w:pPr>
        <w:widowControl w:val="0"/>
        <w:spacing w:before="200"/>
        <w:ind w:left="720" w:hanging="720"/>
      </w:pPr>
      <w:r>
        <w:t xml:space="preserve">Apple Inc. (2024). </w:t>
      </w:r>
      <w:r>
        <w:rPr>
          <w:i/>
        </w:rPr>
        <w:t>Annual report 2024</w:t>
      </w:r>
      <w:r>
        <w:t xml:space="preserve">. Retrieved March 5, 2025, from </w:t>
      </w:r>
      <w:hyperlink r:id="rId10">
        <w:r w:rsidR="000B0C37">
          <w:rPr>
            <w:color w:val="000000"/>
          </w:rPr>
          <w:t>https://investor.apple.com/investor-relations/default.aspx</w:t>
        </w:r>
      </w:hyperlink>
    </w:p>
    <w:p w:rsidR="000B0C37" w:rsidRDefault="007E19E1">
      <w:pPr>
        <w:widowControl w:val="0"/>
        <w:spacing w:before="200"/>
        <w:ind w:left="720" w:hanging="720"/>
      </w:pPr>
      <w:r>
        <w:t xml:space="preserve">Business Insider. (2024). </w:t>
      </w:r>
      <w:r>
        <w:rPr>
          <w:i/>
        </w:rPr>
        <w:t>Netflix's customer retention strategies continue to pay off</w:t>
      </w:r>
      <w:r>
        <w:t xml:space="preserve">. Retrieved March 5, 2025, from </w:t>
      </w:r>
      <w:hyperlink r:id="rId11">
        <w:r w:rsidR="000B0C37">
          <w:rPr>
            <w:color w:val="000000"/>
          </w:rPr>
          <w:t>https://www.businessinsider.com/netflix-customer-retention-strategies-2024-5</w:t>
        </w:r>
      </w:hyperlink>
    </w:p>
    <w:p w:rsidR="000B0C37" w:rsidRDefault="007E19E1">
      <w:pPr>
        <w:widowControl w:val="0"/>
        <w:spacing w:before="200"/>
        <w:ind w:left="720" w:hanging="720"/>
      </w:pPr>
      <w:r>
        <w:t xml:space="preserve">Canalys. (2024). </w:t>
      </w:r>
      <w:r>
        <w:rPr>
          <w:i/>
        </w:rPr>
        <w:t>Global smartphone market share Q4 2024</w:t>
      </w:r>
      <w:r>
        <w:t xml:space="preserve">. Retrieved March 5, 2025, from </w:t>
      </w:r>
      <w:hyperlink r:id="rId12">
        <w:r w:rsidR="000B0C37">
          <w:rPr>
            <w:color w:val="000000"/>
          </w:rPr>
          <w:t>https://www.canalys.com/newsroom/canalys-global-smartphone-market-Q4-2024</w:t>
        </w:r>
      </w:hyperlink>
    </w:p>
    <w:p w:rsidR="000B0C37" w:rsidRDefault="007E19E1">
      <w:pPr>
        <w:widowControl w:val="0"/>
        <w:spacing w:before="200"/>
        <w:ind w:left="720" w:hanging="720"/>
      </w:pPr>
      <w:r>
        <w:t xml:space="preserve">The Coca-Cola Company. (2024). </w:t>
      </w:r>
      <w:r>
        <w:rPr>
          <w:i/>
        </w:rPr>
        <w:t>Annual report 2024</w:t>
      </w:r>
      <w:r>
        <w:t xml:space="preserve">. Retrieved March 5, 2025, from </w:t>
      </w:r>
      <w:hyperlink r:id="rId13">
        <w:r w:rsidR="000B0C37">
          <w:rPr>
            <w:color w:val="000000"/>
          </w:rPr>
          <w:t>https://investors.coca-colacompany.com/financial-information/annual-reports</w:t>
        </w:r>
      </w:hyperlink>
    </w:p>
    <w:p w:rsidR="000B0C37" w:rsidRDefault="007E19E1">
      <w:pPr>
        <w:widowControl w:val="0"/>
        <w:spacing w:before="200"/>
        <w:ind w:left="720" w:hanging="720"/>
      </w:pPr>
      <w:r>
        <w:t xml:space="preserve">Forbes. (2022). </w:t>
      </w:r>
      <w:r>
        <w:rPr>
          <w:i/>
        </w:rPr>
        <w:t>Why Segway failed: Lessons in market readiness and consumer demand</w:t>
      </w:r>
      <w:r>
        <w:t xml:space="preserve">. Retrieved March 5, 2025, from </w:t>
      </w:r>
      <w:hyperlink r:id="rId14">
        <w:r w:rsidR="000B0C37">
          <w:rPr>
            <w:color w:val="000000"/>
          </w:rPr>
          <w:t>https://www.forbes.com/sites/forbesbusinesscouncil/2022/01/18/why-segway-failed-lessons-in-market-readiness-and-consumer-demand/</w:t>
        </w:r>
      </w:hyperlink>
    </w:p>
    <w:p w:rsidR="000B0C37" w:rsidRDefault="007E19E1">
      <w:pPr>
        <w:widowControl w:val="0"/>
        <w:spacing w:before="200"/>
        <w:ind w:left="720" w:hanging="720"/>
      </w:pPr>
      <w:r>
        <w:t xml:space="preserve">Gartner. (2023). </w:t>
      </w:r>
      <w:r>
        <w:rPr>
          <w:i/>
        </w:rPr>
        <w:t>The rise and fall of BlackBerry: A case study in technological disruption</w:t>
      </w:r>
      <w:r>
        <w:t xml:space="preserve">. Retrieved March 5, 2025, from </w:t>
      </w:r>
      <w:hyperlink r:id="rId15">
        <w:r w:rsidR="000B0C37">
          <w:rPr>
            <w:color w:val="000000"/>
          </w:rPr>
          <w:t>https://www.gartner.com/en/newsroom/press-releases/2023-09-15-the-rise-and-fall-of-blackberry</w:t>
        </w:r>
      </w:hyperlink>
    </w:p>
    <w:p w:rsidR="000B0C37" w:rsidRDefault="007E19E1">
      <w:pPr>
        <w:widowControl w:val="0"/>
        <w:spacing w:before="200"/>
        <w:ind w:left="720" w:hanging="720"/>
      </w:pPr>
      <w:r>
        <w:t xml:space="preserve">Grant, R. M. (2016). </w:t>
      </w:r>
      <w:r>
        <w:rPr>
          <w:i/>
        </w:rPr>
        <w:t>Contemporary strategy analysis: Text and cases edition</w:t>
      </w:r>
      <w:r>
        <w:t xml:space="preserve"> (9th ed.). Wiley.</w:t>
      </w:r>
    </w:p>
    <w:p w:rsidR="000B0C37" w:rsidRDefault="007E19E1">
      <w:pPr>
        <w:widowControl w:val="0"/>
        <w:spacing w:before="200"/>
        <w:ind w:left="720" w:hanging="720"/>
      </w:pPr>
      <w:r>
        <w:t xml:space="preserve">Harvard Business Review. (2022). </w:t>
      </w:r>
      <w:r>
        <w:rPr>
          <w:i/>
        </w:rPr>
        <w:t>Why first movers often fail and how to avoid it</w:t>
      </w:r>
      <w:r>
        <w:t xml:space="preserve">. Retrieved March 5, 2025, from </w:t>
      </w:r>
      <w:hyperlink r:id="rId16">
        <w:r w:rsidR="000B0C37">
          <w:rPr>
            <w:color w:val="000000"/>
          </w:rPr>
          <w:t>https://hbr.org/2022/03/why-first-movers-often-fail-and-how-to-avoid-it</w:t>
        </w:r>
      </w:hyperlink>
    </w:p>
    <w:p w:rsidR="000B0C37" w:rsidRDefault="007E19E1">
      <w:pPr>
        <w:widowControl w:val="0"/>
        <w:spacing w:before="200"/>
        <w:ind w:left="720" w:hanging="720"/>
      </w:pPr>
      <w:r>
        <w:t xml:space="preserve">IBISWorld. (2023). </w:t>
      </w:r>
      <w:r>
        <w:rPr>
          <w:i/>
        </w:rPr>
        <w:t>Global soft drink and bottled water manufacturing industry report</w:t>
      </w:r>
      <w:r>
        <w:t xml:space="preserve">. Retrieved March 5, 2025, from </w:t>
      </w:r>
      <w:hyperlink r:id="rId17">
        <w:r w:rsidR="000B0C37">
          <w:rPr>
            <w:color w:val="000000"/>
          </w:rPr>
          <w:t>https://www.ibisworld.com/global/market-research-reports/global-soft-drink-bottled-water-manufacturing-industry/</w:t>
        </w:r>
      </w:hyperlink>
    </w:p>
    <w:p w:rsidR="000B0C37" w:rsidRDefault="007E19E1">
      <w:pPr>
        <w:widowControl w:val="0"/>
        <w:spacing w:before="200"/>
        <w:ind w:left="720" w:hanging="720"/>
      </w:pPr>
      <w:r>
        <w:t xml:space="preserve">Kim, W. C., &amp; Mauborgne, R. (2015). </w:t>
      </w:r>
      <w:r>
        <w:rPr>
          <w:i/>
        </w:rPr>
        <w:t>Blue ocean strategy: How to create uncontested market space and make the competition irrelevant</w:t>
      </w:r>
      <w:r>
        <w:t>. Harvard Business Review Press.</w:t>
      </w:r>
    </w:p>
    <w:p w:rsidR="000B0C37" w:rsidRDefault="007E19E1">
      <w:pPr>
        <w:widowControl w:val="0"/>
        <w:spacing w:before="200"/>
        <w:ind w:left="720" w:hanging="720"/>
      </w:pPr>
      <w:r>
        <w:lastRenderedPageBreak/>
        <w:t xml:space="preserve">Kotler, P., Keller, K. L., Brady, M., Goodman, M., &amp; Hansen, T. (2019). </w:t>
      </w:r>
      <w:r>
        <w:rPr>
          <w:i/>
        </w:rPr>
        <w:t>Marketing management</w:t>
      </w:r>
      <w:r>
        <w:t xml:space="preserve"> (4th European ed.). Pearson.</w:t>
      </w:r>
    </w:p>
    <w:p w:rsidR="000B0C37" w:rsidRDefault="007E19E1">
      <w:pPr>
        <w:widowControl w:val="0"/>
        <w:spacing w:before="200"/>
        <w:ind w:left="720" w:hanging="720"/>
      </w:pPr>
      <w:r>
        <w:t xml:space="preserve">McKinsey &amp; Company. (2023). </w:t>
      </w:r>
      <w:r>
        <w:rPr>
          <w:i/>
        </w:rPr>
        <w:t>The cost of innovation: Balancing R&amp;D investments with market uncertainty</w:t>
      </w:r>
      <w:r>
        <w:t xml:space="preserve">. Retrieved March 5, 2025, from </w:t>
      </w:r>
      <w:hyperlink r:id="rId18">
        <w:r w:rsidR="000B0C37">
          <w:rPr>
            <w:color w:val="000000"/>
          </w:rPr>
          <w:t>https://www.mckinsey.com/business-functions/strategy-and-corporate-finance/our-insights/the-cost-of-innovation</w:t>
        </w:r>
      </w:hyperlink>
    </w:p>
    <w:p w:rsidR="000B0C37" w:rsidRDefault="007E19E1">
      <w:pPr>
        <w:widowControl w:val="0"/>
        <w:spacing w:before="200"/>
        <w:ind w:left="720" w:hanging="720"/>
      </w:pPr>
      <w:r>
        <w:t xml:space="preserve">McKinsey &amp; Company. (2023). </w:t>
      </w:r>
      <w:r>
        <w:rPr>
          <w:i/>
        </w:rPr>
        <w:t>The state of AI and product innovation in 2023</w:t>
      </w:r>
      <w:r>
        <w:t xml:space="preserve">. Retrieved March 5, 2025, from </w:t>
      </w:r>
      <w:hyperlink r:id="rId19">
        <w:r w:rsidR="000B0C37">
          <w:rPr>
            <w:color w:val="000000"/>
          </w:rPr>
          <w:t>https://www.mckinsey.com</w:t>
        </w:r>
      </w:hyperlink>
    </w:p>
    <w:p w:rsidR="000B0C37" w:rsidRDefault="007E19E1">
      <w:pPr>
        <w:widowControl w:val="0"/>
        <w:spacing w:before="200"/>
        <w:ind w:left="720" w:hanging="720"/>
      </w:pPr>
      <w:r>
        <w:t xml:space="preserve">Netflix Inc. (2024). </w:t>
      </w:r>
      <w:r>
        <w:rPr>
          <w:i/>
        </w:rPr>
        <w:t>Annual report 2024</w:t>
      </w:r>
      <w:r>
        <w:t xml:space="preserve">. Retrieved March 5, 2025, from </w:t>
      </w:r>
      <w:hyperlink r:id="rId20">
        <w:r w:rsidR="000B0C37">
          <w:rPr>
            <w:color w:val="000000"/>
          </w:rPr>
          <w:t>https://ir.netflix.net/financials/annual-reports-and-proxies/default.aspx</w:t>
        </w:r>
      </w:hyperlink>
    </w:p>
    <w:p w:rsidR="000B0C37" w:rsidRDefault="007E19E1">
      <w:pPr>
        <w:widowControl w:val="0"/>
        <w:spacing w:before="200"/>
        <w:ind w:left="720" w:hanging="720"/>
      </w:pPr>
      <w:r>
        <w:t xml:space="preserve">Peres, R., Muller, E., &amp; Mahajan, V. (2010). Innovation diffusion and new product growth models: A critical review and research directions. </w:t>
      </w:r>
      <w:r>
        <w:rPr>
          <w:i/>
        </w:rPr>
        <w:t>International Journal of Research in Marketing, 27</w:t>
      </w:r>
      <w:r>
        <w:t>(2), 91–106.</w:t>
      </w:r>
    </w:p>
    <w:p w:rsidR="000B0C37" w:rsidRDefault="007E19E1">
      <w:pPr>
        <w:widowControl w:val="0"/>
        <w:spacing w:before="200"/>
        <w:ind w:left="720" w:hanging="720"/>
      </w:pPr>
      <w:r>
        <w:t xml:space="preserve">Rogers, E. M. (2003). </w:t>
      </w:r>
      <w:r>
        <w:rPr>
          <w:i/>
        </w:rPr>
        <w:t>Diffusion of innovations</w:t>
      </w:r>
      <w:r>
        <w:t xml:space="preserve"> (5th ed.). Free Press.</w:t>
      </w:r>
    </w:p>
    <w:p w:rsidR="000B0C37" w:rsidRDefault="007E19E1">
      <w:pPr>
        <w:widowControl w:val="0"/>
        <w:spacing w:before="200"/>
        <w:ind w:left="720" w:hanging="720"/>
      </w:pPr>
      <w:r>
        <w:t xml:space="preserve">Schilling, M. A. (2019). </w:t>
      </w:r>
      <w:r>
        <w:rPr>
          <w:i/>
        </w:rPr>
        <w:t>Strategic management of technological innovation</w:t>
      </w:r>
      <w:r>
        <w:t xml:space="preserve"> (6th ed.). McGraw-Hill Education.</w:t>
      </w:r>
    </w:p>
    <w:p w:rsidR="000B0C37" w:rsidRDefault="007E19E1">
      <w:pPr>
        <w:widowControl w:val="0"/>
        <w:spacing w:before="200"/>
        <w:ind w:left="720" w:hanging="720"/>
      </w:pPr>
      <w:r>
        <w:t xml:space="preserve">Spotify. (2024). </w:t>
      </w:r>
      <w:r>
        <w:rPr>
          <w:i/>
        </w:rPr>
        <w:t>Annual report 2024</w:t>
      </w:r>
      <w:r>
        <w:t xml:space="preserve">. Retrieved March 5, 2025, from </w:t>
      </w:r>
      <w:hyperlink r:id="rId21">
        <w:r w:rsidR="000B0C37">
          <w:rPr>
            <w:color w:val="000000"/>
          </w:rPr>
          <w:t>https://investors.spotify.com/financials/annual-reports/default.aspx</w:t>
        </w:r>
      </w:hyperlink>
    </w:p>
    <w:p w:rsidR="000B0C37" w:rsidRDefault="007E19E1">
      <w:pPr>
        <w:widowControl w:val="0"/>
        <w:spacing w:before="200"/>
        <w:ind w:left="720" w:hanging="720"/>
      </w:pPr>
      <w:r>
        <w:t xml:space="preserve">Statista. (2023). </w:t>
      </w:r>
      <w:r>
        <w:rPr>
          <w:i/>
        </w:rPr>
        <w:t>Number of global social media users and decline of Friendster</w:t>
      </w:r>
      <w:r>
        <w:t xml:space="preserve">. Retrieved March 5, 2025, from </w:t>
      </w:r>
      <w:hyperlink r:id="rId22">
        <w:r w:rsidR="000B0C37">
          <w:rPr>
            <w:color w:val="000000"/>
          </w:rPr>
          <w:t>https://www.statista.com/statistics/278414/number-of-worldwide-social-network-users/</w:t>
        </w:r>
      </w:hyperlink>
    </w:p>
    <w:p w:rsidR="000B0C37" w:rsidRDefault="007E19E1">
      <w:pPr>
        <w:widowControl w:val="0"/>
        <w:spacing w:before="200"/>
        <w:ind w:left="720" w:hanging="720"/>
      </w:pPr>
      <w:r>
        <w:t xml:space="preserve">Statista. (2024a). </w:t>
      </w:r>
      <w:r>
        <w:rPr>
          <w:i/>
        </w:rPr>
        <w:t>Global smartphone market share 2024 by vendor</w:t>
      </w:r>
      <w:r>
        <w:t xml:space="preserve">. Retrieved March 5, 2025, from </w:t>
      </w:r>
      <w:hyperlink r:id="rId23">
        <w:r w:rsidR="000B0C37">
          <w:rPr>
            <w:color w:val="000000"/>
          </w:rPr>
          <w:t>https://www.statista.com/statistics/271496/global-market-share-held-by-smartphone-vendors/</w:t>
        </w:r>
      </w:hyperlink>
    </w:p>
    <w:p w:rsidR="000B0C37" w:rsidRDefault="007E19E1">
      <w:pPr>
        <w:widowControl w:val="0"/>
        <w:spacing w:before="200"/>
        <w:ind w:left="720" w:hanging="720"/>
      </w:pPr>
      <w:r>
        <w:t xml:space="preserve">Statista. (2024b). </w:t>
      </w:r>
      <w:r>
        <w:rPr>
          <w:i/>
        </w:rPr>
        <w:t>Electric vehicle market share 2024</w:t>
      </w:r>
      <w:r>
        <w:t xml:space="preserve">. Retrieved March 5, 2025, from </w:t>
      </w:r>
      <w:hyperlink r:id="rId24">
        <w:r w:rsidR="000B0C37">
          <w:rPr>
            <w:color w:val="000000"/>
          </w:rPr>
          <w:t>https://www.statista.com/statistics/1096369/global-electric-vehicle-market-share-by-brand/</w:t>
        </w:r>
      </w:hyperlink>
    </w:p>
    <w:p w:rsidR="000B0C37" w:rsidRDefault="007E19E1">
      <w:pPr>
        <w:widowControl w:val="0"/>
        <w:spacing w:before="200"/>
        <w:ind w:left="720" w:hanging="720"/>
      </w:pPr>
      <w:r>
        <w:lastRenderedPageBreak/>
        <w:t xml:space="preserve">Statista. (2024c). </w:t>
      </w:r>
      <w:r>
        <w:rPr>
          <w:i/>
        </w:rPr>
        <w:t>Netflix revenue and subscriber data 2024</w:t>
      </w:r>
      <w:r>
        <w:t xml:space="preserve">. Retrieved March 5, 2025, from </w:t>
      </w:r>
      <w:hyperlink r:id="rId25">
        <w:r w:rsidR="000B0C37">
          <w:rPr>
            <w:color w:val="000000"/>
          </w:rPr>
          <w:t>https://www.statista.com/statistics/250934/quarterly-revenue-of-netflix/</w:t>
        </w:r>
      </w:hyperlink>
    </w:p>
    <w:p w:rsidR="000B0C37" w:rsidRDefault="007E19E1">
      <w:pPr>
        <w:widowControl w:val="0"/>
        <w:spacing w:before="200"/>
        <w:ind w:left="720" w:hanging="720"/>
      </w:pPr>
      <w:r>
        <w:t xml:space="preserve">Statista. (2024d). </w:t>
      </w:r>
      <w:r>
        <w:rPr>
          <w:i/>
        </w:rPr>
        <w:t>Apple services revenue 2024</w:t>
      </w:r>
      <w:r>
        <w:t xml:space="preserve">. Retrieved March 5, 2025, from </w:t>
      </w:r>
      <w:hyperlink r:id="rId26">
        <w:r w:rsidR="000B0C37">
          <w:rPr>
            <w:color w:val="000000"/>
          </w:rPr>
          <w:t>https://www.statista.com/statistics/382175/quarterly-apple-services-revenue/</w:t>
        </w:r>
      </w:hyperlink>
    </w:p>
    <w:p w:rsidR="000B0C37" w:rsidRDefault="000B0C37" w:rsidP="00394EA2"/>
    <w:sectPr w:rsidR="000B0C37" w:rsidSect="00857373">
      <w:footerReference w:type="even" r:id="rId27"/>
      <w:footerReference w:type="default" r:id="rId28"/>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F76C5" w:rsidRDefault="007F76C5">
      <w:pPr>
        <w:spacing w:line="240" w:lineRule="auto"/>
      </w:pPr>
      <w:r>
        <w:separator/>
      </w:r>
    </w:p>
  </w:endnote>
  <w:endnote w:type="continuationSeparator" w:id="1">
    <w:p w:rsidR="007F76C5" w:rsidRDefault="007F76C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0C37" w:rsidRDefault="00DA3A25">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7E19E1">
      <w:rPr>
        <w:color w:val="000000"/>
      </w:rPr>
      <w:instrText>PAGE</w:instrText>
    </w:r>
    <w:r>
      <w:rPr>
        <w:color w:val="000000"/>
      </w:rPr>
      <w:fldChar w:fldCharType="end"/>
    </w:r>
  </w:p>
  <w:p w:rsidR="000B0C37" w:rsidRDefault="000B0C37">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0C37" w:rsidRDefault="007E19E1">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No. </w:t>
    </w:r>
    <w:r w:rsidR="00DA3A25">
      <w:rPr>
        <w:color w:val="000000"/>
      </w:rPr>
      <w:fldChar w:fldCharType="begin"/>
    </w:r>
    <w:r>
      <w:rPr>
        <w:color w:val="000000"/>
      </w:rPr>
      <w:instrText>PAGE</w:instrText>
    </w:r>
    <w:r w:rsidR="00DA3A25">
      <w:rPr>
        <w:color w:val="000000"/>
      </w:rPr>
      <w:fldChar w:fldCharType="separate"/>
    </w:r>
    <w:r w:rsidR="001249DC">
      <w:rPr>
        <w:noProof/>
        <w:color w:val="000000"/>
      </w:rPr>
      <w:t>12</w:t>
    </w:r>
    <w:r w:rsidR="00DA3A25">
      <w:rPr>
        <w:color w:val="000000"/>
      </w:rPr>
      <w:fldChar w:fldCharType="end"/>
    </w:r>
  </w:p>
  <w:p w:rsidR="000B0C37" w:rsidRDefault="000B0C37">
    <w:pPr>
      <w:pBdr>
        <w:top w:val="nil"/>
        <w:left w:val="nil"/>
        <w:bottom w:val="nil"/>
        <w:right w:val="nil"/>
        <w:between w:val="nil"/>
      </w:pBdr>
      <w:tabs>
        <w:tab w:val="center" w:pos="4680"/>
        <w:tab w:val="right" w:pos="9360"/>
      </w:tabs>
      <w:spacing w:line="240" w:lineRule="auto"/>
      <w:ind w:right="360"/>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F76C5" w:rsidRDefault="007F76C5">
      <w:pPr>
        <w:spacing w:line="240" w:lineRule="auto"/>
      </w:pPr>
      <w:r>
        <w:separator/>
      </w:r>
    </w:p>
  </w:footnote>
  <w:footnote w:type="continuationSeparator" w:id="1">
    <w:p w:rsidR="007F76C5" w:rsidRDefault="007F76C5">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3"/>
  <w:defaultTabStop w:val="720"/>
  <w:characterSpacingControl w:val="doNotCompress"/>
  <w:footnotePr>
    <w:footnote w:id="0"/>
    <w:footnote w:id="1"/>
  </w:footnotePr>
  <w:endnotePr>
    <w:endnote w:id="0"/>
    <w:endnote w:id="1"/>
  </w:endnotePr>
  <w:compat/>
  <w:rsids>
    <w:rsidRoot w:val="000B0C37"/>
    <w:rsid w:val="000649C2"/>
    <w:rsid w:val="00067F33"/>
    <w:rsid w:val="00086D48"/>
    <w:rsid w:val="00090B77"/>
    <w:rsid w:val="000B0C37"/>
    <w:rsid w:val="000D0796"/>
    <w:rsid w:val="001249DC"/>
    <w:rsid w:val="00165E71"/>
    <w:rsid w:val="001B3463"/>
    <w:rsid w:val="002922CB"/>
    <w:rsid w:val="002D18F1"/>
    <w:rsid w:val="002D5D71"/>
    <w:rsid w:val="00393476"/>
    <w:rsid w:val="00394EA2"/>
    <w:rsid w:val="003E026B"/>
    <w:rsid w:val="003E04D9"/>
    <w:rsid w:val="004537B8"/>
    <w:rsid w:val="0053769A"/>
    <w:rsid w:val="00560D82"/>
    <w:rsid w:val="00582AA4"/>
    <w:rsid w:val="005D2F72"/>
    <w:rsid w:val="00680A16"/>
    <w:rsid w:val="006904EF"/>
    <w:rsid w:val="006A7968"/>
    <w:rsid w:val="006F35DC"/>
    <w:rsid w:val="007927A2"/>
    <w:rsid w:val="007E19E1"/>
    <w:rsid w:val="007F7059"/>
    <w:rsid w:val="007F76C5"/>
    <w:rsid w:val="00857373"/>
    <w:rsid w:val="0087083D"/>
    <w:rsid w:val="008805E3"/>
    <w:rsid w:val="00B05EC8"/>
    <w:rsid w:val="00B84BFE"/>
    <w:rsid w:val="00BB30A8"/>
    <w:rsid w:val="00D51408"/>
    <w:rsid w:val="00D76EC2"/>
    <w:rsid w:val="00DA3A25"/>
    <w:rsid w:val="00DD5DB0"/>
    <w:rsid w:val="00E61ECD"/>
    <w:rsid w:val="00F445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373"/>
  </w:style>
  <w:style w:type="paragraph" w:styleId="Heading1">
    <w:name w:val="heading 1"/>
    <w:basedOn w:val="Normal"/>
    <w:next w:val="Normal"/>
    <w:uiPriority w:val="9"/>
    <w:qFormat/>
    <w:rsid w:val="00857373"/>
    <w:pPr>
      <w:keepNext/>
      <w:keepLines/>
      <w:spacing w:before="360" w:after="80"/>
      <w:outlineLvl w:val="0"/>
    </w:pPr>
    <w:rPr>
      <w:b/>
      <w:sz w:val="32"/>
      <w:szCs w:val="32"/>
    </w:rPr>
  </w:style>
  <w:style w:type="paragraph" w:styleId="Heading2">
    <w:name w:val="heading 2"/>
    <w:basedOn w:val="Normal"/>
    <w:next w:val="Normal"/>
    <w:uiPriority w:val="9"/>
    <w:unhideWhenUsed/>
    <w:qFormat/>
    <w:rsid w:val="00857373"/>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85737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57373"/>
    <w:pPr>
      <w:keepNext/>
      <w:keepLines/>
      <w:spacing w:before="280" w:after="80"/>
      <w:outlineLvl w:val="3"/>
    </w:pPr>
    <w:rPr>
      <w:color w:val="666666"/>
    </w:rPr>
  </w:style>
  <w:style w:type="paragraph" w:styleId="Heading5">
    <w:name w:val="heading 5"/>
    <w:basedOn w:val="Normal"/>
    <w:next w:val="Normal"/>
    <w:uiPriority w:val="9"/>
    <w:semiHidden/>
    <w:unhideWhenUsed/>
    <w:qFormat/>
    <w:rsid w:val="00857373"/>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5737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57373"/>
    <w:pPr>
      <w:keepNext/>
      <w:keepLines/>
      <w:spacing w:after="60"/>
    </w:pPr>
    <w:rPr>
      <w:sz w:val="52"/>
      <w:szCs w:val="52"/>
    </w:rPr>
  </w:style>
  <w:style w:type="paragraph" w:styleId="Subtitle">
    <w:name w:val="Subtitle"/>
    <w:basedOn w:val="Normal"/>
    <w:next w:val="Normal"/>
    <w:uiPriority w:val="11"/>
    <w:qFormat/>
    <w:rsid w:val="00857373"/>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DE2C23"/>
    <w:rPr>
      <w:color w:val="0000FF" w:themeColor="hyperlink"/>
      <w:u w:val="single"/>
    </w:rPr>
  </w:style>
  <w:style w:type="character" w:customStyle="1" w:styleId="UnresolvedMention">
    <w:name w:val="Unresolved Mention"/>
    <w:basedOn w:val="DefaultParagraphFont"/>
    <w:uiPriority w:val="99"/>
    <w:semiHidden/>
    <w:unhideWhenUsed/>
    <w:rsid w:val="00DE2C23"/>
    <w:rPr>
      <w:color w:val="605E5C"/>
      <w:shd w:val="clear" w:color="auto" w:fill="E1DFDD"/>
    </w:rPr>
  </w:style>
  <w:style w:type="paragraph" w:styleId="Header">
    <w:name w:val="header"/>
    <w:basedOn w:val="Normal"/>
    <w:link w:val="HeaderChar"/>
    <w:uiPriority w:val="99"/>
    <w:unhideWhenUsed/>
    <w:rsid w:val="00FE6139"/>
    <w:pPr>
      <w:tabs>
        <w:tab w:val="center" w:pos="4680"/>
        <w:tab w:val="right" w:pos="9360"/>
      </w:tabs>
      <w:spacing w:line="240" w:lineRule="auto"/>
    </w:pPr>
  </w:style>
  <w:style w:type="character" w:customStyle="1" w:styleId="HeaderChar">
    <w:name w:val="Header Char"/>
    <w:basedOn w:val="DefaultParagraphFont"/>
    <w:link w:val="Header"/>
    <w:uiPriority w:val="99"/>
    <w:rsid w:val="00FE6139"/>
  </w:style>
  <w:style w:type="paragraph" w:styleId="Footer">
    <w:name w:val="footer"/>
    <w:basedOn w:val="Normal"/>
    <w:link w:val="FooterChar"/>
    <w:uiPriority w:val="99"/>
    <w:unhideWhenUsed/>
    <w:rsid w:val="00FE6139"/>
    <w:pPr>
      <w:tabs>
        <w:tab w:val="center" w:pos="4680"/>
        <w:tab w:val="right" w:pos="9360"/>
      </w:tabs>
      <w:spacing w:line="240" w:lineRule="auto"/>
    </w:pPr>
  </w:style>
  <w:style w:type="character" w:customStyle="1" w:styleId="FooterChar">
    <w:name w:val="Footer Char"/>
    <w:basedOn w:val="DefaultParagraphFont"/>
    <w:link w:val="Footer"/>
    <w:uiPriority w:val="99"/>
    <w:rsid w:val="00FE6139"/>
  </w:style>
  <w:style w:type="character" w:styleId="PageNumber">
    <w:name w:val="page number"/>
    <w:basedOn w:val="DefaultParagraphFont"/>
    <w:uiPriority w:val="99"/>
    <w:semiHidden/>
    <w:unhideWhenUsed/>
    <w:rsid w:val="00D35D1A"/>
  </w:style>
  <w:style w:type="character" w:styleId="IntenseEmphasis">
    <w:name w:val="Intense Emphasis"/>
    <w:basedOn w:val="DefaultParagraphFont"/>
    <w:uiPriority w:val="21"/>
    <w:qFormat/>
    <w:rsid w:val="00BB30A8"/>
    <w:rPr>
      <w:i/>
      <w:iCs/>
      <w:color w:val="4F81BD" w:themeColor="accent1"/>
    </w:rPr>
  </w:style>
  <w:style w:type="paragraph" w:styleId="BalloonText">
    <w:name w:val="Balloon Text"/>
    <w:basedOn w:val="Normal"/>
    <w:link w:val="BalloonTextChar"/>
    <w:uiPriority w:val="99"/>
    <w:semiHidden/>
    <w:unhideWhenUsed/>
    <w:rsid w:val="003E02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26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824118">
      <w:bodyDiv w:val="1"/>
      <w:marLeft w:val="0"/>
      <w:marRight w:val="0"/>
      <w:marTop w:val="0"/>
      <w:marBottom w:val="0"/>
      <w:divBdr>
        <w:top w:val="none" w:sz="0" w:space="0" w:color="auto"/>
        <w:left w:val="none" w:sz="0" w:space="0" w:color="auto"/>
        <w:bottom w:val="none" w:sz="0" w:space="0" w:color="auto"/>
        <w:right w:val="none" w:sz="0" w:space="0" w:color="auto"/>
      </w:divBdr>
    </w:div>
    <w:div w:id="555238042">
      <w:bodyDiv w:val="1"/>
      <w:marLeft w:val="0"/>
      <w:marRight w:val="0"/>
      <w:marTop w:val="0"/>
      <w:marBottom w:val="0"/>
      <w:divBdr>
        <w:top w:val="none" w:sz="0" w:space="0" w:color="auto"/>
        <w:left w:val="none" w:sz="0" w:space="0" w:color="auto"/>
        <w:bottom w:val="none" w:sz="0" w:space="0" w:color="auto"/>
        <w:right w:val="none" w:sz="0" w:space="0" w:color="auto"/>
      </w:divBdr>
    </w:div>
    <w:div w:id="1021779679">
      <w:bodyDiv w:val="1"/>
      <w:marLeft w:val="0"/>
      <w:marRight w:val="0"/>
      <w:marTop w:val="0"/>
      <w:marBottom w:val="0"/>
      <w:divBdr>
        <w:top w:val="none" w:sz="0" w:space="0" w:color="auto"/>
        <w:left w:val="none" w:sz="0" w:space="0" w:color="auto"/>
        <w:bottom w:val="none" w:sz="0" w:space="0" w:color="auto"/>
        <w:right w:val="none" w:sz="0" w:space="0" w:color="auto"/>
      </w:divBdr>
    </w:div>
    <w:div w:id="1400402188">
      <w:bodyDiv w:val="1"/>
      <w:marLeft w:val="0"/>
      <w:marRight w:val="0"/>
      <w:marTop w:val="0"/>
      <w:marBottom w:val="0"/>
      <w:divBdr>
        <w:top w:val="none" w:sz="0" w:space="0" w:color="auto"/>
        <w:left w:val="none" w:sz="0" w:space="0" w:color="auto"/>
        <w:bottom w:val="none" w:sz="0" w:space="0" w:color="auto"/>
        <w:right w:val="none" w:sz="0" w:space="0" w:color="auto"/>
      </w:divBdr>
    </w:div>
    <w:div w:id="1522157713">
      <w:bodyDiv w:val="1"/>
      <w:marLeft w:val="0"/>
      <w:marRight w:val="0"/>
      <w:marTop w:val="0"/>
      <w:marBottom w:val="0"/>
      <w:divBdr>
        <w:top w:val="none" w:sz="0" w:space="0" w:color="auto"/>
        <w:left w:val="none" w:sz="0" w:space="0" w:color="auto"/>
        <w:bottom w:val="none" w:sz="0" w:space="0" w:color="auto"/>
        <w:right w:val="none" w:sz="0" w:space="0" w:color="auto"/>
      </w:divBdr>
    </w:div>
    <w:div w:id="1617828850">
      <w:bodyDiv w:val="1"/>
      <w:marLeft w:val="0"/>
      <w:marRight w:val="0"/>
      <w:marTop w:val="0"/>
      <w:marBottom w:val="0"/>
      <w:divBdr>
        <w:top w:val="none" w:sz="0" w:space="0" w:color="auto"/>
        <w:left w:val="none" w:sz="0" w:space="0" w:color="auto"/>
        <w:bottom w:val="none" w:sz="0" w:space="0" w:color="auto"/>
        <w:right w:val="none" w:sz="0" w:space="0" w:color="auto"/>
      </w:divBdr>
    </w:div>
    <w:div w:id="2084838284">
      <w:bodyDiv w:val="1"/>
      <w:marLeft w:val="0"/>
      <w:marRight w:val="0"/>
      <w:marTop w:val="0"/>
      <w:marBottom w:val="0"/>
      <w:divBdr>
        <w:top w:val="none" w:sz="0" w:space="0" w:color="auto"/>
        <w:left w:val="none" w:sz="0" w:space="0" w:color="auto"/>
        <w:bottom w:val="none" w:sz="0" w:space="0" w:color="auto"/>
        <w:right w:val="none" w:sz="0" w:space="0" w:color="auto"/>
      </w:divBdr>
    </w:div>
    <w:div w:id="21132812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vestors.coca-colacompany.com/financial-information/annual-reports" TargetMode="External"/><Relationship Id="rId18" Type="http://schemas.openxmlformats.org/officeDocument/2006/relationships/hyperlink" Target="https://www.mckinsey.com/business-functions/strategy-and-corporate-finance/our-insights/the-cost-of-innovation" TargetMode="External"/><Relationship Id="rId26" Type="http://schemas.openxmlformats.org/officeDocument/2006/relationships/hyperlink" Target="https://www.statista.com/statistics/382175/quarterly-apple-services-revenue/" TargetMode="External"/><Relationship Id="rId3" Type="http://schemas.openxmlformats.org/officeDocument/2006/relationships/settings" Target="settings.xml"/><Relationship Id="rId21" Type="http://schemas.openxmlformats.org/officeDocument/2006/relationships/hyperlink" Target="https://investors.spotify.com/financials/annual-reports/default.aspx" TargetMode="External"/><Relationship Id="rId7" Type="http://schemas.openxmlformats.org/officeDocument/2006/relationships/image" Target="media/image1.png"/><Relationship Id="rId12" Type="http://schemas.openxmlformats.org/officeDocument/2006/relationships/hyperlink" Target="https://www.canalys.com/newsroom/canalys-global-smartphone-market-Q4-2024" TargetMode="External"/><Relationship Id="rId17" Type="http://schemas.openxmlformats.org/officeDocument/2006/relationships/hyperlink" Target="https://www.ibisworld.com/global/market-research-reports/global-soft-drink-bottled-water-manufacturing-industry/" TargetMode="External"/><Relationship Id="rId25" Type="http://schemas.openxmlformats.org/officeDocument/2006/relationships/hyperlink" Target="https://www.statista.com/statistics/250934/quarterly-revenue-of-netflix/" TargetMode="External"/><Relationship Id="rId2" Type="http://schemas.openxmlformats.org/officeDocument/2006/relationships/styles" Target="styles.xml"/><Relationship Id="rId16" Type="http://schemas.openxmlformats.org/officeDocument/2006/relationships/hyperlink" Target="https://hbr.org/2022/03/why-first-movers-often-fail-and-how-to-avoid-it" TargetMode="External"/><Relationship Id="rId20" Type="http://schemas.openxmlformats.org/officeDocument/2006/relationships/hyperlink" Target="https://ir.netflix.net/financials/annual-reports-and-proxies/default.asp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insider.com/netflix-customer-retention-strategies-2024-5" TargetMode="External"/><Relationship Id="rId24" Type="http://schemas.openxmlformats.org/officeDocument/2006/relationships/hyperlink" Target="https://www.statista.com/statistics/1096369/global-electric-vehicle-market-share-by-brand/" TargetMode="External"/><Relationship Id="rId5" Type="http://schemas.openxmlformats.org/officeDocument/2006/relationships/footnotes" Target="footnotes.xml"/><Relationship Id="rId15" Type="http://schemas.openxmlformats.org/officeDocument/2006/relationships/hyperlink" Target="https://www.gartner.com/en/newsroom/press-releases/2023-09-15-the-rise-and-fall-of-blackberry" TargetMode="External"/><Relationship Id="rId23" Type="http://schemas.openxmlformats.org/officeDocument/2006/relationships/hyperlink" Target="https://www.statista.com/statistics/271496/global-market-share-held-by-smartphone-vendors/" TargetMode="External"/><Relationship Id="rId28" Type="http://schemas.openxmlformats.org/officeDocument/2006/relationships/footer" Target="footer2.xml"/><Relationship Id="rId10" Type="http://schemas.openxmlformats.org/officeDocument/2006/relationships/hyperlink" Target="https://investor.apple.com/investor-relations/default.aspx" TargetMode="External"/><Relationship Id="rId19"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forbes.com/sites/forbesbusinesscouncil/2022/01/18/why-segway-failed-lessons-in-market-readiness-and-consumer-demand/" TargetMode="External"/><Relationship Id="rId22" Type="http://schemas.openxmlformats.org/officeDocument/2006/relationships/hyperlink" Target="https://www.statista.com/statistics/278414/number-of-worldwide-social-network-users/"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q3bamJpt/XXehPh/v7FGEWwq0g==">CgMxLjAyDmguMmt0MG1obG9lMzRzMg5oLjg3dWptaGgzaHFxYzIOaC5kNDdieXZ4OG5lZG4yDmguY3NuM29qOTNtdzdzOAByITFjTV9kUlQzTjdrNExoeUQyVUNGT004N1pIVnJCcVNsVQ==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14</Pages>
  <Words>3611</Words>
  <Characters>20583</Characters>
  <Application>Microsoft Office Word</Application>
  <DocSecurity>0</DocSecurity>
  <Lines>171</Lines>
  <Paragraphs>48</Paragraphs>
  <ScaleCrop>false</ScaleCrop>
  <Company/>
  <LinksUpToDate>false</LinksUpToDate>
  <CharactersWithSpaces>24146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SARK</cp:lastModifiedBy>
  <cp:revision>26</cp:revision>
  <dcterms:created xsi:type="dcterms:W3CDTF">2025-03-05T04:35:00Z</dcterms:created>
  <dcterms:modified xsi:type="dcterms:W3CDTF">2025-03-22T11:31:00Z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a31084d511b2c3adfb611b5829887b3d265f3eeddd25c1553c12a841730e6854</vt:lpwstr>
  </property>
</Properties>
</file>