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1929E5" w14:paraId="7E80F30A" w14:textId="77777777" w:rsidTr="001929E5">
        <w:tc>
          <w:tcPr>
            <w:tcW w:w="4508" w:type="dxa"/>
          </w:tcPr>
          <w:p w14:paraId="464213CA" w14:textId="638BCE22" w:rsidR="001929E5" w:rsidRDefault="001929E5">
            <w:r>
              <w:t>Name:</w:t>
            </w:r>
          </w:p>
        </w:tc>
        <w:tc>
          <w:tcPr>
            <w:tcW w:w="4508" w:type="dxa"/>
          </w:tcPr>
          <w:p w14:paraId="6FFE0133" w14:textId="34BEFC55" w:rsidR="001929E5" w:rsidRDefault="001929E5">
            <w:r>
              <w:t>Saleem Hussain</w:t>
            </w:r>
          </w:p>
        </w:tc>
      </w:tr>
      <w:tr w:rsidR="001929E5" w14:paraId="31093E46" w14:textId="77777777" w:rsidTr="001929E5">
        <w:tc>
          <w:tcPr>
            <w:tcW w:w="4508" w:type="dxa"/>
          </w:tcPr>
          <w:p w14:paraId="33F8CE08" w14:textId="1C58AD18" w:rsidR="001929E5" w:rsidRDefault="001929E5">
            <w:r>
              <w:t>Student ID:</w:t>
            </w:r>
          </w:p>
        </w:tc>
        <w:tc>
          <w:tcPr>
            <w:tcW w:w="4508" w:type="dxa"/>
          </w:tcPr>
          <w:p w14:paraId="6B04C512" w14:textId="66EFA946" w:rsidR="001929E5" w:rsidRDefault="002C2F13">
            <w:r>
              <w:t>2506895</w:t>
            </w:r>
          </w:p>
        </w:tc>
      </w:tr>
      <w:tr w:rsidR="001929E5" w14:paraId="31ABF34B" w14:textId="77777777" w:rsidTr="001929E5">
        <w:tc>
          <w:tcPr>
            <w:tcW w:w="4508" w:type="dxa"/>
          </w:tcPr>
          <w:p w14:paraId="4AA6CB49" w14:textId="1F10CE35" w:rsidR="001929E5" w:rsidRDefault="001929E5">
            <w:r>
              <w:t>Module Code:</w:t>
            </w:r>
          </w:p>
        </w:tc>
        <w:tc>
          <w:tcPr>
            <w:tcW w:w="4508" w:type="dxa"/>
          </w:tcPr>
          <w:p w14:paraId="7BD190C6" w14:textId="6DD7A0BF" w:rsidR="001929E5" w:rsidRDefault="002C2F13">
            <w:r w:rsidRPr="002C2F13">
              <w:t>LCHS4008</w:t>
            </w:r>
          </w:p>
        </w:tc>
      </w:tr>
      <w:tr w:rsidR="001929E5" w14:paraId="7CA32A3A" w14:textId="77777777" w:rsidTr="001929E5">
        <w:tc>
          <w:tcPr>
            <w:tcW w:w="4508" w:type="dxa"/>
          </w:tcPr>
          <w:p w14:paraId="2CA1455C" w14:textId="1F14EFD9" w:rsidR="001929E5" w:rsidRDefault="001929E5">
            <w:r>
              <w:t>Module Title:</w:t>
            </w:r>
          </w:p>
        </w:tc>
        <w:tc>
          <w:tcPr>
            <w:tcW w:w="4508" w:type="dxa"/>
          </w:tcPr>
          <w:p w14:paraId="41EEAE57" w14:textId="5E67F866" w:rsidR="001929E5" w:rsidRDefault="002C2F13">
            <w:r w:rsidRPr="002C2F13">
              <w:t>Introduction to Public Health</w:t>
            </w:r>
          </w:p>
        </w:tc>
      </w:tr>
      <w:tr w:rsidR="001929E5" w14:paraId="64FFB7FC" w14:textId="77777777" w:rsidTr="001929E5">
        <w:tc>
          <w:tcPr>
            <w:tcW w:w="4508" w:type="dxa"/>
          </w:tcPr>
          <w:p w14:paraId="1A97DF1F" w14:textId="3C051638" w:rsidR="001929E5" w:rsidRDefault="001929E5">
            <w:r>
              <w:t>Lecturers Name:</w:t>
            </w:r>
          </w:p>
        </w:tc>
        <w:tc>
          <w:tcPr>
            <w:tcW w:w="4508" w:type="dxa"/>
          </w:tcPr>
          <w:p w14:paraId="4F57590A" w14:textId="7F053900" w:rsidR="001929E5" w:rsidRDefault="00D61798">
            <w:r>
              <w:t>Mumtaz Goolam</w:t>
            </w:r>
          </w:p>
        </w:tc>
      </w:tr>
    </w:tbl>
    <w:p w14:paraId="7584DFE5" w14:textId="3CC2FC7D" w:rsidR="001929E5" w:rsidRDefault="001929E5"/>
    <w:p w14:paraId="1F5D1543" w14:textId="77777777" w:rsidR="001929E5" w:rsidRDefault="001929E5">
      <w:r>
        <w:br w:type="page"/>
      </w:r>
    </w:p>
    <w:p w14:paraId="05FA5313" w14:textId="77777777" w:rsidR="000A50DA" w:rsidRDefault="000A50DA" w:rsidP="000A50DA">
      <w:pPr>
        <w:rPr>
          <w:rFonts w:ascii="Arial" w:hAnsi="Arial" w:cs="Arial"/>
        </w:rPr>
      </w:pPr>
    </w:p>
    <w:p w14:paraId="4E79D864" w14:textId="77777777" w:rsidR="000A50DA" w:rsidRDefault="000A50DA" w:rsidP="000A50DA">
      <w:pPr>
        <w:rPr>
          <w:rFonts w:ascii="Arial" w:hAnsi="Arial" w:cs="Arial"/>
        </w:rPr>
      </w:pPr>
    </w:p>
    <w:p w14:paraId="4F83FFE3" w14:textId="74FA65E3" w:rsidR="000A50DA" w:rsidRDefault="000A50DA" w:rsidP="00FE0729">
      <w:pPr>
        <w:spacing w:line="360" w:lineRule="auto"/>
        <w:rPr>
          <w:rFonts w:ascii="Arial" w:hAnsi="Arial" w:cs="Arial"/>
          <w:b/>
          <w:bCs/>
          <w:u w:val="single"/>
        </w:rPr>
      </w:pPr>
      <w:r w:rsidRPr="000A50DA">
        <w:rPr>
          <w:rFonts w:ascii="Arial" w:hAnsi="Arial" w:cs="Arial"/>
          <w:b/>
          <w:bCs/>
          <w:u w:val="single"/>
        </w:rPr>
        <w:t>Introduction</w:t>
      </w:r>
    </w:p>
    <w:p w14:paraId="2EFEE385" w14:textId="77777777" w:rsidR="000A50DA" w:rsidRDefault="000A50DA" w:rsidP="00FE0729">
      <w:pPr>
        <w:spacing w:line="360" w:lineRule="auto"/>
        <w:rPr>
          <w:rFonts w:ascii="Arial" w:hAnsi="Arial" w:cs="Arial"/>
          <w:b/>
          <w:bCs/>
          <w:u w:val="single"/>
        </w:rPr>
      </w:pPr>
    </w:p>
    <w:p w14:paraId="21D68875" w14:textId="27CC0575" w:rsidR="00145802" w:rsidRPr="00145802" w:rsidRDefault="00145802" w:rsidP="00FE0729">
      <w:pPr>
        <w:spacing w:line="360" w:lineRule="auto"/>
        <w:rPr>
          <w:rFonts w:ascii="Arial" w:hAnsi="Arial" w:cs="Arial"/>
        </w:rPr>
      </w:pPr>
      <w:r w:rsidRPr="00145802">
        <w:rPr>
          <w:rFonts w:ascii="Arial" w:hAnsi="Arial" w:cs="Arial"/>
        </w:rPr>
        <w:t xml:space="preserve">Effective health and social care practice is underpinned by robust communication, accurate administrative processes, and strong collaborative </w:t>
      </w:r>
      <w:r w:rsidR="006E302F" w:rsidRPr="00145802">
        <w:rPr>
          <w:rFonts w:ascii="Arial" w:hAnsi="Arial" w:cs="Arial"/>
        </w:rPr>
        <w:t>working.</w:t>
      </w:r>
      <w:r w:rsidRPr="00145802">
        <w:rPr>
          <w:rFonts w:ascii="Arial" w:hAnsi="Arial" w:cs="Arial"/>
        </w:rPr>
        <w:t xml:space="preserve"> These components are essential for ensuring safe, person</w:t>
      </w:r>
      <w:r w:rsidRPr="00145802">
        <w:rPr>
          <w:rFonts w:ascii="Cambria Math" w:hAnsi="Cambria Math" w:cs="Cambria Math"/>
        </w:rPr>
        <w:t>‑</w:t>
      </w:r>
      <w:r w:rsidRPr="00145802">
        <w:rPr>
          <w:rFonts w:ascii="Arial" w:hAnsi="Arial" w:cs="Arial"/>
        </w:rPr>
        <w:t xml:space="preserve">centred care, particularly for individuals with complex and evolving </w:t>
      </w:r>
      <w:r w:rsidR="006E302F" w:rsidRPr="00145802">
        <w:rPr>
          <w:rFonts w:ascii="Arial" w:hAnsi="Arial" w:cs="Arial"/>
        </w:rPr>
        <w:t>needs.</w:t>
      </w:r>
      <w:r w:rsidRPr="00145802">
        <w:rPr>
          <w:rFonts w:ascii="Arial" w:hAnsi="Arial" w:cs="Arial"/>
        </w:rPr>
        <w:t xml:space="preserve"> This report examines the case of Mr Ahmed, a 68</w:t>
      </w:r>
      <w:r w:rsidRPr="00145802">
        <w:rPr>
          <w:rFonts w:ascii="Cambria Math" w:hAnsi="Cambria Math" w:cs="Cambria Math"/>
        </w:rPr>
        <w:t>‑</w:t>
      </w:r>
      <w:r w:rsidRPr="00145802">
        <w:rPr>
          <w:rFonts w:ascii="Arial" w:hAnsi="Arial" w:cs="Arial"/>
        </w:rPr>
        <w:t>year</w:t>
      </w:r>
      <w:r w:rsidRPr="00145802">
        <w:rPr>
          <w:rFonts w:ascii="Cambria Math" w:hAnsi="Cambria Math" w:cs="Cambria Math"/>
        </w:rPr>
        <w:t>‑</w:t>
      </w:r>
      <w:r w:rsidRPr="00145802">
        <w:rPr>
          <w:rFonts w:ascii="Arial" w:hAnsi="Arial" w:cs="Arial"/>
        </w:rPr>
        <w:t>old man recovering from a stroke and receiving domiciliary care following hospital discharge. His care involves a range of professionals, including a GP, district nurse, speech and language therapist, and home</w:t>
      </w:r>
      <w:r w:rsidRPr="00145802">
        <w:rPr>
          <w:rFonts w:ascii="Cambria Math" w:hAnsi="Cambria Math" w:cs="Cambria Math"/>
        </w:rPr>
        <w:t>‑</w:t>
      </w:r>
      <w:r w:rsidRPr="00145802">
        <w:rPr>
          <w:rFonts w:ascii="Arial" w:hAnsi="Arial" w:cs="Arial"/>
        </w:rPr>
        <w:t>care staff. Recent concerns, particularly a missed care visit that resulted in delayed medication, highlight potential weaknesses in communication, record keeping, and inter</w:t>
      </w:r>
      <w:r w:rsidRPr="00145802">
        <w:rPr>
          <w:rFonts w:ascii="Cambria Math" w:hAnsi="Cambria Math" w:cs="Cambria Math"/>
        </w:rPr>
        <w:t>‑</w:t>
      </w:r>
      <w:r w:rsidRPr="00145802">
        <w:rPr>
          <w:rFonts w:ascii="Arial" w:hAnsi="Arial" w:cs="Arial"/>
        </w:rPr>
        <w:t>agency coordination.</w:t>
      </w:r>
    </w:p>
    <w:p w14:paraId="3E3DBD4E" w14:textId="77777777" w:rsidR="00145802" w:rsidRPr="00145802" w:rsidRDefault="00145802" w:rsidP="00FE0729">
      <w:pPr>
        <w:spacing w:line="360" w:lineRule="auto"/>
        <w:rPr>
          <w:rFonts w:ascii="Arial" w:hAnsi="Arial" w:cs="Arial"/>
        </w:rPr>
      </w:pPr>
    </w:p>
    <w:p w14:paraId="61943A24" w14:textId="77777777" w:rsidR="00145802" w:rsidRDefault="00145802" w:rsidP="00FE0729">
      <w:pPr>
        <w:spacing w:line="360" w:lineRule="auto"/>
        <w:rPr>
          <w:rFonts w:ascii="Arial" w:hAnsi="Arial" w:cs="Arial"/>
        </w:rPr>
      </w:pPr>
      <w:r w:rsidRPr="00145802">
        <w:rPr>
          <w:rFonts w:ascii="Arial" w:hAnsi="Arial" w:cs="Arial"/>
        </w:rPr>
        <w:t>This report will analyse three key areas relevant to Mr Ahmed’s care. First, it will explore the importance of effective communication, including how practitioners can engage appropriately with Mr Ahmed and his family while complying with the Equality Act 2010 and applying a recognised communication model. Second, it will examine the role of administrative skills, with a focus on accurate record keeping and adherence to the Data Protection Act 2018. Finally, it will evaluate the significance of collaborative working and consider strategies to address challenges in multi</w:t>
      </w:r>
      <w:r w:rsidRPr="00145802">
        <w:rPr>
          <w:rFonts w:ascii="Cambria Math" w:hAnsi="Cambria Math" w:cs="Cambria Math"/>
        </w:rPr>
        <w:t>‑</w:t>
      </w:r>
      <w:r w:rsidRPr="00145802">
        <w:rPr>
          <w:rFonts w:ascii="Arial" w:hAnsi="Arial" w:cs="Arial"/>
        </w:rPr>
        <w:t>agency care.</w:t>
      </w:r>
    </w:p>
    <w:p w14:paraId="0FF3199F" w14:textId="77777777" w:rsidR="00145802" w:rsidRDefault="00145802" w:rsidP="00FE0729">
      <w:pPr>
        <w:spacing w:line="360" w:lineRule="auto"/>
        <w:rPr>
          <w:rFonts w:ascii="Arial" w:hAnsi="Arial" w:cs="Arial"/>
        </w:rPr>
      </w:pPr>
    </w:p>
    <w:p w14:paraId="07F55624" w14:textId="77777777" w:rsidR="00145802" w:rsidRPr="00145802" w:rsidRDefault="00145802" w:rsidP="00FE0729">
      <w:pPr>
        <w:spacing w:line="360" w:lineRule="auto"/>
        <w:rPr>
          <w:rFonts w:ascii="Arial" w:hAnsi="Arial" w:cs="Arial"/>
        </w:rPr>
      </w:pPr>
    </w:p>
    <w:p w14:paraId="7C206C09" w14:textId="27502623" w:rsidR="00145802" w:rsidRPr="00145802" w:rsidRDefault="00145802" w:rsidP="00FE0729">
      <w:pPr>
        <w:spacing w:line="360" w:lineRule="auto"/>
        <w:rPr>
          <w:rFonts w:ascii="Arial" w:hAnsi="Arial" w:cs="Arial"/>
        </w:rPr>
      </w:pPr>
      <w:r w:rsidRPr="00145802">
        <w:rPr>
          <w:rFonts w:ascii="Arial" w:hAnsi="Arial" w:cs="Arial"/>
        </w:rPr>
        <w:t xml:space="preserve"> </w:t>
      </w:r>
      <w:r w:rsidRPr="00145802">
        <w:rPr>
          <w:rFonts w:ascii="Arial" w:hAnsi="Arial" w:cs="Arial"/>
          <w:b/>
          <w:bCs/>
          <w:u w:val="single"/>
        </w:rPr>
        <w:t>Importance of Effective Communication</w:t>
      </w:r>
    </w:p>
    <w:p w14:paraId="02DD8657" w14:textId="58EFB21B" w:rsidR="00145802" w:rsidRPr="00145802" w:rsidRDefault="00145802" w:rsidP="00FE0729">
      <w:pPr>
        <w:spacing w:line="360" w:lineRule="auto"/>
        <w:rPr>
          <w:rFonts w:ascii="Arial" w:hAnsi="Arial" w:cs="Arial"/>
        </w:rPr>
      </w:pPr>
      <w:r w:rsidRPr="00145802">
        <w:rPr>
          <w:rFonts w:ascii="Arial" w:hAnsi="Arial" w:cs="Arial"/>
        </w:rPr>
        <w:t>Effective communication is a fundamental component of safe, person</w:t>
      </w:r>
      <w:r w:rsidRPr="00145802">
        <w:rPr>
          <w:rFonts w:ascii="Cambria Math" w:hAnsi="Cambria Math" w:cs="Cambria Math"/>
        </w:rPr>
        <w:t>‑</w:t>
      </w:r>
      <w:r w:rsidRPr="00145802">
        <w:rPr>
          <w:rFonts w:ascii="Arial" w:hAnsi="Arial" w:cs="Arial"/>
        </w:rPr>
        <w:t xml:space="preserve">centred care, particularly for individuals who have experienced a stroke and face communication or language </w:t>
      </w:r>
      <w:r w:rsidR="006E302F" w:rsidRPr="00145802">
        <w:rPr>
          <w:rFonts w:ascii="Arial" w:hAnsi="Arial" w:cs="Arial"/>
        </w:rPr>
        <w:t>barriers.</w:t>
      </w:r>
      <w:r w:rsidRPr="00145802">
        <w:rPr>
          <w:rFonts w:ascii="Arial" w:hAnsi="Arial" w:cs="Arial"/>
        </w:rPr>
        <w:t xml:space="preserve"> Clear communication enables practitioners to understand care needs, minimise risks, and ensure that service users remain actively involved in decisions about their care</w:t>
      </w:r>
      <w:r w:rsidR="00B76825" w:rsidRPr="00B76825">
        <w:t xml:space="preserve"> </w:t>
      </w:r>
      <w:r w:rsidR="00B76825" w:rsidRPr="00B76825">
        <w:rPr>
          <w:rFonts w:ascii="Arial" w:hAnsi="Arial" w:cs="Arial"/>
        </w:rPr>
        <w:t>(Kwame and Petrucka, 2021)</w:t>
      </w:r>
      <w:r w:rsidR="00820FEA">
        <w:rPr>
          <w:rFonts w:ascii="Arial" w:hAnsi="Arial" w:cs="Arial"/>
        </w:rPr>
        <w:t>.</w:t>
      </w:r>
    </w:p>
    <w:p w14:paraId="07776ED5" w14:textId="77777777" w:rsidR="00145802" w:rsidRPr="00145802" w:rsidRDefault="00145802" w:rsidP="00FE0729">
      <w:pPr>
        <w:spacing w:line="360" w:lineRule="auto"/>
        <w:rPr>
          <w:rFonts w:ascii="Arial" w:hAnsi="Arial" w:cs="Arial"/>
        </w:rPr>
      </w:pPr>
    </w:p>
    <w:p w14:paraId="0BE38FD7" w14:textId="14BCFEEA" w:rsidR="00145802" w:rsidRPr="00145802" w:rsidRDefault="00145802" w:rsidP="00FE0729">
      <w:pPr>
        <w:spacing w:line="360" w:lineRule="auto"/>
        <w:rPr>
          <w:rFonts w:ascii="Arial" w:hAnsi="Arial" w:cs="Arial"/>
        </w:rPr>
      </w:pPr>
      <w:r w:rsidRPr="00145802">
        <w:rPr>
          <w:rFonts w:ascii="Arial" w:hAnsi="Arial" w:cs="Arial"/>
        </w:rPr>
        <w:t xml:space="preserve">Mr Ahmed’s limited English proficiency requires care providers to adapt their communication methods to meet his needs. This may include using simplified language, visual aids, </w:t>
      </w:r>
      <w:r w:rsidRPr="00145802">
        <w:rPr>
          <w:rFonts w:ascii="Arial" w:hAnsi="Arial" w:cs="Arial"/>
        </w:rPr>
        <w:lastRenderedPageBreak/>
        <w:t>gestures, or professional translation services (NHS England, 20</w:t>
      </w:r>
      <w:r w:rsidR="00E03170">
        <w:rPr>
          <w:rFonts w:ascii="Arial" w:hAnsi="Arial" w:cs="Arial"/>
        </w:rPr>
        <w:t>25</w:t>
      </w:r>
      <w:r w:rsidRPr="00145802">
        <w:rPr>
          <w:rFonts w:ascii="Arial" w:hAnsi="Arial" w:cs="Arial"/>
        </w:rPr>
        <w:t xml:space="preserve">). Although his wife frequently communicates on his behalf, it remains essential that professionals engage directly with Mr Ahmed to uphold his autonomy and </w:t>
      </w:r>
      <w:r w:rsidR="006E302F" w:rsidRPr="00145802">
        <w:rPr>
          <w:rFonts w:ascii="Arial" w:hAnsi="Arial" w:cs="Arial"/>
        </w:rPr>
        <w:t>dignity.</w:t>
      </w:r>
      <w:r w:rsidRPr="00145802">
        <w:rPr>
          <w:rFonts w:ascii="Arial" w:hAnsi="Arial" w:cs="Arial"/>
        </w:rPr>
        <w:t xml:space="preserve"> Over</w:t>
      </w:r>
      <w:r w:rsidRPr="00145802">
        <w:rPr>
          <w:rFonts w:ascii="Cambria Math" w:hAnsi="Cambria Math" w:cs="Cambria Math"/>
        </w:rPr>
        <w:t>‑</w:t>
      </w:r>
      <w:r w:rsidRPr="00145802">
        <w:rPr>
          <w:rFonts w:ascii="Arial" w:hAnsi="Arial" w:cs="Arial"/>
        </w:rPr>
        <w:t xml:space="preserve">reliance on family members can lead to misinterpretation and may inadvertently undermine the service user’s independence </w:t>
      </w:r>
      <w:r w:rsidR="00E03170" w:rsidRPr="00E03170">
        <w:rPr>
          <w:rFonts w:ascii="Arial" w:hAnsi="Arial" w:cs="Arial"/>
        </w:rPr>
        <w:t>(Entwistle et al., 2020)</w:t>
      </w:r>
      <w:r w:rsidRPr="00145802">
        <w:rPr>
          <w:rFonts w:ascii="Arial" w:hAnsi="Arial" w:cs="Arial"/>
        </w:rPr>
        <w:t>.</w:t>
      </w:r>
    </w:p>
    <w:p w14:paraId="261A6D80" w14:textId="674108C6" w:rsidR="00145802" w:rsidRPr="00145802" w:rsidRDefault="00195A0E" w:rsidP="00FE0729">
      <w:pPr>
        <w:spacing w:line="360" w:lineRule="auto"/>
        <w:rPr>
          <w:rFonts w:ascii="Arial" w:hAnsi="Arial" w:cs="Arial"/>
        </w:rPr>
      </w:pPr>
      <w:r w:rsidRPr="00195A0E">
        <w:rPr>
          <w:rFonts w:ascii="Arial" w:hAnsi="Arial" w:cs="Arial"/>
        </w:rPr>
        <w:t>The Equality Act 2010 plays a central role in guiding equitable care provision, as it requires health and social care services to implement reasonable adjustments to prevent discrimination</w:t>
      </w:r>
      <w:r w:rsidR="0065221E" w:rsidRPr="0065221E">
        <w:t xml:space="preserve"> </w:t>
      </w:r>
      <w:r w:rsidR="0065221E" w:rsidRPr="0065221E">
        <w:rPr>
          <w:rFonts w:ascii="Arial" w:hAnsi="Arial" w:cs="Arial"/>
        </w:rPr>
        <w:t>(GOV.UK, 2013</w:t>
      </w:r>
      <w:proofErr w:type="gramStart"/>
      <w:r w:rsidR="0065221E" w:rsidRPr="0065221E">
        <w:rPr>
          <w:rFonts w:ascii="Arial" w:hAnsi="Arial" w:cs="Arial"/>
        </w:rPr>
        <w:t>)</w:t>
      </w:r>
      <w:r w:rsidRPr="00195A0E">
        <w:rPr>
          <w:rFonts w:ascii="Arial" w:hAnsi="Arial" w:cs="Arial"/>
        </w:rPr>
        <w:t xml:space="preserve"> .</w:t>
      </w:r>
      <w:proofErr w:type="gramEnd"/>
      <w:r w:rsidRPr="00195A0E">
        <w:rPr>
          <w:rFonts w:ascii="Arial" w:hAnsi="Arial" w:cs="Arial"/>
        </w:rPr>
        <w:t xml:space="preserve"> Language barriers may constitute a form of indirect discrimination, thereby obligating services to take proactive measures to ensure that Mr Ahmed can access care on an equal basis with </w:t>
      </w:r>
      <w:r w:rsidR="006E302F" w:rsidRPr="00195A0E">
        <w:rPr>
          <w:rFonts w:ascii="Arial" w:hAnsi="Arial" w:cs="Arial"/>
        </w:rPr>
        <w:t>others.</w:t>
      </w:r>
      <w:r w:rsidRPr="00195A0E">
        <w:rPr>
          <w:rFonts w:ascii="Arial" w:hAnsi="Arial" w:cs="Arial"/>
        </w:rPr>
        <w:t xml:space="preserve"> The use of professional interpreters or culturally sensitive communication approaches reflects good practice, demonstrating inclusivity and acknowledging Mr Ahmed’s linguistic and cultural background</w:t>
      </w:r>
      <w:r w:rsidR="00EC409C" w:rsidRPr="00EC409C">
        <w:t xml:space="preserve"> </w:t>
      </w:r>
      <w:r w:rsidR="00EC409C" w:rsidRPr="00EC409C">
        <w:rPr>
          <w:rFonts w:ascii="Arial" w:hAnsi="Arial" w:cs="Arial"/>
        </w:rPr>
        <w:t>(Al Shamsi et al., 2020)</w:t>
      </w:r>
      <w:r w:rsidRPr="00195A0E">
        <w:rPr>
          <w:rFonts w:ascii="Arial" w:hAnsi="Arial" w:cs="Arial"/>
        </w:rPr>
        <w:t>.</w:t>
      </w:r>
    </w:p>
    <w:p w14:paraId="754B0D9D" w14:textId="653C55EB" w:rsidR="00145802" w:rsidRPr="00145802" w:rsidRDefault="00145802" w:rsidP="00FE0729">
      <w:pPr>
        <w:spacing w:line="360" w:lineRule="auto"/>
        <w:rPr>
          <w:rFonts w:ascii="Arial" w:hAnsi="Arial" w:cs="Arial"/>
        </w:rPr>
      </w:pPr>
      <w:r w:rsidRPr="00145802">
        <w:rPr>
          <w:rFonts w:ascii="Arial" w:hAnsi="Arial" w:cs="Arial"/>
        </w:rPr>
        <w:t>The Shannon–Weaver Model (Shannon and Weaver, 1949) offers a useful framework for understanding communication challenges in this context. The model highlights how messages travel from sender to receiver and identifies potential “noise” that may distort meaning</w:t>
      </w:r>
      <w:r w:rsidR="00CB5B5A">
        <w:rPr>
          <w:rFonts w:ascii="Arial" w:hAnsi="Arial" w:cs="Arial"/>
        </w:rPr>
        <w:t xml:space="preserve"> </w:t>
      </w:r>
      <w:r w:rsidR="00CB5B5A" w:rsidRPr="00CB5B5A">
        <w:rPr>
          <w:rFonts w:ascii="Arial" w:hAnsi="Arial" w:cs="Arial"/>
        </w:rPr>
        <w:t>(Al-</w:t>
      </w:r>
      <w:proofErr w:type="spellStart"/>
      <w:r w:rsidR="00CB5B5A" w:rsidRPr="00CB5B5A">
        <w:rPr>
          <w:rFonts w:ascii="Arial" w:hAnsi="Arial" w:cs="Arial"/>
        </w:rPr>
        <w:t>Fedaghi</w:t>
      </w:r>
      <w:proofErr w:type="spellEnd"/>
      <w:r w:rsidR="00CB5B5A" w:rsidRPr="00CB5B5A">
        <w:rPr>
          <w:rFonts w:ascii="Arial" w:hAnsi="Arial" w:cs="Arial"/>
        </w:rPr>
        <w:t>, 2012)</w:t>
      </w:r>
      <w:r w:rsidRPr="00145802">
        <w:rPr>
          <w:rFonts w:ascii="Arial" w:hAnsi="Arial" w:cs="Arial"/>
        </w:rPr>
        <w:t xml:space="preserve">. For Mr Ahmed, noise may arise from language differences, cognitive effects of stroke, or environmental distractions. Care workers can reduce this by ensuring clarity, checking understanding, and rephrasing information when </w:t>
      </w:r>
      <w:r w:rsidR="006E302F" w:rsidRPr="00145802">
        <w:rPr>
          <w:rFonts w:ascii="Arial" w:hAnsi="Arial" w:cs="Arial"/>
        </w:rPr>
        <w:t>necessary.</w:t>
      </w:r>
      <w:r w:rsidRPr="00145802">
        <w:rPr>
          <w:rFonts w:ascii="Arial" w:hAnsi="Arial" w:cs="Arial"/>
        </w:rPr>
        <w:t xml:space="preserve"> For example, asking Mr Ahmed to repeat or demonstrate medication instructions can help confirm comprehension</w:t>
      </w:r>
      <w:r w:rsidR="00CB5B5A" w:rsidRPr="00CB5B5A">
        <w:t xml:space="preserve"> </w:t>
      </w:r>
      <w:r w:rsidR="00CB5B5A" w:rsidRPr="00CB5B5A">
        <w:rPr>
          <w:rFonts w:ascii="Arial" w:hAnsi="Arial" w:cs="Arial"/>
        </w:rPr>
        <w:t>(Miles et al., 2025</w:t>
      </w:r>
      <w:proofErr w:type="gramStart"/>
      <w:r w:rsidR="00CB5B5A" w:rsidRPr="00CB5B5A">
        <w:rPr>
          <w:rFonts w:ascii="Arial" w:hAnsi="Arial" w:cs="Arial"/>
        </w:rPr>
        <w:t>)</w:t>
      </w:r>
      <w:r w:rsidR="00CB5B5A">
        <w:rPr>
          <w:rFonts w:ascii="Arial" w:hAnsi="Arial" w:cs="Arial"/>
        </w:rPr>
        <w:t xml:space="preserve"> </w:t>
      </w:r>
      <w:r w:rsidRPr="00145802">
        <w:rPr>
          <w:rFonts w:ascii="Arial" w:hAnsi="Arial" w:cs="Arial"/>
        </w:rPr>
        <w:t>.</w:t>
      </w:r>
      <w:proofErr w:type="gramEnd"/>
    </w:p>
    <w:p w14:paraId="06329D5F" w14:textId="47479CD7" w:rsidR="00820FEA" w:rsidRDefault="00145802" w:rsidP="00FE0729">
      <w:pPr>
        <w:spacing w:line="360" w:lineRule="auto"/>
        <w:rPr>
          <w:rFonts w:ascii="Arial" w:hAnsi="Arial" w:cs="Arial"/>
        </w:rPr>
      </w:pPr>
      <w:r w:rsidRPr="00145802">
        <w:rPr>
          <w:rFonts w:ascii="Arial" w:hAnsi="Arial" w:cs="Arial"/>
        </w:rPr>
        <w:t>Non</w:t>
      </w:r>
      <w:r w:rsidRPr="00145802">
        <w:rPr>
          <w:rFonts w:ascii="Cambria Math" w:hAnsi="Cambria Math" w:cs="Cambria Math"/>
        </w:rPr>
        <w:t>‑</w:t>
      </w:r>
      <w:r w:rsidRPr="00145802">
        <w:rPr>
          <w:rFonts w:ascii="Arial" w:hAnsi="Arial" w:cs="Arial"/>
        </w:rPr>
        <w:t xml:space="preserve">verbal communication also plays a significant role. Facial expressions, tone of voice, and body language can support understanding and build </w:t>
      </w:r>
      <w:r w:rsidR="006E302F" w:rsidRPr="00145802">
        <w:rPr>
          <w:rFonts w:ascii="Arial" w:hAnsi="Arial" w:cs="Arial"/>
        </w:rPr>
        <w:t>rapport.</w:t>
      </w:r>
      <w:r w:rsidRPr="00145802">
        <w:rPr>
          <w:rFonts w:ascii="Arial" w:hAnsi="Arial" w:cs="Arial"/>
        </w:rPr>
        <w:t xml:space="preserve"> Given Mr Ahmed’s involvement with a speech and language therapist, care staff should follow recommended strategies such as allowing additional time for responses and avoiding rushed interactions</w:t>
      </w:r>
      <w:r w:rsidR="003A662B" w:rsidRPr="003A662B">
        <w:t xml:space="preserve"> </w:t>
      </w:r>
      <w:r w:rsidR="003A662B" w:rsidRPr="003A662B">
        <w:rPr>
          <w:rFonts w:ascii="Arial" w:hAnsi="Arial" w:cs="Arial"/>
        </w:rPr>
        <w:t>(Akter and Sultana, 2024</w:t>
      </w:r>
      <w:proofErr w:type="gramStart"/>
      <w:r w:rsidR="003A662B" w:rsidRPr="003A662B">
        <w:rPr>
          <w:rFonts w:ascii="Arial" w:hAnsi="Arial" w:cs="Arial"/>
        </w:rPr>
        <w:t>)</w:t>
      </w:r>
      <w:r w:rsidRPr="00145802">
        <w:rPr>
          <w:rFonts w:ascii="Arial" w:hAnsi="Arial" w:cs="Arial"/>
        </w:rPr>
        <w:t xml:space="preserve"> .</w:t>
      </w:r>
      <w:proofErr w:type="gramEnd"/>
      <w:r w:rsidR="00820FEA">
        <w:rPr>
          <w:rFonts w:ascii="Arial" w:hAnsi="Arial" w:cs="Arial"/>
        </w:rPr>
        <w:t xml:space="preserve"> </w:t>
      </w:r>
    </w:p>
    <w:p w14:paraId="7A378792" w14:textId="7884EC46" w:rsidR="00145802" w:rsidRPr="00145802" w:rsidRDefault="00145802" w:rsidP="00FE0729">
      <w:pPr>
        <w:spacing w:line="360" w:lineRule="auto"/>
        <w:rPr>
          <w:rFonts w:ascii="Arial" w:hAnsi="Arial" w:cs="Arial"/>
        </w:rPr>
      </w:pPr>
      <w:r w:rsidRPr="00145802">
        <w:rPr>
          <w:rFonts w:ascii="Arial" w:hAnsi="Arial" w:cs="Arial"/>
        </w:rPr>
        <w:t>Communication with family members is equally important. Mr Ahmed’s wife is a key source of support, and professionals must ensure she is informed and involved in decision</w:t>
      </w:r>
      <w:r w:rsidRPr="00145802">
        <w:rPr>
          <w:rFonts w:ascii="Cambria Math" w:hAnsi="Cambria Math" w:cs="Cambria Math"/>
        </w:rPr>
        <w:t>‑</w:t>
      </w:r>
      <w:r w:rsidRPr="00145802">
        <w:rPr>
          <w:rFonts w:ascii="Arial" w:hAnsi="Arial" w:cs="Arial"/>
        </w:rPr>
        <w:t xml:space="preserve">making while maintaining confidentiality and respecting Mr Ahmed’s preferences </w:t>
      </w:r>
      <w:r w:rsidR="000B1417" w:rsidRPr="000B1417">
        <w:rPr>
          <w:rFonts w:ascii="Arial" w:hAnsi="Arial" w:cs="Arial"/>
        </w:rPr>
        <w:t>(</w:t>
      </w:r>
      <w:proofErr w:type="spellStart"/>
      <w:r w:rsidR="000B1417" w:rsidRPr="000B1417">
        <w:rPr>
          <w:rFonts w:ascii="Arial" w:hAnsi="Arial" w:cs="Arial"/>
        </w:rPr>
        <w:t>Hemle</w:t>
      </w:r>
      <w:proofErr w:type="spellEnd"/>
      <w:r w:rsidR="000B1417" w:rsidRPr="000B1417">
        <w:rPr>
          <w:rFonts w:ascii="Arial" w:hAnsi="Arial" w:cs="Arial"/>
        </w:rPr>
        <w:t xml:space="preserve"> </w:t>
      </w:r>
      <w:proofErr w:type="spellStart"/>
      <w:r w:rsidR="000B1417" w:rsidRPr="000B1417">
        <w:rPr>
          <w:rFonts w:ascii="Arial" w:hAnsi="Arial" w:cs="Arial"/>
        </w:rPr>
        <w:t>Jerntorp</w:t>
      </w:r>
      <w:proofErr w:type="spellEnd"/>
      <w:r w:rsidR="000B1417" w:rsidRPr="000B1417">
        <w:rPr>
          <w:rFonts w:ascii="Arial" w:hAnsi="Arial" w:cs="Arial"/>
        </w:rPr>
        <w:t xml:space="preserve"> et al., 2025</w:t>
      </w:r>
      <w:r w:rsidR="006E302F" w:rsidRPr="000B1417">
        <w:rPr>
          <w:rFonts w:ascii="Arial" w:hAnsi="Arial" w:cs="Arial"/>
        </w:rPr>
        <w:t>)</w:t>
      </w:r>
      <w:r w:rsidR="006E302F" w:rsidRPr="00145802">
        <w:rPr>
          <w:rFonts w:ascii="Arial" w:hAnsi="Arial" w:cs="Arial"/>
        </w:rPr>
        <w:t>. The</w:t>
      </w:r>
      <w:r w:rsidRPr="00145802">
        <w:rPr>
          <w:rFonts w:ascii="Arial" w:hAnsi="Arial" w:cs="Arial"/>
        </w:rPr>
        <w:t xml:space="preserve"> missed care visit illustrates how communication failures can lead to significant risks, such as delayed </w:t>
      </w:r>
      <w:r w:rsidR="006E302F" w:rsidRPr="00145802">
        <w:rPr>
          <w:rFonts w:ascii="Arial" w:hAnsi="Arial" w:cs="Arial"/>
        </w:rPr>
        <w:t>medication.</w:t>
      </w:r>
      <w:r w:rsidRPr="00145802">
        <w:rPr>
          <w:rFonts w:ascii="Arial" w:hAnsi="Arial" w:cs="Arial"/>
        </w:rPr>
        <w:t xml:space="preserve"> Effective handovers, timely updates, and clear communication between care teams are essential to prevent similar incidents</w:t>
      </w:r>
      <w:r w:rsidR="00D33F6E" w:rsidRPr="00D33F6E">
        <w:t xml:space="preserve"> </w:t>
      </w:r>
      <w:r w:rsidR="00D33F6E" w:rsidRPr="00D33F6E">
        <w:rPr>
          <w:rFonts w:ascii="Arial" w:hAnsi="Arial" w:cs="Arial"/>
        </w:rPr>
        <w:t>(Howick et al., 2024</w:t>
      </w:r>
      <w:r w:rsidR="006E302F" w:rsidRPr="00D33F6E">
        <w:rPr>
          <w:rFonts w:ascii="Arial" w:hAnsi="Arial" w:cs="Arial"/>
        </w:rPr>
        <w:t>)</w:t>
      </w:r>
      <w:r w:rsidR="006E302F" w:rsidRPr="00145802">
        <w:rPr>
          <w:rFonts w:ascii="Arial" w:hAnsi="Arial" w:cs="Arial"/>
        </w:rPr>
        <w:t>. Overall</w:t>
      </w:r>
      <w:r w:rsidRPr="00145802">
        <w:rPr>
          <w:rFonts w:ascii="Arial" w:hAnsi="Arial" w:cs="Arial"/>
        </w:rPr>
        <w:t>, effective communication promotes safety, equality, and person</w:t>
      </w:r>
      <w:r w:rsidRPr="00145802">
        <w:rPr>
          <w:rFonts w:ascii="Cambria Math" w:hAnsi="Cambria Math" w:cs="Cambria Math"/>
        </w:rPr>
        <w:t>‑</w:t>
      </w:r>
      <w:r w:rsidRPr="00145802">
        <w:rPr>
          <w:rFonts w:ascii="Arial" w:hAnsi="Arial" w:cs="Arial"/>
        </w:rPr>
        <w:t>centred care, ensuring that Mr Ahmed’s needs are met despite linguistic and health</w:t>
      </w:r>
      <w:r w:rsidRPr="00145802">
        <w:rPr>
          <w:rFonts w:ascii="Cambria Math" w:hAnsi="Cambria Math" w:cs="Cambria Math"/>
        </w:rPr>
        <w:t>‑</w:t>
      </w:r>
      <w:r w:rsidRPr="00145802">
        <w:rPr>
          <w:rFonts w:ascii="Arial" w:hAnsi="Arial" w:cs="Arial"/>
        </w:rPr>
        <w:t>related challenges.</w:t>
      </w:r>
    </w:p>
    <w:p w14:paraId="3F58D996" w14:textId="77777777" w:rsidR="00145802" w:rsidRPr="00145802" w:rsidRDefault="00145802" w:rsidP="00FE0729">
      <w:pPr>
        <w:spacing w:line="360" w:lineRule="auto"/>
        <w:rPr>
          <w:rFonts w:ascii="Arial" w:hAnsi="Arial" w:cs="Arial"/>
        </w:rPr>
      </w:pPr>
    </w:p>
    <w:p w14:paraId="4EA0188C" w14:textId="27937ABD" w:rsidR="00145802" w:rsidRPr="00145802" w:rsidRDefault="00145802" w:rsidP="00FE0729">
      <w:pPr>
        <w:spacing w:line="360" w:lineRule="auto"/>
        <w:rPr>
          <w:rFonts w:ascii="Arial" w:hAnsi="Arial" w:cs="Arial"/>
        </w:rPr>
      </w:pPr>
      <w:r w:rsidRPr="00145802">
        <w:rPr>
          <w:rFonts w:ascii="Arial" w:hAnsi="Arial" w:cs="Arial"/>
        </w:rPr>
        <w:t xml:space="preserve"> </w:t>
      </w:r>
      <w:r w:rsidRPr="00145802">
        <w:rPr>
          <w:rFonts w:ascii="Arial" w:hAnsi="Arial" w:cs="Arial"/>
          <w:b/>
          <w:bCs/>
          <w:u w:val="single"/>
        </w:rPr>
        <w:t>Importance of Administrative Skills and Record Keeping</w:t>
      </w:r>
    </w:p>
    <w:p w14:paraId="51E71A1A" w14:textId="4F7E4561" w:rsidR="00145802" w:rsidRPr="00145802" w:rsidRDefault="00145802" w:rsidP="00FE0729">
      <w:pPr>
        <w:spacing w:line="360" w:lineRule="auto"/>
        <w:rPr>
          <w:rFonts w:ascii="Arial" w:hAnsi="Arial" w:cs="Arial"/>
        </w:rPr>
      </w:pPr>
      <w:r w:rsidRPr="00145802">
        <w:rPr>
          <w:rFonts w:ascii="Arial" w:hAnsi="Arial" w:cs="Arial"/>
        </w:rPr>
        <w:t>Strong administrative skills are vital in health and social care, as they support safe, effective, and accountable practice (NMC, 2018). In Mr Ahmed’s case, the missed visit and delayed medication highlight the importance of accurate record keeping and reliable administrative systems (CQC, 2022).</w:t>
      </w:r>
    </w:p>
    <w:p w14:paraId="421DAD4F" w14:textId="5011A316" w:rsidR="00145802" w:rsidRPr="00145802" w:rsidRDefault="00145802" w:rsidP="00FE0729">
      <w:pPr>
        <w:spacing w:line="360" w:lineRule="auto"/>
        <w:rPr>
          <w:rFonts w:ascii="Arial" w:hAnsi="Arial" w:cs="Arial"/>
        </w:rPr>
      </w:pPr>
      <w:r w:rsidRPr="00145802">
        <w:rPr>
          <w:rFonts w:ascii="Arial" w:hAnsi="Arial" w:cs="Arial"/>
        </w:rPr>
        <w:t>Record keeping involves documenting all aspects of care, including medication administration, visit logs, assessments, and inter</w:t>
      </w:r>
      <w:r w:rsidRPr="00145802">
        <w:rPr>
          <w:rFonts w:ascii="Cambria Math" w:hAnsi="Cambria Math" w:cs="Cambria Math"/>
        </w:rPr>
        <w:t>‑</w:t>
      </w:r>
      <w:r w:rsidRPr="00145802">
        <w:rPr>
          <w:rFonts w:ascii="Arial" w:hAnsi="Arial" w:cs="Arial"/>
        </w:rPr>
        <w:t xml:space="preserve">professional </w:t>
      </w:r>
      <w:r w:rsidR="006E302F" w:rsidRPr="00145802">
        <w:rPr>
          <w:rFonts w:ascii="Arial" w:hAnsi="Arial" w:cs="Arial"/>
        </w:rPr>
        <w:t>communication.</w:t>
      </w:r>
      <w:r w:rsidRPr="00145802">
        <w:rPr>
          <w:rFonts w:ascii="Arial" w:hAnsi="Arial" w:cs="Arial"/>
        </w:rPr>
        <w:t xml:space="preserve"> Accurate and timely records ensure continuity of care by enabling professionals to access up</w:t>
      </w:r>
      <w:r w:rsidRPr="00145802">
        <w:rPr>
          <w:rFonts w:ascii="Cambria Math" w:hAnsi="Cambria Math" w:cs="Cambria Math"/>
        </w:rPr>
        <w:t>‑</w:t>
      </w:r>
      <w:r w:rsidRPr="00145802">
        <w:rPr>
          <w:rFonts w:ascii="Arial" w:hAnsi="Arial" w:cs="Arial"/>
        </w:rPr>
        <w:t>to</w:t>
      </w:r>
      <w:r w:rsidRPr="00145802">
        <w:rPr>
          <w:rFonts w:ascii="Cambria Math" w:hAnsi="Cambria Math" w:cs="Cambria Math"/>
        </w:rPr>
        <w:t>‑</w:t>
      </w:r>
      <w:r w:rsidRPr="00145802">
        <w:rPr>
          <w:rFonts w:ascii="Arial" w:hAnsi="Arial" w:cs="Arial"/>
        </w:rPr>
        <w:t xml:space="preserve">date information and make informed </w:t>
      </w:r>
      <w:r w:rsidR="006E302F" w:rsidRPr="00145802">
        <w:rPr>
          <w:rFonts w:ascii="Arial" w:hAnsi="Arial" w:cs="Arial"/>
        </w:rPr>
        <w:t>decisions.</w:t>
      </w:r>
      <w:r w:rsidRPr="00145802">
        <w:rPr>
          <w:rFonts w:ascii="Arial" w:hAnsi="Arial" w:cs="Arial"/>
        </w:rPr>
        <w:t xml:space="preserve"> For example, the domiciliary care agency must clearly document each visit, including any missed appointments and subsequent actions. Failure to do so can lead to gaps in care, as demonstrated in Mr Ahmed’s situation</w:t>
      </w:r>
      <w:r w:rsidR="00E72ECB" w:rsidRPr="00E72ECB">
        <w:t xml:space="preserve"> </w:t>
      </w:r>
      <w:r w:rsidR="00E72ECB" w:rsidRPr="00E72ECB">
        <w:rPr>
          <w:rFonts w:ascii="Arial" w:hAnsi="Arial" w:cs="Arial"/>
        </w:rPr>
        <w:t>(NHS England, 2023)</w:t>
      </w:r>
      <w:r w:rsidRPr="00145802">
        <w:rPr>
          <w:rFonts w:ascii="Arial" w:hAnsi="Arial" w:cs="Arial"/>
        </w:rPr>
        <w:t>.</w:t>
      </w:r>
    </w:p>
    <w:p w14:paraId="078E838C" w14:textId="72ADDA80" w:rsidR="00145802" w:rsidRPr="00145802" w:rsidRDefault="00145802" w:rsidP="00FE0729">
      <w:pPr>
        <w:spacing w:line="360" w:lineRule="auto"/>
        <w:rPr>
          <w:rFonts w:ascii="Arial" w:hAnsi="Arial" w:cs="Arial"/>
        </w:rPr>
      </w:pPr>
      <w:r w:rsidRPr="00145802">
        <w:rPr>
          <w:rFonts w:ascii="Arial" w:hAnsi="Arial" w:cs="Arial"/>
        </w:rPr>
        <w:t>The Data Protection Act 2018 governs how personal information is collected, stored, and shared (UK Government, 20</w:t>
      </w:r>
      <w:r w:rsidR="00307A4D">
        <w:rPr>
          <w:rFonts w:ascii="Arial" w:hAnsi="Arial" w:cs="Arial"/>
        </w:rPr>
        <w:t>25</w:t>
      </w:r>
      <w:r w:rsidRPr="00145802">
        <w:rPr>
          <w:rFonts w:ascii="Arial" w:hAnsi="Arial" w:cs="Arial"/>
        </w:rPr>
        <w:t>). Care providers must ensure that Mr Ahmed’s data is handled lawfully, fairly, and transparently. This includes maintaining confidentiality, storing records securely, and sharing information only with authorised professionals involved in his care. For instance, sharing updates with the GP or district nurse is appropriate, whereas unnecessary disclosure would breach data protection principles</w:t>
      </w:r>
      <w:r w:rsidR="00307A4D" w:rsidRPr="00307A4D">
        <w:t xml:space="preserve"> </w:t>
      </w:r>
      <w:r w:rsidR="00307A4D" w:rsidRPr="00307A4D">
        <w:rPr>
          <w:rFonts w:ascii="Arial" w:hAnsi="Arial" w:cs="Arial"/>
        </w:rPr>
        <w:t>(NHS, 2024)</w:t>
      </w:r>
      <w:r w:rsidRPr="00145802">
        <w:rPr>
          <w:rFonts w:ascii="Arial" w:hAnsi="Arial" w:cs="Arial"/>
        </w:rPr>
        <w:t>.</w:t>
      </w:r>
    </w:p>
    <w:p w14:paraId="01594F28" w14:textId="77777777" w:rsidR="00145802" w:rsidRPr="00145802" w:rsidRDefault="00145802" w:rsidP="00FE0729">
      <w:pPr>
        <w:spacing w:line="360" w:lineRule="auto"/>
        <w:rPr>
          <w:rFonts w:ascii="Arial" w:hAnsi="Arial" w:cs="Arial"/>
        </w:rPr>
      </w:pPr>
    </w:p>
    <w:p w14:paraId="5A3E54F9" w14:textId="0D596E8D" w:rsidR="00145802" w:rsidRPr="00145802" w:rsidRDefault="00145802" w:rsidP="00FE0729">
      <w:pPr>
        <w:spacing w:line="360" w:lineRule="auto"/>
        <w:rPr>
          <w:rFonts w:ascii="Arial" w:hAnsi="Arial" w:cs="Arial"/>
        </w:rPr>
      </w:pPr>
      <w:r w:rsidRPr="00145802">
        <w:rPr>
          <w:rFonts w:ascii="Arial" w:hAnsi="Arial" w:cs="Arial"/>
        </w:rPr>
        <w:t xml:space="preserve">Key principles of the Act include accuracy, data minimisation, and accountability (UK Government, 2018). Records must be accurate and regularly updated, as incorrect information can lead to unsafe </w:t>
      </w:r>
      <w:r w:rsidR="006E302F" w:rsidRPr="00145802">
        <w:rPr>
          <w:rFonts w:ascii="Arial" w:hAnsi="Arial" w:cs="Arial"/>
        </w:rPr>
        <w:t>decisions.</w:t>
      </w:r>
      <w:r w:rsidRPr="00145802">
        <w:rPr>
          <w:rFonts w:ascii="Arial" w:hAnsi="Arial" w:cs="Arial"/>
        </w:rPr>
        <w:t xml:space="preserve"> In Mr Ahmed’s case, medication records must clearly reflect what has been administered to avoid duplication or omission. Data minimisation ensures that only essential information is recorded, while accountability requires organisations to demonstrate compliance with data protection standards</w:t>
      </w:r>
      <w:r w:rsidR="00603443" w:rsidRPr="00603443">
        <w:t xml:space="preserve"> </w:t>
      </w:r>
      <w:r w:rsidR="00603443" w:rsidRPr="00603443">
        <w:rPr>
          <w:rFonts w:ascii="Arial" w:hAnsi="Arial" w:cs="Arial"/>
        </w:rPr>
        <w:t>(Nursing and Midwifery Council, 2024</w:t>
      </w:r>
      <w:r w:rsidR="006E302F" w:rsidRPr="00603443">
        <w:rPr>
          <w:rFonts w:ascii="Arial" w:hAnsi="Arial" w:cs="Arial"/>
        </w:rPr>
        <w:t>)</w:t>
      </w:r>
      <w:r w:rsidR="006E302F" w:rsidRPr="00145802">
        <w:rPr>
          <w:rFonts w:ascii="Arial" w:hAnsi="Arial" w:cs="Arial"/>
        </w:rPr>
        <w:t>.</w:t>
      </w:r>
    </w:p>
    <w:p w14:paraId="7905DC4E" w14:textId="3F49E8E5" w:rsidR="00145802" w:rsidRPr="00145802" w:rsidRDefault="00145802" w:rsidP="00FE0729">
      <w:pPr>
        <w:spacing w:line="360" w:lineRule="auto"/>
        <w:rPr>
          <w:rFonts w:ascii="Arial" w:hAnsi="Arial" w:cs="Arial"/>
        </w:rPr>
      </w:pPr>
      <w:r w:rsidRPr="00145802">
        <w:rPr>
          <w:rFonts w:ascii="Arial" w:hAnsi="Arial" w:cs="Arial"/>
        </w:rPr>
        <w:t xml:space="preserve">Professional standards emphasise that records should be clear, factual, and written in a professional </w:t>
      </w:r>
      <w:r w:rsidR="00820FEA" w:rsidRPr="00145802">
        <w:rPr>
          <w:rFonts w:ascii="Arial" w:hAnsi="Arial" w:cs="Arial"/>
        </w:rPr>
        <w:t>manner</w:t>
      </w:r>
      <w:r w:rsidR="00820FEA">
        <w:rPr>
          <w:rFonts w:ascii="Arial" w:hAnsi="Arial" w:cs="Arial"/>
        </w:rPr>
        <w:t>,</w:t>
      </w:r>
      <w:r w:rsidR="00820FEA" w:rsidRPr="00145802">
        <w:rPr>
          <w:rFonts w:ascii="Arial" w:hAnsi="Arial" w:cs="Arial"/>
        </w:rPr>
        <w:t xml:space="preserve"> </w:t>
      </w:r>
      <w:r w:rsidR="00820FEA">
        <w:rPr>
          <w:rFonts w:ascii="Arial" w:hAnsi="Arial" w:cs="Arial"/>
        </w:rPr>
        <w:t>s</w:t>
      </w:r>
      <w:r w:rsidR="00820FEA" w:rsidRPr="00145802">
        <w:rPr>
          <w:rFonts w:ascii="Arial" w:hAnsi="Arial" w:cs="Arial"/>
        </w:rPr>
        <w:t>ubjective</w:t>
      </w:r>
      <w:r w:rsidRPr="00145802">
        <w:rPr>
          <w:rFonts w:ascii="Arial" w:hAnsi="Arial" w:cs="Arial"/>
        </w:rPr>
        <w:t xml:space="preserve"> or ambiguous entries can compromise care quality</w:t>
      </w:r>
      <w:r w:rsidR="00603443" w:rsidRPr="00603443">
        <w:t xml:space="preserve"> </w:t>
      </w:r>
      <w:r w:rsidR="00603443" w:rsidRPr="00603443">
        <w:rPr>
          <w:rFonts w:ascii="Arial" w:hAnsi="Arial" w:cs="Arial"/>
        </w:rPr>
        <w:t>(NHS England, 2023b)</w:t>
      </w:r>
    </w:p>
    <w:p w14:paraId="4CD03DCE" w14:textId="5DCF5DDD" w:rsidR="00145802" w:rsidRPr="00145802" w:rsidRDefault="00145802" w:rsidP="00FE0729">
      <w:pPr>
        <w:spacing w:line="360" w:lineRule="auto"/>
        <w:rPr>
          <w:rFonts w:ascii="Arial" w:hAnsi="Arial" w:cs="Arial"/>
        </w:rPr>
      </w:pPr>
      <w:r w:rsidRPr="00145802">
        <w:rPr>
          <w:rFonts w:ascii="Arial" w:hAnsi="Arial" w:cs="Arial"/>
        </w:rPr>
        <w:t xml:space="preserve">Administrative systems also include scheduling and coordination of care visits. The missed visit suggests weaknesses in planning or communication within the care agency. Digital scheduling systems, checklists, and alerts can help prevent such </w:t>
      </w:r>
      <w:r w:rsidR="006E302F" w:rsidRPr="00145802">
        <w:rPr>
          <w:rFonts w:ascii="Arial" w:hAnsi="Arial" w:cs="Arial"/>
        </w:rPr>
        <w:t>oversights.</w:t>
      </w:r>
      <w:r w:rsidRPr="00145802">
        <w:rPr>
          <w:rFonts w:ascii="Arial" w:hAnsi="Arial" w:cs="Arial"/>
        </w:rPr>
        <w:t xml:space="preserve"> Incident </w:t>
      </w:r>
      <w:r w:rsidRPr="00145802">
        <w:rPr>
          <w:rFonts w:ascii="Arial" w:hAnsi="Arial" w:cs="Arial"/>
        </w:rPr>
        <w:lastRenderedPageBreak/>
        <w:t>reporting procedures are equally important, as they enable organisations to investigate errors, learn from them, and implement improvements</w:t>
      </w:r>
      <w:r w:rsidR="00603443" w:rsidRPr="00603443">
        <w:t xml:space="preserve"> </w:t>
      </w:r>
      <w:r w:rsidR="00603443" w:rsidRPr="00603443">
        <w:rPr>
          <w:rFonts w:ascii="Arial" w:hAnsi="Arial" w:cs="Arial"/>
        </w:rPr>
        <w:t>(Chance, Florence and Abdoul, 2024)</w:t>
      </w:r>
      <w:r w:rsidRPr="00145802">
        <w:rPr>
          <w:rFonts w:ascii="Arial" w:hAnsi="Arial" w:cs="Arial"/>
        </w:rPr>
        <w:t>.</w:t>
      </w:r>
      <w:r w:rsidR="00820FEA">
        <w:rPr>
          <w:rFonts w:ascii="Arial" w:hAnsi="Arial" w:cs="Arial"/>
        </w:rPr>
        <w:t xml:space="preserve"> </w:t>
      </w:r>
      <w:r w:rsidRPr="00145802">
        <w:rPr>
          <w:rFonts w:ascii="Arial" w:hAnsi="Arial" w:cs="Arial"/>
        </w:rPr>
        <w:t>Regular audits and supervision further support high</w:t>
      </w:r>
      <w:r w:rsidRPr="00145802">
        <w:rPr>
          <w:rFonts w:ascii="Cambria Math" w:hAnsi="Cambria Math" w:cs="Cambria Math"/>
        </w:rPr>
        <w:t>‑</w:t>
      </w:r>
      <w:r w:rsidRPr="00145802">
        <w:rPr>
          <w:rFonts w:ascii="Arial" w:hAnsi="Arial" w:cs="Arial"/>
        </w:rPr>
        <w:t>quality record keeping. These processes help identify inconsistencies and promote accountability.</w:t>
      </w:r>
    </w:p>
    <w:p w14:paraId="235AD584" w14:textId="1E06A116" w:rsidR="002B6C27" w:rsidRPr="00145802" w:rsidRDefault="00145802" w:rsidP="00FE0729">
      <w:pPr>
        <w:spacing w:line="360" w:lineRule="auto"/>
        <w:rPr>
          <w:rFonts w:ascii="Arial" w:hAnsi="Arial" w:cs="Arial"/>
        </w:rPr>
      </w:pPr>
      <w:r w:rsidRPr="00145802">
        <w:rPr>
          <w:rFonts w:ascii="Arial" w:hAnsi="Arial" w:cs="Arial"/>
        </w:rPr>
        <w:t>Overall, strong administrative skills and adherence to the Data Protection Act 2018 are essential for safeguarding service users, ensuring continuity of care, and maintaining professional standards</w:t>
      </w:r>
      <w:r w:rsidR="00547ACB" w:rsidRPr="00547ACB">
        <w:t xml:space="preserve"> </w:t>
      </w:r>
      <w:r w:rsidR="00547ACB" w:rsidRPr="00547ACB">
        <w:rPr>
          <w:rFonts w:ascii="Arial" w:hAnsi="Arial" w:cs="Arial"/>
        </w:rPr>
        <w:t>(NHS England, 2022)</w:t>
      </w:r>
      <w:r w:rsidRPr="00145802">
        <w:rPr>
          <w:rFonts w:ascii="Arial" w:hAnsi="Arial" w:cs="Arial"/>
        </w:rPr>
        <w:t>. Strengthening these practices in Mr Ahmed’s case is crucial to preventing further risks and ensuring reliable care delivery.</w:t>
      </w:r>
    </w:p>
    <w:p w14:paraId="06CD5C6E" w14:textId="77777777" w:rsidR="00145802" w:rsidRPr="00145802" w:rsidRDefault="00145802" w:rsidP="00FE0729">
      <w:pPr>
        <w:spacing w:line="360" w:lineRule="auto"/>
        <w:rPr>
          <w:rFonts w:ascii="Arial" w:hAnsi="Arial" w:cs="Arial"/>
        </w:rPr>
      </w:pPr>
    </w:p>
    <w:p w14:paraId="0F5F918D" w14:textId="4FA3462D" w:rsidR="00145802" w:rsidRPr="00145802" w:rsidRDefault="00145802" w:rsidP="00FE0729">
      <w:pPr>
        <w:spacing w:line="360" w:lineRule="auto"/>
        <w:rPr>
          <w:rFonts w:ascii="Arial" w:hAnsi="Arial" w:cs="Arial"/>
        </w:rPr>
      </w:pPr>
      <w:r w:rsidRPr="00145802">
        <w:rPr>
          <w:rFonts w:ascii="Arial" w:hAnsi="Arial" w:cs="Arial"/>
          <w:b/>
          <w:bCs/>
          <w:u w:val="single"/>
        </w:rPr>
        <w:t>Collaborative Working and Multi</w:t>
      </w:r>
      <w:r w:rsidRPr="00145802">
        <w:rPr>
          <w:rFonts w:ascii="Cambria Math" w:hAnsi="Cambria Math" w:cs="Cambria Math"/>
          <w:b/>
          <w:bCs/>
          <w:u w:val="single"/>
        </w:rPr>
        <w:t>‑</w:t>
      </w:r>
      <w:r w:rsidRPr="00145802">
        <w:rPr>
          <w:rFonts w:ascii="Arial" w:hAnsi="Arial" w:cs="Arial"/>
          <w:b/>
          <w:bCs/>
          <w:u w:val="single"/>
        </w:rPr>
        <w:t>Agency Care</w:t>
      </w:r>
    </w:p>
    <w:p w14:paraId="49E8AE3E" w14:textId="7F5E9929" w:rsidR="00145802" w:rsidRPr="00145802" w:rsidRDefault="00145802" w:rsidP="00FE0729">
      <w:pPr>
        <w:spacing w:line="360" w:lineRule="auto"/>
        <w:rPr>
          <w:rFonts w:ascii="Arial" w:hAnsi="Arial" w:cs="Arial"/>
        </w:rPr>
      </w:pPr>
      <w:r w:rsidRPr="00145802">
        <w:rPr>
          <w:rFonts w:ascii="Arial" w:hAnsi="Arial" w:cs="Arial"/>
        </w:rPr>
        <w:t xml:space="preserve">Collaborative working is essential for delivering holistic and coordinated care, particularly for individuals with complex needs such as Mr </w:t>
      </w:r>
      <w:proofErr w:type="gramStart"/>
      <w:r w:rsidRPr="00145802">
        <w:rPr>
          <w:rFonts w:ascii="Arial" w:hAnsi="Arial" w:cs="Arial"/>
        </w:rPr>
        <w:t>Ahmed .</w:t>
      </w:r>
      <w:proofErr w:type="gramEnd"/>
      <w:r w:rsidRPr="00145802">
        <w:rPr>
          <w:rFonts w:ascii="Arial" w:hAnsi="Arial" w:cs="Arial"/>
        </w:rPr>
        <w:t xml:space="preserve"> Effective teamwork ensures that all aspects of his health and wellbeing are addressed, including physical recovery, communication, and ongoing medical requirements</w:t>
      </w:r>
      <w:r w:rsidR="00932608" w:rsidRPr="00932608">
        <w:t xml:space="preserve"> </w:t>
      </w:r>
      <w:r w:rsidR="00932608" w:rsidRPr="00932608">
        <w:rPr>
          <w:rFonts w:ascii="Arial" w:hAnsi="Arial" w:cs="Arial"/>
        </w:rPr>
        <w:t>(NHS England, 2023c</w:t>
      </w:r>
      <w:proofErr w:type="gramStart"/>
      <w:r w:rsidR="00932608" w:rsidRPr="00932608">
        <w:rPr>
          <w:rFonts w:ascii="Arial" w:hAnsi="Arial" w:cs="Arial"/>
        </w:rPr>
        <w:t>)</w:t>
      </w:r>
      <w:r w:rsidRPr="00145802">
        <w:rPr>
          <w:rFonts w:ascii="Arial" w:hAnsi="Arial" w:cs="Arial"/>
        </w:rPr>
        <w:t xml:space="preserve"> .</w:t>
      </w:r>
      <w:proofErr w:type="gramEnd"/>
    </w:p>
    <w:p w14:paraId="5FFD386D" w14:textId="3785AD6B" w:rsidR="00145802" w:rsidRPr="00145802" w:rsidRDefault="00145802" w:rsidP="00FE0729">
      <w:pPr>
        <w:spacing w:line="360" w:lineRule="auto"/>
        <w:rPr>
          <w:rFonts w:ascii="Arial" w:hAnsi="Arial" w:cs="Arial"/>
        </w:rPr>
      </w:pPr>
      <w:r w:rsidRPr="00145802">
        <w:rPr>
          <w:rFonts w:ascii="Arial" w:hAnsi="Arial" w:cs="Arial"/>
        </w:rPr>
        <w:t xml:space="preserve">Mr Ahmed’s care involves multiple professionals, each contributing specialist expertise. Collaboration ensures that care is consistent, integrated, and aligned with shared </w:t>
      </w:r>
      <w:proofErr w:type="gramStart"/>
      <w:r w:rsidRPr="00145802">
        <w:rPr>
          <w:rFonts w:ascii="Arial" w:hAnsi="Arial" w:cs="Arial"/>
        </w:rPr>
        <w:t>goals .</w:t>
      </w:r>
      <w:proofErr w:type="gramEnd"/>
      <w:r w:rsidRPr="00145802">
        <w:rPr>
          <w:rFonts w:ascii="Arial" w:hAnsi="Arial" w:cs="Arial"/>
        </w:rPr>
        <w:t xml:space="preserve"> For example, strategies recommended by the speech and language therapist must be implemented by care workers during daily interactions and meal preparation</w:t>
      </w:r>
      <w:r w:rsidR="00932608" w:rsidRPr="00932608">
        <w:t xml:space="preserve"> </w:t>
      </w:r>
      <w:r w:rsidR="00932608" w:rsidRPr="00932608">
        <w:rPr>
          <w:rFonts w:ascii="Arial" w:hAnsi="Arial" w:cs="Arial"/>
        </w:rPr>
        <w:t>(Will, Johnson and Lamb, 2020</w:t>
      </w:r>
      <w:r w:rsidR="006E302F" w:rsidRPr="00932608">
        <w:rPr>
          <w:rFonts w:ascii="Arial" w:hAnsi="Arial" w:cs="Arial"/>
        </w:rPr>
        <w:t>)</w:t>
      </w:r>
      <w:r w:rsidR="006E302F">
        <w:rPr>
          <w:rFonts w:ascii="Arial" w:hAnsi="Arial" w:cs="Arial"/>
        </w:rPr>
        <w:t>.</w:t>
      </w:r>
    </w:p>
    <w:p w14:paraId="64F401AA" w14:textId="49C94B4B" w:rsidR="00145802" w:rsidRPr="00145802" w:rsidRDefault="00145802" w:rsidP="00FE0729">
      <w:pPr>
        <w:spacing w:line="360" w:lineRule="auto"/>
        <w:rPr>
          <w:rFonts w:ascii="Arial" w:hAnsi="Arial" w:cs="Arial"/>
        </w:rPr>
      </w:pPr>
      <w:r w:rsidRPr="00145802">
        <w:rPr>
          <w:rFonts w:ascii="Arial" w:hAnsi="Arial" w:cs="Arial"/>
        </w:rPr>
        <w:t xml:space="preserve">Effective collaboration can be supported through regular communication, shared care plans, and multidisciplinary team (MDT) meetings. These meetings allow professionals to discuss progress, identify emerging concerns, and adjust care plans. Clear roles and responsibilities are essential to avoid confusion and ensure </w:t>
      </w:r>
      <w:r w:rsidR="00A327A2" w:rsidRPr="00A327A2">
        <w:rPr>
          <w:rFonts w:ascii="Arial" w:hAnsi="Arial" w:cs="Arial"/>
        </w:rPr>
        <w:t>(NHS England, 2018)</w:t>
      </w:r>
      <w:r w:rsidRPr="00145802">
        <w:rPr>
          <w:rFonts w:ascii="Arial" w:hAnsi="Arial" w:cs="Arial"/>
        </w:rPr>
        <w:t>.</w:t>
      </w:r>
    </w:p>
    <w:p w14:paraId="51A7D8C0" w14:textId="4A5A478C" w:rsidR="00145802" w:rsidRPr="00145802" w:rsidRDefault="00145802" w:rsidP="00FE0729">
      <w:pPr>
        <w:spacing w:line="360" w:lineRule="auto"/>
        <w:rPr>
          <w:rFonts w:ascii="Arial" w:hAnsi="Arial" w:cs="Arial"/>
        </w:rPr>
      </w:pPr>
      <w:r w:rsidRPr="00145802">
        <w:rPr>
          <w:rFonts w:ascii="Arial" w:hAnsi="Arial" w:cs="Arial"/>
        </w:rPr>
        <w:t>However, multi</w:t>
      </w:r>
      <w:r w:rsidRPr="00145802">
        <w:rPr>
          <w:rFonts w:ascii="Cambria Math" w:hAnsi="Cambria Math" w:cs="Cambria Math"/>
        </w:rPr>
        <w:t>‑</w:t>
      </w:r>
      <w:r w:rsidRPr="00145802">
        <w:rPr>
          <w:rFonts w:ascii="Arial" w:hAnsi="Arial" w:cs="Arial"/>
        </w:rPr>
        <w:t>agency working can present challenges, including communication breakdowns, differing professional priorities, and organisational barriers . The missed care visit suggests a lack of coordination either within the care agency or between services</w:t>
      </w:r>
      <w:r w:rsidR="00A327A2" w:rsidRPr="00A327A2">
        <w:t xml:space="preserve"> </w:t>
      </w:r>
      <w:r w:rsidR="00A327A2" w:rsidRPr="00A327A2">
        <w:rPr>
          <w:rFonts w:ascii="Arial" w:hAnsi="Arial" w:cs="Arial"/>
        </w:rPr>
        <w:t>(</w:t>
      </w:r>
      <w:proofErr w:type="spellStart"/>
      <w:r w:rsidR="00A327A2" w:rsidRPr="00A327A2">
        <w:rPr>
          <w:rFonts w:ascii="Arial" w:hAnsi="Arial" w:cs="Arial"/>
        </w:rPr>
        <w:t>Pradelli</w:t>
      </w:r>
      <w:proofErr w:type="spellEnd"/>
      <w:r w:rsidR="00A327A2" w:rsidRPr="00A327A2">
        <w:rPr>
          <w:rFonts w:ascii="Arial" w:hAnsi="Arial" w:cs="Arial"/>
        </w:rPr>
        <w:t xml:space="preserve"> et al., 2025)</w:t>
      </w:r>
      <w:r w:rsidRPr="00145802">
        <w:rPr>
          <w:rFonts w:ascii="Arial" w:hAnsi="Arial" w:cs="Arial"/>
        </w:rPr>
        <w:t>.</w:t>
      </w:r>
    </w:p>
    <w:p w14:paraId="2F3322FB" w14:textId="19D4874F" w:rsidR="00145802" w:rsidRPr="00145802" w:rsidRDefault="00145802" w:rsidP="00FE0729">
      <w:pPr>
        <w:spacing w:line="360" w:lineRule="auto"/>
        <w:rPr>
          <w:rFonts w:ascii="Arial" w:hAnsi="Arial" w:cs="Arial"/>
        </w:rPr>
      </w:pPr>
      <w:r w:rsidRPr="00145802">
        <w:rPr>
          <w:rFonts w:ascii="Arial" w:hAnsi="Arial" w:cs="Arial"/>
        </w:rPr>
        <w:t xml:space="preserve">Strategies to address these challenges include improved information sharing, integrated digital systems, and clear protocols for </w:t>
      </w:r>
      <w:r w:rsidR="006E302F" w:rsidRPr="00145802">
        <w:rPr>
          <w:rFonts w:ascii="Arial" w:hAnsi="Arial" w:cs="Arial"/>
        </w:rPr>
        <w:t>communication.</w:t>
      </w:r>
      <w:r w:rsidRPr="00145802">
        <w:rPr>
          <w:rFonts w:ascii="Arial" w:hAnsi="Arial" w:cs="Arial"/>
        </w:rPr>
        <w:t xml:space="preserve"> Building mutual respect and understanding between professionals also enhances teamwork. Training in interprofessional collaboration can further strengthen communication and coordination</w:t>
      </w:r>
      <w:r w:rsidR="00B10871" w:rsidRPr="00B10871">
        <w:t xml:space="preserve"> </w:t>
      </w:r>
      <w:r w:rsidR="00B10871" w:rsidRPr="00B10871">
        <w:rPr>
          <w:rFonts w:ascii="Arial" w:hAnsi="Arial" w:cs="Arial"/>
        </w:rPr>
        <w:t xml:space="preserve">(Federica </w:t>
      </w:r>
      <w:proofErr w:type="spellStart"/>
      <w:r w:rsidR="00B10871" w:rsidRPr="00B10871">
        <w:rPr>
          <w:rFonts w:ascii="Arial" w:hAnsi="Arial" w:cs="Arial"/>
        </w:rPr>
        <w:t>Dellafiore</w:t>
      </w:r>
      <w:proofErr w:type="spellEnd"/>
      <w:r w:rsidR="00B10871" w:rsidRPr="00B10871">
        <w:rPr>
          <w:rFonts w:ascii="Arial" w:hAnsi="Arial" w:cs="Arial"/>
        </w:rPr>
        <w:t xml:space="preserve"> et al., 2025)</w:t>
      </w:r>
      <w:r w:rsidRPr="00145802">
        <w:rPr>
          <w:rFonts w:ascii="Arial" w:hAnsi="Arial" w:cs="Arial"/>
        </w:rPr>
        <w:t>.</w:t>
      </w:r>
    </w:p>
    <w:p w14:paraId="57D1B9DE" w14:textId="77777777" w:rsidR="00145802" w:rsidRPr="00145802" w:rsidRDefault="00145802" w:rsidP="00FE0729">
      <w:pPr>
        <w:spacing w:line="360" w:lineRule="auto"/>
        <w:rPr>
          <w:rFonts w:ascii="Arial" w:hAnsi="Arial" w:cs="Arial"/>
        </w:rPr>
      </w:pPr>
    </w:p>
    <w:p w14:paraId="23D46CD1" w14:textId="31E69616" w:rsidR="00145802" w:rsidRPr="00145802" w:rsidRDefault="00145802" w:rsidP="00FE0729">
      <w:pPr>
        <w:spacing w:line="360" w:lineRule="auto"/>
        <w:rPr>
          <w:rFonts w:ascii="Arial" w:hAnsi="Arial" w:cs="Arial"/>
        </w:rPr>
      </w:pPr>
      <w:r w:rsidRPr="00145802">
        <w:rPr>
          <w:rFonts w:ascii="Arial" w:hAnsi="Arial" w:cs="Arial"/>
        </w:rPr>
        <w:lastRenderedPageBreak/>
        <w:t>Person</w:t>
      </w:r>
      <w:r w:rsidRPr="00145802">
        <w:rPr>
          <w:rFonts w:ascii="Cambria Math" w:hAnsi="Cambria Math" w:cs="Cambria Math"/>
        </w:rPr>
        <w:t>‑</w:t>
      </w:r>
      <w:r w:rsidRPr="00145802">
        <w:rPr>
          <w:rFonts w:ascii="Arial" w:hAnsi="Arial" w:cs="Arial"/>
        </w:rPr>
        <w:t>centred care is another key strategy, ensuring that Mr Ahmed and his wife remain central to decision</w:t>
      </w:r>
      <w:r w:rsidRPr="00145802">
        <w:rPr>
          <w:rFonts w:ascii="Cambria Math" w:hAnsi="Cambria Math" w:cs="Cambria Math"/>
        </w:rPr>
        <w:t>‑</w:t>
      </w:r>
      <w:r w:rsidRPr="00145802">
        <w:rPr>
          <w:rFonts w:ascii="Arial" w:hAnsi="Arial" w:cs="Arial"/>
        </w:rPr>
        <w:t xml:space="preserve">making </w:t>
      </w:r>
      <w:r w:rsidR="00B10871" w:rsidRPr="00B10871">
        <w:rPr>
          <w:rFonts w:ascii="Arial" w:hAnsi="Arial" w:cs="Arial"/>
        </w:rPr>
        <w:t>(NHS England, 2024)</w:t>
      </w:r>
      <w:r w:rsidRPr="00145802">
        <w:rPr>
          <w:rFonts w:ascii="Arial" w:hAnsi="Arial" w:cs="Arial"/>
        </w:rPr>
        <w:t>. This helps align professional goals and ensures that care is tailored to his individual needs.</w:t>
      </w:r>
    </w:p>
    <w:p w14:paraId="7F57CC6F" w14:textId="0477B4C2" w:rsidR="002B6C27" w:rsidRPr="00145802" w:rsidRDefault="00145802" w:rsidP="00FE0729">
      <w:pPr>
        <w:spacing w:line="360" w:lineRule="auto"/>
        <w:rPr>
          <w:rFonts w:ascii="Arial" w:hAnsi="Arial" w:cs="Arial"/>
        </w:rPr>
      </w:pPr>
      <w:r w:rsidRPr="00145802">
        <w:rPr>
          <w:rFonts w:ascii="Arial" w:hAnsi="Arial" w:cs="Arial"/>
        </w:rPr>
        <w:t>Overall, collaborative working enhances care quality, reduces risks, and supports a coordinated approach to complex care needs. Strengthening collaboration in Mr Ahmed’s case is essential to prevent further incidents and promote recovery.</w:t>
      </w:r>
    </w:p>
    <w:p w14:paraId="71556993" w14:textId="77777777" w:rsidR="00145802" w:rsidRPr="00145802" w:rsidRDefault="00145802" w:rsidP="00FE0729">
      <w:pPr>
        <w:spacing w:line="360" w:lineRule="auto"/>
        <w:rPr>
          <w:rFonts w:ascii="Arial" w:hAnsi="Arial" w:cs="Arial"/>
        </w:rPr>
      </w:pPr>
    </w:p>
    <w:p w14:paraId="74C01D77" w14:textId="77777777" w:rsidR="00145802" w:rsidRPr="00145802" w:rsidRDefault="00145802" w:rsidP="00FE0729">
      <w:pPr>
        <w:spacing w:line="360" w:lineRule="auto"/>
        <w:rPr>
          <w:rFonts w:ascii="Arial" w:hAnsi="Arial" w:cs="Arial"/>
          <w:b/>
          <w:bCs/>
          <w:u w:val="single"/>
        </w:rPr>
      </w:pPr>
      <w:r w:rsidRPr="00145802">
        <w:rPr>
          <w:rFonts w:ascii="Arial" w:hAnsi="Arial" w:cs="Arial"/>
          <w:b/>
          <w:bCs/>
          <w:u w:val="single"/>
        </w:rPr>
        <w:t>Conclusion</w:t>
      </w:r>
    </w:p>
    <w:p w14:paraId="2CBE539B" w14:textId="0269D559" w:rsidR="00145802" w:rsidRPr="00145802" w:rsidRDefault="00145802" w:rsidP="00FE0729">
      <w:pPr>
        <w:spacing w:line="360" w:lineRule="auto"/>
        <w:rPr>
          <w:rFonts w:ascii="Arial" w:hAnsi="Arial" w:cs="Arial"/>
        </w:rPr>
      </w:pPr>
      <w:r w:rsidRPr="00145802">
        <w:rPr>
          <w:rFonts w:ascii="Arial" w:hAnsi="Arial" w:cs="Arial"/>
        </w:rPr>
        <w:t>In conclusion, effective communication, strong administrative skills, and collaborative working are essential components of high</w:t>
      </w:r>
      <w:r w:rsidRPr="00145802">
        <w:rPr>
          <w:rFonts w:ascii="Cambria Math" w:hAnsi="Cambria Math" w:cs="Cambria Math"/>
        </w:rPr>
        <w:t>‑</w:t>
      </w:r>
      <w:r w:rsidRPr="00145802">
        <w:rPr>
          <w:rFonts w:ascii="Arial" w:hAnsi="Arial" w:cs="Arial"/>
        </w:rPr>
        <w:t xml:space="preserve">quality health and social care </w:t>
      </w:r>
      <w:r w:rsidR="006E302F" w:rsidRPr="00145802">
        <w:rPr>
          <w:rFonts w:ascii="Arial" w:hAnsi="Arial" w:cs="Arial"/>
        </w:rPr>
        <w:t>practice.</w:t>
      </w:r>
      <w:r w:rsidRPr="00145802">
        <w:rPr>
          <w:rFonts w:ascii="Arial" w:hAnsi="Arial" w:cs="Arial"/>
        </w:rPr>
        <w:t xml:space="preserve"> For Mr Ahmed, these elements are particularly important due to his language barriers, complex health needs, and involvement with multiple professionals.</w:t>
      </w:r>
    </w:p>
    <w:p w14:paraId="62B3DFCC" w14:textId="2449E8C3" w:rsidR="00145802" w:rsidRPr="00145802" w:rsidRDefault="00145802" w:rsidP="00FE0729">
      <w:pPr>
        <w:spacing w:line="360" w:lineRule="auto"/>
        <w:rPr>
          <w:rFonts w:ascii="Arial" w:hAnsi="Arial" w:cs="Arial"/>
        </w:rPr>
      </w:pPr>
      <w:r w:rsidRPr="00145802">
        <w:rPr>
          <w:rFonts w:ascii="Arial" w:hAnsi="Arial" w:cs="Arial"/>
        </w:rPr>
        <w:t xml:space="preserve">Effective communication ensures that Mr Ahmed is understood, respected, and actively involved in his care, while the Equality Act 2010 promotes fairness and </w:t>
      </w:r>
      <w:r w:rsidR="006E302F" w:rsidRPr="00145802">
        <w:rPr>
          <w:rFonts w:ascii="Arial" w:hAnsi="Arial" w:cs="Arial"/>
        </w:rPr>
        <w:t>inclusivity.</w:t>
      </w:r>
      <w:r w:rsidRPr="00145802">
        <w:rPr>
          <w:rFonts w:ascii="Arial" w:hAnsi="Arial" w:cs="Arial"/>
        </w:rPr>
        <w:t xml:space="preserve"> Strong administrative practices, including accurate record keeping and compliance with the Data Protection Act 2018, are vital for ensuring safe and continuous </w:t>
      </w:r>
      <w:r w:rsidR="006E302F" w:rsidRPr="00145802">
        <w:rPr>
          <w:rFonts w:ascii="Arial" w:hAnsi="Arial" w:cs="Arial"/>
        </w:rPr>
        <w:t>care.</w:t>
      </w:r>
      <w:r w:rsidRPr="00145802">
        <w:rPr>
          <w:rFonts w:ascii="Arial" w:hAnsi="Arial" w:cs="Arial"/>
        </w:rPr>
        <w:t xml:space="preserve"> Collaborative working enables professionals to coordinate their efforts, provide holistic support, and reduce the risk of </w:t>
      </w:r>
      <w:r w:rsidR="006E302F" w:rsidRPr="00145802">
        <w:rPr>
          <w:rFonts w:ascii="Arial" w:hAnsi="Arial" w:cs="Arial"/>
        </w:rPr>
        <w:t>errors.</w:t>
      </w:r>
    </w:p>
    <w:p w14:paraId="348563B1" w14:textId="75D29443" w:rsidR="00B10871" w:rsidRDefault="00145802" w:rsidP="00FE0729">
      <w:pPr>
        <w:spacing w:line="360" w:lineRule="auto"/>
        <w:rPr>
          <w:rFonts w:ascii="Arial" w:hAnsi="Arial" w:cs="Arial"/>
        </w:rPr>
      </w:pPr>
      <w:r w:rsidRPr="00145802">
        <w:rPr>
          <w:rFonts w:ascii="Arial" w:hAnsi="Arial" w:cs="Arial"/>
        </w:rPr>
        <w:t>The missed care visit highlights the consequences of weaknesses in these areas and underscores the need for improvement. Strengthening communication, administration, and teamwork will enhance patient safety, support recovery, and promote person</w:t>
      </w:r>
      <w:r w:rsidRPr="00145802">
        <w:rPr>
          <w:rFonts w:ascii="Cambria Math" w:hAnsi="Cambria Math" w:cs="Cambria Math"/>
        </w:rPr>
        <w:t>‑</w:t>
      </w:r>
      <w:r w:rsidRPr="00145802">
        <w:rPr>
          <w:rFonts w:ascii="Arial" w:hAnsi="Arial" w:cs="Arial"/>
        </w:rPr>
        <w:t>centred care for individuals like Mr Ahmed.</w:t>
      </w:r>
    </w:p>
    <w:p w14:paraId="2A8EC2C8" w14:textId="77777777" w:rsidR="00B10871" w:rsidRDefault="00B10871" w:rsidP="00FE0729">
      <w:pPr>
        <w:spacing w:line="360" w:lineRule="auto"/>
        <w:rPr>
          <w:rFonts w:ascii="Arial" w:hAnsi="Arial" w:cs="Arial"/>
        </w:rPr>
      </w:pPr>
      <w:r>
        <w:rPr>
          <w:rFonts w:ascii="Arial" w:hAnsi="Arial" w:cs="Arial"/>
        </w:rPr>
        <w:br w:type="page"/>
      </w:r>
    </w:p>
    <w:p w14:paraId="45590B31" w14:textId="77777777" w:rsidR="00B10871" w:rsidRPr="00B10871" w:rsidRDefault="00B10871" w:rsidP="00B10871">
      <w:pPr>
        <w:rPr>
          <w:rFonts w:ascii="Arial" w:hAnsi="Arial" w:cs="Arial"/>
          <w:b/>
          <w:bCs/>
          <w:u w:val="single"/>
        </w:rPr>
      </w:pPr>
      <w:r w:rsidRPr="00B10871">
        <w:rPr>
          <w:rFonts w:ascii="Arial" w:hAnsi="Arial" w:cs="Arial"/>
          <w:b/>
          <w:bCs/>
          <w:u w:val="single"/>
        </w:rPr>
        <w:lastRenderedPageBreak/>
        <w:t>Reference list</w:t>
      </w:r>
    </w:p>
    <w:p w14:paraId="040F26FA" w14:textId="6BC75700" w:rsidR="00B10871" w:rsidRPr="00B10871" w:rsidRDefault="00B10871" w:rsidP="00B10871">
      <w:pPr>
        <w:rPr>
          <w:rFonts w:ascii="Arial" w:hAnsi="Arial" w:cs="Arial"/>
        </w:rPr>
      </w:pPr>
      <w:r w:rsidRPr="00B10871">
        <w:rPr>
          <w:rFonts w:ascii="Arial" w:hAnsi="Arial" w:cs="Arial"/>
        </w:rPr>
        <w:t xml:space="preserve">Akter, F. and Sultana, R. (2024) </w:t>
      </w:r>
      <w:r w:rsidRPr="00B10871">
        <w:rPr>
          <w:rFonts w:ascii="Arial" w:hAnsi="Arial" w:cs="Arial"/>
          <w:i/>
          <w:iCs/>
        </w:rPr>
        <w:t>The Role of Nonverbal Communication: A Study of Body Language, Tone of Voice, and Facial Expressions in Public Speaking and Business Communication</w:t>
      </w:r>
      <w:r w:rsidRPr="00B10871">
        <w:rPr>
          <w:rFonts w:ascii="Arial" w:hAnsi="Arial" w:cs="Arial"/>
        </w:rPr>
        <w:t xml:space="preserve">, </w:t>
      </w:r>
      <w:r w:rsidRPr="00B10871">
        <w:rPr>
          <w:rFonts w:ascii="Arial" w:hAnsi="Arial" w:cs="Arial"/>
          <w:i/>
          <w:iCs/>
        </w:rPr>
        <w:t>Research Gate</w:t>
      </w:r>
      <w:r w:rsidRPr="00B10871">
        <w:rPr>
          <w:rFonts w:ascii="Arial" w:hAnsi="Arial" w:cs="Arial"/>
        </w:rPr>
        <w:t xml:space="preserve">. Available at: </w:t>
      </w:r>
      <w:hyperlink r:id="rId4" w:history="1">
        <w:r w:rsidRPr="00B10871">
          <w:rPr>
            <w:rStyle w:val="Hyperlink"/>
            <w:rFonts w:ascii="Arial" w:hAnsi="Arial" w:cs="Arial"/>
          </w:rPr>
          <w:t>https://www.researchgate.net/publication/390941503_The_Role_of_Nonverbal_Communication_A_Study_of_Body_Language_Tone_of_Voice_and_Facial_Expressions_in_Public_Speaking_and_Business_Communication</w:t>
        </w:r>
      </w:hyperlink>
      <w:r w:rsidRPr="00B10871">
        <w:rPr>
          <w:rFonts w:ascii="Arial" w:hAnsi="Arial" w:cs="Arial"/>
        </w:rPr>
        <w:t>.</w:t>
      </w:r>
      <w:r>
        <w:rPr>
          <w:rFonts w:ascii="Arial" w:hAnsi="Arial" w:cs="Arial"/>
        </w:rPr>
        <w:t xml:space="preserve"> (Accessed 10 March 2026)</w:t>
      </w:r>
    </w:p>
    <w:p w14:paraId="545705EF" w14:textId="60F2760D" w:rsidR="00B10871" w:rsidRPr="00B10871" w:rsidRDefault="00B10871" w:rsidP="00B10871">
      <w:pPr>
        <w:rPr>
          <w:rFonts w:ascii="Arial" w:hAnsi="Arial" w:cs="Arial"/>
        </w:rPr>
      </w:pPr>
      <w:r w:rsidRPr="00B10871">
        <w:rPr>
          <w:rFonts w:ascii="Arial" w:hAnsi="Arial" w:cs="Arial"/>
          <w:lang w:val="it-IT"/>
        </w:rPr>
        <w:t xml:space="preserve">Al Shamsi, H. </w:t>
      </w:r>
      <w:r w:rsidRPr="00B10871">
        <w:rPr>
          <w:rFonts w:ascii="Arial" w:hAnsi="Arial" w:cs="Arial"/>
          <w:i/>
          <w:iCs/>
          <w:lang w:val="it-IT"/>
        </w:rPr>
        <w:t>et al.</w:t>
      </w:r>
      <w:r w:rsidRPr="00B10871">
        <w:rPr>
          <w:rFonts w:ascii="Arial" w:hAnsi="Arial" w:cs="Arial"/>
          <w:lang w:val="it-IT"/>
        </w:rPr>
        <w:t xml:space="preserve"> </w:t>
      </w:r>
      <w:r w:rsidRPr="00B10871">
        <w:rPr>
          <w:rFonts w:ascii="Arial" w:hAnsi="Arial" w:cs="Arial"/>
        </w:rPr>
        <w:t xml:space="preserve">(2020) ‘Implications of Language Barriers for healthcare: A Systematic Review’, </w:t>
      </w:r>
      <w:r w:rsidRPr="00B10871">
        <w:rPr>
          <w:rFonts w:ascii="Arial" w:hAnsi="Arial" w:cs="Arial"/>
          <w:i/>
          <w:iCs/>
        </w:rPr>
        <w:t>Oman Medical Journal</w:t>
      </w:r>
      <w:r w:rsidRPr="00B10871">
        <w:rPr>
          <w:rFonts w:ascii="Arial" w:hAnsi="Arial" w:cs="Arial"/>
        </w:rPr>
        <w:t xml:space="preserve">, 35(2), pp. 1–7. Available at: </w:t>
      </w:r>
      <w:hyperlink r:id="rId5" w:history="1">
        <w:r w:rsidRPr="00B10871">
          <w:rPr>
            <w:rStyle w:val="Hyperlink"/>
            <w:rFonts w:ascii="Arial" w:hAnsi="Arial" w:cs="Arial"/>
          </w:rPr>
          <w:t>https://doi.org/10.5001/omj.2020.40</w:t>
        </w:r>
      </w:hyperlink>
      <w:r w:rsidRPr="00B10871">
        <w:rPr>
          <w:rFonts w:ascii="Arial" w:hAnsi="Arial" w:cs="Arial"/>
        </w:rPr>
        <w:t>.</w:t>
      </w:r>
      <w:r>
        <w:rPr>
          <w:rFonts w:ascii="Arial" w:hAnsi="Arial" w:cs="Arial"/>
        </w:rPr>
        <w:t xml:space="preserve"> (Accessed 10 March 2026)</w:t>
      </w:r>
    </w:p>
    <w:p w14:paraId="298B75BF" w14:textId="522393F9" w:rsidR="00B10871" w:rsidRPr="00B10871" w:rsidRDefault="00B10871" w:rsidP="00B10871">
      <w:pPr>
        <w:rPr>
          <w:rFonts w:ascii="Arial" w:hAnsi="Arial" w:cs="Arial"/>
        </w:rPr>
      </w:pPr>
      <w:r w:rsidRPr="00B10871">
        <w:rPr>
          <w:rFonts w:ascii="Arial" w:hAnsi="Arial" w:cs="Arial"/>
        </w:rPr>
        <w:t>Al-</w:t>
      </w:r>
      <w:proofErr w:type="spellStart"/>
      <w:r w:rsidRPr="00B10871">
        <w:rPr>
          <w:rFonts w:ascii="Arial" w:hAnsi="Arial" w:cs="Arial"/>
        </w:rPr>
        <w:t>Fedaghi</w:t>
      </w:r>
      <w:proofErr w:type="spellEnd"/>
      <w:r w:rsidRPr="00B10871">
        <w:rPr>
          <w:rFonts w:ascii="Arial" w:hAnsi="Arial" w:cs="Arial"/>
        </w:rPr>
        <w:t xml:space="preserve">, S. (2012) </w:t>
      </w:r>
      <w:r w:rsidRPr="00B10871">
        <w:rPr>
          <w:rFonts w:ascii="Arial" w:hAnsi="Arial" w:cs="Arial"/>
          <w:i/>
          <w:iCs/>
        </w:rPr>
        <w:t>A Conceptual Foundation for the Shannon-Weaver Model of Communication</w:t>
      </w:r>
      <w:r w:rsidRPr="00B10871">
        <w:rPr>
          <w:rFonts w:ascii="Arial" w:hAnsi="Arial" w:cs="Arial"/>
        </w:rPr>
        <w:t xml:space="preserve">, </w:t>
      </w:r>
      <w:r w:rsidRPr="00B10871">
        <w:rPr>
          <w:rFonts w:ascii="Arial" w:hAnsi="Arial" w:cs="Arial"/>
          <w:i/>
          <w:iCs/>
        </w:rPr>
        <w:t>ResearchGate</w:t>
      </w:r>
      <w:r w:rsidRPr="00B10871">
        <w:rPr>
          <w:rFonts w:ascii="Arial" w:hAnsi="Arial" w:cs="Arial"/>
        </w:rPr>
        <w:t xml:space="preserve">. Available at: </w:t>
      </w:r>
      <w:hyperlink r:id="rId6" w:history="1">
        <w:r w:rsidRPr="00B10871">
          <w:rPr>
            <w:rStyle w:val="Hyperlink"/>
            <w:rFonts w:ascii="Arial" w:hAnsi="Arial" w:cs="Arial"/>
          </w:rPr>
          <w:t>https://www.researchgate.net/publication/272964534_A_Conceptual_Foundation_for_the_Shannon-Weaver_Model_of_Communication</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10 March 2026)</w:t>
      </w:r>
    </w:p>
    <w:p w14:paraId="6630E4A5" w14:textId="4DC11004" w:rsidR="00B10871" w:rsidRPr="00B10871" w:rsidRDefault="00B10871" w:rsidP="00B10871">
      <w:pPr>
        <w:rPr>
          <w:rFonts w:ascii="Arial" w:hAnsi="Arial" w:cs="Arial"/>
        </w:rPr>
      </w:pPr>
      <w:r w:rsidRPr="00B10871">
        <w:rPr>
          <w:rFonts w:ascii="Arial" w:hAnsi="Arial" w:cs="Arial"/>
        </w:rPr>
        <w:t xml:space="preserve">Care Quality Commission (CQC) (2022) </w:t>
      </w:r>
      <w:r w:rsidRPr="00B10871">
        <w:rPr>
          <w:rFonts w:ascii="Arial" w:hAnsi="Arial" w:cs="Arial"/>
          <w:i/>
          <w:iCs/>
        </w:rPr>
        <w:t>Medicines Administration Records in Adult Social Care | Care Quality Commission</w:t>
      </w:r>
      <w:r w:rsidRPr="00B10871">
        <w:rPr>
          <w:rFonts w:ascii="Arial" w:hAnsi="Arial" w:cs="Arial"/>
        </w:rPr>
        <w:t xml:space="preserve">, </w:t>
      </w:r>
      <w:r w:rsidRPr="00B10871">
        <w:rPr>
          <w:rFonts w:ascii="Arial" w:hAnsi="Arial" w:cs="Arial"/>
          <w:i/>
          <w:iCs/>
        </w:rPr>
        <w:t>www.cqc.org.uk</w:t>
      </w:r>
      <w:r w:rsidRPr="00B10871">
        <w:rPr>
          <w:rFonts w:ascii="Arial" w:hAnsi="Arial" w:cs="Arial"/>
        </w:rPr>
        <w:t xml:space="preserve">. Available at: </w:t>
      </w:r>
      <w:hyperlink r:id="rId7" w:history="1">
        <w:r w:rsidRPr="00B10871">
          <w:rPr>
            <w:rStyle w:val="Hyperlink"/>
            <w:rFonts w:ascii="Arial" w:hAnsi="Arial" w:cs="Arial"/>
          </w:rPr>
          <w:t>https://www.cqc.org.uk/guidance-providers/adult-social-care/medicines-administration-records-adult-social-care</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11 March 2026)</w:t>
      </w:r>
    </w:p>
    <w:p w14:paraId="7CC079FC" w14:textId="103DF238" w:rsidR="00B10871" w:rsidRPr="00B10871" w:rsidRDefault="00B10871" w:rsidP="00B10871">
      <w:pPr>
        <w:rPr>
          <w:rFonts w:ascii="Arial" w:hAnsi="Arial" w:cs="Arial"/>
          <w:lang w:val="fr-FR"/>
        </w:rPr>
      </w:pPr>
      <w:r w:rsidRPr="00B10871">
        <w:rPr>
          <w:rFonts w:ascii="Arial" w:hAnsi="Arial" w:cs="Arial"/>
        </w:rPr>
        <w:t xml:space="preserve">Chance, E.A., Florence, D. and Abdoul, I.S. (2024) ‘The effectiveness of checklists and error reporting systems in enhancing patient safety and reducing medical errors in hospital settings-a narrative review’, </w:t>
      </w:r>
      <w:r w:rsidRPr="00B10871">
        <w:rPr>
          <w:rFonts w:ascii="Arial" w:hAnsi="Arial" w:cs="Arial"/>
          <w:i/>
          <w:iCs/>
        </w:rPr>
        <w:t>International Journal of Nursing Sciences</w:t>
      </w:r>
      <w:r w:rsidRPr="00B10871">
        <w:rPr>
          <w:rFonts w:ascii="Arial" w:hAnsi="Arial" w:cs="Arial"/>
        </w:rPr>
        <w:t xml:space="preserve">, 11(3), pp. 387–398. </w:t>
      </w:r>
      <w:r w:rsidRPr="00B10871">
        <w:rPr>
          <w:rFonts w:ascii="Arial" w:hAnsi="Arial" w:cs="Arial"/>
          <w:lang w:val="fr-FR"/>
        </w:rPr>
        <w:t xml:space="preserve">Available at: </w:t>
      </w:r>
      <w:r>
        <w:fldChar w:fldCharType="begin"/>
      </w:r>
      <w:r>
        <w:instrText>HYPERLINK "https://doi.org/10.1016/j.ijnss.2024.06.003"</w:instrText>
      </w:r>
      <w:r>
        <w:fldChar w:fldCharType="separate"/>
      </w:r>
      <w:r w:rsidRPr="00B10871">
        <w:rPr>
          <w:rStyle w:val="Hyperlink"/>
          <w:rFonts w:ascii="Arial" w:hAnsi="Arial" w:cs="Arial"/>
          <w:lang w:val="fr-FR"/>
        </w:rPr>
        <w:t>https://doi.org/10.1016/j.ijnss.2024.06.003</w:t>
      </w:r>
      <w:r>
        <w:fldChar w:fldCharType="end"/>
      </w:r>
      <w:r w:rsidRPr="00B10871">
        <w:rPr>
          <w:rFonts w:ascii="Arial" w:hAnsi="Arial" w:cs="Arial"/>
          <w:lang w:val="fr-FR"/>
        </w:rPr>
        <w:t>.</w:t>
      </w:r>
      <w:r>
        <w:rPr>
          <w:rFonts w:ascii="Arial" w:hAnsi="Arial" w:cs="Arial"/>
          <w:lang w:val="fr-FR"/>
        </w:rPr>
        <w:t xml:space="preserve"> ( Accessed 12 March 2026)</w:t>
      </w:r>
    </w:p>
    <w:p w14:paraId="7F14B5E6" w14:textId="60AD06FA" w:rsidR="00B10871" w:rsidRPr="00B10871" w:rsidRDefault="00B10871" w:rsidP="00B10871">
      <w:pPr>
        <w:rPr>
          <w:rFonts w:ascii="Arial" w:hAnsi="Arial" w:cs="Arial"/>
          <w:lang w:val="fr-FR"/>
        </w:rPr>
      </w:pPr>
      <w:r w:rsidRPr="00B10871">
        <w:rPr>
          <w:rFonts w:ascii="Arial" w:hAnsi="Arial" w:cs="Arial"/>
          <w:lang w:val="nl-NL"/>
        </w:rPr>
        <w:t xml:space="preserve">Entwistle, V.A. </w:t>
      </w:r>
      <w:r w:rsidRPr="00B10871">
        <w:rPr>
          <w:rFonts w:ascii="Arial" w:hAnsi="Arial" w:cs="Arial"/>
          <w:i/>
          <w:iCs/>
          <w:lang w:val="nl-NL"/>
        </w:rPr>
        <w:t>et al.</w:t>
      </w:r>
      <w:r w:rsidRPr="00B10871">
        <w:rPr>
          <w:rFonts w:ascii="Arial" w:hAnsi="Arial" w:cs="Arial"/>
          <w:lang w:val="nl-NL"/>
        </w:rPr>
        <w:t xml:space="preserve"> </w:t>
      </w:r>
      <w:r w:rsidRPr="00B10871">
        <w:rPr>
          <w:rFonts w:ascii="Arial" w:hAnsi="Arial" w:cs="Arial"/>
        </w:rPr>
        <w:t xml:space="preserve">(2020) ‘Supporting patient autonomy: The importance of clinician-patient relationships’, </w:t>
      </w:r>
      <w:r w:rsidRPr="00B10871">
        <w:rPr>
          <w:rFonts w:ascii="Arial" w:hAnsi="Arial" w:cs="Arial"/>
          <w:i/>
          <w:iCs/>
        </w:rPr>
        <w:t>Journal of General Internal Medicine</w:t>
      </w:r>
      <w:r w:rsidRPr="00B10871">
        <w:rPr>
          <w:rFonts w:ascii="Arial" w:hAnsi="Arial" w:cs="Arial"/>
        </w:rPr>
        <w:t xml:space="preserve">, 25(7), pp. 741–745. </w:t>
      </w:r>
      <w:r w:rsidRPr="00B10871">
        <w:rPr>
          <w:rFonts w:ascii="Arial" w:hAnsi="Arial" w:cs="Arial"/>
          <w:lang w:val="fr-FR"/>
        </w:rPr>
        <w:t xml:space="preserve">Available at: </w:t>
      </w:r>
      <w:r>
        <w:fldChar w:fldCharType="begin"/>
      </w:r>
      <w:r>
        <w:instrText>HYPERLINK "https://doi.org/10.1007/s11606-010-1292-2"</w:instrText>
      </w:r>
      <w:r>
        <w:fldChar w:fldCharType="separate"/>
      </w:r>
      <w:r w:rsidRPr="00B10871">
        <w:rPr>
          <w:rStyle w:val="Hyperlink"/>
          <w:rFonts w:ascii="Arial" w:hAnsi="Arial" w:cs="Arial"/>
          <w:lang w:val="fr-FR"/>
        </w:rPr>
        <w:t>https://doi.org/10.1007/s11606-010-1292-2</w:t>
      </w:r>
      <w:r>
        <w:fldChar w:fldCharType="end"/>
      </w:r>
      <w:r w:rsidRPr="00B10871">
        <w:rPr>
          <w:rFonts w:ascii="Arial" w:hAnsi="Arial" w:cs="Arial"/>
          <w:lang w:val="fr-FR"/>
        </w:rPr>
        <w:t>.</w:t>
      </w:r>
      <w:r>
        <w:rPr>
          <w:rFonts w:ascii="Arial" w:hAnsi="Arial" w:cs="Arial"/>
          <w:lang w:val="fr-FR"/>
        </w:rPr>
        <w:t xml:space="preserve"> ( Accessed 12 March 2026)</w:t>
      </w:r>
    </w:p>
    <w:p w14:paraId="58933469" w14:textId="62356195" w:rsidR="00B10871" w:rsidRPr="00B10871" w:rsidRDefault="00B10871" w:rsidP="00B10871">
      <w:pPr>
        <w:rPr>
          <w:rFonts w:ascii="Arial" w:hAnsi="Arial" w:cs="Arial"/>
        </w:rPr>
      </w:pPr>
      <w:r w:rsidRPr="00B10871">
        <w:rPr>
          <w:rFonts w:ascii="Arial" w:hAnsi="Arial" w:cs="Arial"/>
          <w:lang w:val="fr-FR"/>
        </w:rPr>
        <w:t xml:space="preserve">Federica Dellafiore </w:t>
      </w:r>
      <w:r w:rsidRPr="00B10871">
        <w:rPr>
          <w:rFonts w:ascii="Arial" w:hAnsi="Arial" w:cs="Arial"/>
          <w:i/>
          <w:iCs/>
          <w:lang w:val="fr-FR"/>
        </w:rPr>
        <w:t>et al.</w:t>
      </w:r>
      <w:r w:rsidRPr="00B10871">
        <w:rPr>
          <w:rFonts w:ascii="Arial" w:hAnsi="Arial" w:cs="Arial"/>
          <w:lang w:val="fr-FR"/>
        </w:rPr>
        <w:t xml:space="preserve"> </w:t>
      </w:r>
      <w:r w:rsidRPr="00B10871">
        <w:rPr>
          <w:rFonts w:ascii="Arial" w:hAnsi="Arial" w:cs="Arial"/>
        </w:rPr>
        <w:t xml:space="preserve">(2025) ‘Interprofessional Collaboration in Primary Healthcare: A Qualitative Study of General Practitioners’ and Family and Community Nurses’ Perspectives in Italy’, </w:t>
      </w:r>
      <w:r w:rsidRPr="00B10871">
        <w:rPr>
          <w:rFonts w:ascii="Arial" w:hAnsi="Arial" w:cs="Arial"/>
          <w:i/>
          <w:iCs/>
        </w:rPr>
        <w:t>Healthcare</w:t>
      </w:r>
      <w:r w:rsidRPr="00B10871">
        <w:rPr>
          <w:rFonts w:ascii="Arial" w:hAnsi="Arial" w:cs="Arial"/>
        </w:rPr>
        <w:t xml:space="preserve">, 13(21), pp. 2794–2794. Available at: </w:t>
      </w:r>
      <w:hyperlink r:id="rId8" w:history="1">
        <w:r w:rsidRPr="00B10871">
          <w:rPr>
            <w:rStyle w:val="Hyperlink"/>
            <w:rFonts w:ascii="Arial" w:hAnsi="Arial" w:cs="Arial"/>
          </w:rPr>
          <w:t>https://doi.org/10.3390/healthcare13212794</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13 March 2026)</w:t>
      </w:r>
    </w:p>
    <w:p w14:paraId="224E83BA" w14:textId="4DA37424" w:rsidR="00B10871" w:rsidRPr="00B10871" w:rsidRDefault="00B10871" w:rsidP="00B10871">
      <w:pPr>
        <w:rPr>
          <w:rFonts w:ascii="Arial" w:hAnsi="Arial" w:cs="Arial"/>
        </w:rPr>
      </w:pPr>
      <w:r w:rsidRPr="00B10871">
        <w:rPr>
          <w:rFonts w:ascii="Arial" w:hAnsi="Arial" w:cs="Arial"/>
        </w:rPr>
        <w:t xml:space="preserve">GOV.UK (2013) </w:t>
      </w:r>
      <w:r w:rsidRPr="00B10871">
        <w:rPr>
          <w:rFonts w:ascii="Arial" w:hAnsi="Arial" w:cs="Arial"/>
          <w:i/>
          <w:iCs/>
        </w:rPr>
        <w:t>Equality Act 2010</w:t>
      </w:r>
      <w:r w:rsidRPr="00B10871">
        <w:rPr>
          <w:rFonts w:ascii="Arial" w:hAnsi="Arial" w:cs="Arial"/>
        </w:rPr>
        <w:t xml:space="preserve">, </w:t>
      </w:r>
      <w:r w:rsidRPr="00B10871">
        <w:rPr>
          <w:rFonts w:ascii="Arial" w:hAnsi="Arial" w:cs="Arial"/>
          <w:i/>
          <w:iCs/>
        </w:rPr>
        <w:t>GOV.UK</w:t>
      </w:r>
      <w:r w:rsidRPr="00B10871">
        <w:rPr>
          <w:rFonts w:ascii="Arial" w:hAnsi="Arial" w:cs="Arial"/>
        </w:rPr>
        <w:t xml:space="preserve">. Available at: </w:t>
      </w:r>
      <w:hyperlink r:id="rId9" w:history="1">
        <w:r w:rsidRPr="00B10871">
          <w:rPr>
            <w:rStyle w:val="Hyperlink"/>
            <w:rFonts w:ascii="Arial" w:hAnsi="Arial" w:cs="Arial"/>
          </w:rPr>
          <w:t>https://www.gov.uk/guidance/equality-act-2010-guidance</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14 March 2026)</w:t>
      </w:r>
    </w:p>
    <w:p w14:paraId="39203968" w14:textId="26FF9027" w:rsidR="00B10871" w:rsidRPr="00B10871" w:rsidRDefault="00B10871" w:rsidP="00B10871">
      <w:pPr>
        <w:rPr>
          <w:rFonts w:ascii="Arial" w:hAnsi="Arial" w:cs="Arial"/>
        </w:rPr>
      </w:pPr>
      <w:r w:rsidRPr="00B10871">
        <w:rPr>
          <w:rFonts w:ascii="Arial" w:hAnsi="Arial" w:cs="Arial"/>
          <w:lang w:val="nl-NL"/>
        </w:rPr>
        <w:t xml:space="preserve">Hemle Jerntorp, S. </w:t>
      </w:r>
      <w:r w:rsidRPr="00B10871">
        <w:rPr>
          <w:rFonts w:ascii="Arial" w:hAnsi="Arial" w:cs="Arial"/>
          <w:i/>
          <w:iCs/>
          <w:lang w:val="nl-NL"/>
        </w:rPr>
        <w:t>et al.</w:t>
      </w:r>
      <w:r w:rsidRPr="00B10871">
        <w:rPr>
          <w:rFonts w:ascii="Arial" w:hAnsi="Arial" w:cs="Arial"/>
          <w:lang w:val="nl-NL"/>
        </w:rPr>
        <w:t xml:space="preserve"> </w:t>
      </w:r>
      <w:r w:rsidRPr="00B10871">
        <w:rPr>
          <w:rFonts w:ascii="Arial" w:hAnsi="Arial" w:cs="Arial"/>
        </w:rPr>
        <w:t xml:space="preserve">(2025) ‘Family members’ experience of involvement in the patient care process on an interprofessional training ward: A qualitative interview study’, </w:t>
      </w:r>
      <w:r w:rsidRPr="00B10871">
        <w:rPr>
          <w:rFonts w:ascii="Arial" w:hAnsi="Arial" w:cs="Arial"/>
          <w:i/>
          <w:iCs/>
        </w:rPr>
        <w:t>Journal of Interprofessional Education &amp; Practice</w:t>
      </w:r>
      <w:r w:rsidRPr="00B10871">
        <w:rPr>
          <w:rFonts w:ascii="Arial" w:hAnsi="Arial" w:cs="Arial"/>
        </w:rPr>
        <w:t xml:space="preserve">, 39(100742), p. 100742. Available at: </w:t>
      </w:r>
      <w:hyperlink r:id="rId10" w:history="1">
        <w:r w:rsidRPr="00B10871">
          <w:rPr>
            <w:rStyle w:val="Hyperlink"/>
            <w:rFonts w:ascii="Arial" w:hAnsi="Arial" w:cs="Arial"/>
          </w:rPr>
          <w:t>https://doi.org/10.1016/j.xjep.2025.100742</w:t>
        </w:r>
      </w:hyperlink>
      <w:r w:rsidRPr="00B10871">
        <w:rPr>
          <w:rFonts w:ascii="Arial" w:hAnsi="Arial" w:cs="Arial"/>
        </w:rPr>
        <w:t xml:space="preserve">. </w:t>
      </w:r>
      <w:proofErr w:type="gramStart"/>
      <w:r w:rsidRPr="00B10871">
        <w:rPr>
          <w:rFonts w:ascii="Arial" w:hAnsi="Arial" w:cs="Arial"/>
        </w:rPr>
        <w:t>( Acce</w:t>
      </w:r>
      <w:r>
        <w:rPr>
          <w:rFonts w:ascii="Arial" w:hAnsi="Arial" w:cs="Arial"/>
        </w:rPr>
        <w:t>ssed</w:t>
      </w:r>
      <w:proofErr w:type="gramEnd"/>
      <w:r>
        <w:rPr>
          <w:rFonts w:ascii="Arial" w:hAnsi="Arial" w:cs="Arial"/>
        </w:rPr>
        <w:t xml:space="preserve"> 14 March 2026)</w:t>
      </w:r>
    </w:p>
    <w:p w14:paraId="24472585" w14:textId="2B970B95" w:rsidR="00B10871" w:rsidRPr="00B10871" w:rsidRDefault="00B10871" w:rsidP="00B10871">
      <w:pPr>
        <w:rPr>
          <w:rFonts w:ascii="Arial" w:hAnsi="Arial" w:cs="Arial"/>
        </w:rPr>
      </w:pPr>
      <w:r w:rsidRPr="00B10871">
        <w:rPr>
          <w:rFonts w:ascii="Arial" w:hAnsi="Arial" w:cs="Arial"/>
        </w:rPr>
        <w:t xml:space="preserve">Howick, J. </w:t>
      </w:r>
      <w:r w:rsidRPr="00B10871">
        <w:rPr>
          <w:rFonts w:ascii="Arial" w:hAnsi="Arial" w:cs="Arial"/>
          <w:i/>
          <w:iCs/>
        </w:rPr>
        <w:t>et al.</w:t>
      </w:r>
      <w:r w:rsidRPr="00B10871">
        <w:rPr>
          <w:rFonts w:ascii="Arial" w:hAnsi="Arial" w:cs="Arial"/>
        </w:rPr>
        <w:t xml:space="preserve"> (2024) ‘How does communication affect patient safety? Protocol for a systematic review and logic model’, </w:t>
      </w:r>
      <w:r w:rsidRPr="00B10871">
        <w:rPr>
          <w:rFonts w:ascii="Arial" w:hAnsi="Arial" w:cs="Arial"/>
          <w:i/>
          <w:iCs/>
        </w:rPr>
        <w:t>BMJ Open</w:t>
      </w:r>
      <w:r w:rsidRPr="00B10871">
        <w:rPr>
          <w:rFonts w:ascii="Arial" w:hAnsi="Arial" w:cs="Arial"/>
        </w:rPr>
        <w:t xml:space="preserve">, 14(5), pp. 1–8. Available at: </w:t>
      </w:r>
      <w:hyperlink r:id="rId11" w:history="1">
        <w:r w:rsidRPr="00B10871">
          <w:rPr>
            <w:rStyle w:val="Hyperlink"/>
            <w:rFonts w:ascii="Arial" w:hAnsi="Arial" w:cs="Arial"/>
          </w:rPr>
          <w:t>https://doi.org/10.1136/bmjopen-2024-085312</w:t>
        </w:r>
      </w:hyperlink>
      <w:r w:rsidRPr="00B10871">
        <w:rPr>
          <w:rFonts w:ascii="Arial" w:hAnsi="Arial" w:cs="Arial"/>
        </w:rPr>
        <w:t>.</w:t>
      </w:r>
      <w:r>
        <w:rPr>
          <w:rFonts w:ascii="Arial" w:hAnsi="Arial" w:cs="Arial"/>
        </w:rPr>
        <w:t xml:space="preserve"> (Accessed 15 March 2026)</w:t>
      </w:r>
    </w:p>
    <w:p w14:paraId="587737E1" w14:textId="1C00C766" w:rsidR="00B10871" w:rsidRPr="00B10871" w:rsidRDefault="00B10871" w:rsidP="00B10871">
      <w:pPr>
        <w:rPr>
          <w:rFonts w:ascii="Arial" w:hAnsi="Arial" w:cs="Arial"/>
          <w:lang w:val="fr-FR"/>
        </w:rPr>
      </w:pPr>
      <w:r w:rsidRPr="00B10871">
        <w:rPr>
          <w:rFonts w:ascii="Arial" w:hAnsi="Arial" w:cs="Arial"/>
        </w:rPr>
        <w:t xml:space="preserve">Kwame, A. and </w:t>
      </w:r>
      <w:proofErr w:type="spellStart"/>
      <w:r w:rsidRPr="00B10871">
        <w:rPr>
          <w:rFonts w:ascii="Arial" w:hAnsi="Arial" w:cs="Arial"/>
        </w:rPr>
        <w:t>Petrucka</w:t>
      </w:r>
      <w:proofErr w:type="spellEnd"/>
      <w:r w:rsidRPr="00B10871">
        <w:rPr>
          <w:rFonts w:ascii="Arial" w:hAnsi="Arial" w:cs="Arial"/>
        </w:rPr>
        <w:t>, P. (2021) ‘A literature-based study of patient-</w:t>
      </w:r>
      <w:proofErr w:type="spellStart"/>
      <w:r w:rsidRPr="00B10871">
        <w:rPr>
          <w:rFonts w:ascii="Arial" w:hAnsi="Arial" w:cs="Arial"/>
        </w:rPr>
        <w:t>centered</w:t>
      </w:r>
      <w:proofErr w:type="spellEnd"/>
      <w:r w:rsidRPr="00B10871">
        <w:rPr>
          <w:rFonts w:ascii="Arial" w:hAnsi="Arial" w:cs="Arial"/>
        </w:rPr>
        <w:t xml:space="preserve"> care and communication in nurse-patient interactions: Barriers, facilitators, and the way forward’, </w:t>
      </w:r>
      <w:r w:rsidRPr="00B10871">
        <w:rPr>
          <w:rFonts w:ascii="Arial" w:hAnsi="Arial" w:cs="Arial"/>
          <w:i/>
          <w:iCs/>
        </w:rPr>
        <w:t>BMC Nursing</w:t>
      </w:r>
      <w:r w:rsidRPr="00B10871">
        <w:rPr>
          <w:rFonts w:ascii="Arial" w:hAnsi="Arial" w:cs="Arial"/>
        </w:rPr>
        <w:t xml:space="preserve">, 20(158), pp. 1–10. </w:t>
      </w:r>
      <w:r w:rsidRPr="00B10871">
        <w:rPr>
          <w:rFonts w:ascii="Arial" w:hAnsi="Arial" w:cs="Arial"/>
          <w:lang w:val="fr-FR"/>
        </w:rPr>
        <w:t xml:space="preserve">Available at: </w:t>
      </w:r>
      <w:r>
        <w:fldChar w:fldCharType="begin"/>
      </w:r>
      <w:r>
        <w:instrText>HYPERLINK "https://doi.org/10.1186/s12912-021-00684-2"</w:instrText>
      </w:r>
      <w:r>
        <w:fldChar w:fldCharType="separate"/>
      </w:r>
      <w:r w:rsidRPr="00B10871">
        <w:rPr>
          <w:rStyle w:val="Hyperlink"/>
          <w:rFonts w:ascii="Arial" w:hAnsi="Arial" w:cs="Arial"/>
          <w:lang w:val="fr-FR"/>
        </w:rPr>
        <w:t>https://doi.org/10.1186/s12912-021-00684-2</w:t>
      </w:r>
      <w:r>
        <w:fldChar w:fldCharType="end"/>
      </w:r>
      <w:r w:rsidRPr="00B10871">
        <w:rPr>
          <w:rFonts w:ascii="Arial" w:hAnsi="Arial" w:cs="Arial"/>
          <w:lang w:val="fr-FR"/>
        </w:rPr>
        <w:t>.</w:t>
      </w:r>
      <w:r>
        <w:rPr>
          <w:rFonts w:ascii="Arial" w:hAnsi="Arial" w:cs="Arial"/>
          <w:lang w:val="fr-FR"/>
        </w:rPr>
        <w:t xml:space="preserve"> (Accessed 16 March 2026)</w:t>
      </w:r>
    </w:p>
    <w:p w14:paraId="70A7A766" w14:textId="12C13C73" w:rsidR="00B10871" w:rsidRPr="00B10871" w:rsidRDefault="00B10871" w:rsidP="00B10871">
      <w:pPr>
        <w:rPr>
          <w:rFonts w:ascii="Arial" w:hAnsi="Arial" w:cs="Arial"/>
        </w:rPr>
      </w:pPr>
      <w:r w:rsidRPr="00B10871">
        <w:rPr>
          <w:rFonts w:ascii="Arial" w:hAnsi="Arial" w:cs="Arial"/>
          <w:lang w:val="fr-FR"/>
        </w:rPr>
        <w:lastRenderedPageBreak/>
        <w:t xml:space="preserve">Miles, K. </w:t>
      </w:r>
      <w:r w:rsidRPr="00B10871">
        <w:rPr>
          <w:rFonts w:ascii="Arial" w:hAnsi="Arial" w:cs="Arial"/>
          <w:i/>
          <w:iCs/>
          <w:lang w:val="fr-FR"/>
        </w:rPr>
        <w:t>et al.</w:t>
      </w:r>
      <w:r w:rsidRPr="00B10871">
        <w:rPr>
          <w:rFonts w:ascii="Arial" w:hAnsi="Arial" w:cs="Arial"/>
          <w:lang w:val="fr-FR"/>
        </w:rPr>
        <w:t xml:space="preserve"> </w:t>
      </w:r>
      <w:r w:rsidRPr="00B10871">
        <w:rPr>
          <w:rFonts w:ascii="Arial" w:hAnsi="Arial" w:cs="Arial"/>
        </w:rPr>
        <w:t xml:space="preserve">(2025) ‘Listening-in-noise difficulties following stroke: a scoping review protocol’, </w:t>
      </w:r>
      <w:r w:rsidRPr="00B10871">
        <w:rPr>
          <w:rFonts w:ascii="Arial" w:hAnsi="Arial" w:cs="Arial"/>
          <w:i/>
          <w:iCs/>
        </w:rPr>
        <w:t>BMJ Open</w:t>
      </w:r>
      <w:r w:rsidRPr="00B10871">
        <w:rPr>
          <w:rFonts w:ascii="Arial" w:hAnsi="Arial" w:cs="Arial"/>
        </w:rPr>
        <w:t xml:space="preserve">, 15(2), p. e093399. Available at: </w:t>
      </w:r>
      <w:hyperlink r:id="rId12" w:history="1">
        <w:r w:rsidRPr="00B10871">
          <w:rPr>
            <w:rStyle w:val="Hyperlink"/>
            <w:rFonts w:ascii="Arial" w:hAnsi="Arial" w:cs="Arial"/>
          </w:rPr>
          <w:t>https://doi.org/10.1136/bmjopen-2024-093399</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17 March 2026)</w:t>
      </w:r>
    </w:p>
    <w:p w14:paraId="6ACDED23" w14:textId="699EF3F8" w:rsidR="00B10871" w:rsidRPr="00B10871" w:rsidRDefault="00B10871" w:rsidP="00B10871">
      <w:pPr>
        <w:rPr>
          <w:rFonts w:ascii="Arial" w:hAnsi="Arial" w:cs="Arial"/>
        </w:rPr>
      </w:pPr>
      <w:r w:rsidRPr="00B10871">
        <w:rPr>
          <w:rFonts w:ascii="Arial" w:hAnsi="Arial" w:cs="Arial"/>
        </w:rPr>
        <w:t xml:space="preserve">NHS (2024) </w:t>
      </w:r>
      <w:r w:rsidRPr="00B10871">
        <w:rPr>
          <w:rFonts w:ascii="Arial" w:hAnsi="Arial" w:cs="Arial"/>
          <w:i/>
          <w:iCs/>
        </w:rPr>
        <w:t>Rule 2: Members of a Care Team Should Share Confidential Information When It Is Needed for the Safe and Effective Care of an Individual</w:t>
      </w:r>
      <w:r w:rsidRPr="00B10871">
        <w:rPr>
          <w:rFonts w:ascii="Arial" w:hAnsi="Arial" w:cs="Arial"/>
        </w:rPr>
        <w:t xml:space="preserve">, </w:t>
      </w:r>
      <w:r w:rsidRPr="00B10871">
        <w:rPr>
          <w:rFonts w:ascii="Arial" w:hAnsi="Arial" w:cs="Arial"/>
          <w:i/>
          <w:iCs/>
        </w:rPr>
        <w:t>NHS Digital</w:t>
      </w:r>
      <w:r w:rsidRPr="00B10871">
        <w:rPr>
          <w:rFonts w:ascii="Arial" w:hAnsi="Arial" w:cs="Arial"/>
        </w:rPr>
        <w:t xml:space="preserve">. Available at: </w:t>
      </w:r>
      <w:hyperlink r:id="rId13" w:history="1">
        <w:r w:rsidRPr="00B10871">
          <w:rPr>
            <w:rStyle w:val="Hyperlink"/>
            <w:rFonts w:ascii="Arial" w:hAnsi="Arial" w:cs="Arial"/>
          </w:rPr>
          <w:t>https://digital.nhs.uk/data-and-information/looking-after-information/data-security-and-information-governance/codes-of-practice-for-handling-information-in-health-and-care/a-guide-to-confidentiality-in-health-and-social-care/a-guide-to-confidentiality/rule-2</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17 March 2026)</w:t>
      </w:r>
    </w:p>
    <w:p w14:paraId="790F45EE" w14:textId="01B6DBAC" w:rsidR="00B10871" w:rsidRPr="00B10871" w:rsidRDefault="00B10871" w:rsidP="00B10871">
      <w:pPr>
        <w:rPr>
          <w:rFonts w:ascii="Arial" w:hAnsi="Arial" w:cs="Arial"/>
        </w:rPr>
      </w:pPr>
      <w:r w:rsidRPr="00B10871">
        <w:rPr>
          <w:rFonts w:ascii="Arial" w:hAnsi="Arial" w:cs="Arial"/>
        </w:rPr>
        <w:t xml:space="preserve">NHS England (2018) </w:t>
      </w:r>
      <w:r w:rsidRPr="00B10871">
        <w:rPr>
          <w:rFonts w:ascii="Arial" w:hAnsi="Arial" w:cs="Arial"/>
          <w:i/>
          <w:iCs/>
        </w:rPr>
        <w:t>Multidisciplinary Team Working</w:t>
      </w:r>
      <w:r w:rsidRPr="00B10871">
        <w:rPr>
          <w:rFonts w:ascii="Arial" w:hAnsi="Arial" w:cs="Arial"/>
        </w:rPr>
        <w:t xml:space="preserve">, </w:t>
      </w:r>
      <w:r w:rsidRPr="00B10871">
        <w:rPr>
          <w:rFonts w:ascii="Arial" w:hAnsi="Arial" w:cs="Arial"/>
          <w:i/>
          <w:iCs/>
        </w:rPr>
        <w:t>NHS England</w:t>
      </w:r>
      <w:r w:rsidRPr="00B10871">
        <w:rPr>
          <w:rFonts w:ascii="Arial" w:hAnsi="Arial" w:cs="Arial"/>
        </w:rPr>
        <w:t xml:space="preserve">. Available at: </w:t>
      </w:r>
      <w:hyperlink r:id="rId14" w:history="1">
        <w:r w:rsidRPr="00B10871">
          <w:rPr>
            <w:rStyle w:val="Hyperlink"/>
            <w:rFonts w:ascii="Arial" w:hAnsi="Arial" w:cs="Arial"/>
          </w:rPr>
          <w:t>https://www.england.nhs.uk/improvement-hub/wp-content/uploads/sites/44/2020/06/Productive-community-hospital-Multi-Team-Working.pdf</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18 March 2026)</w:t>
      </w:r>
    </w:p>
    <w:p w14:paraId="59FAC328" w14:textId="6D9317DA" w:rsidR="00B10871" w:rsidRPr="00B10871" w:rsidRDefault="00B10871" w:rsidP="00B10871">
      <w:pPr>
        <w:rPr>
          <w:rFonts w:ascii="Arial" w:hAnsi="Arial" w:cs="Arial"/>
        </w:rPr>
      </w:pPr>
      <w:r w:rsidRPr="00B10871">
        <w:rPr>
          <w:rFonts w:ascii="Arial" w:hAnsi="Arial" w:cs="Arial"/>
        </w:rPr>
        <w:t xml:space="preserve">NHS England (2022) </w:t>
      </w:r>
      <w:r w:rsidRPr="00B10871">
        <w:rPr>
          <w:rFonts w:ascii="Arial" w:hAnsi="Arial" w:cs="Arial"/>
          <w:i/>
          <w:iCs/>
        </w:rPr>
        <w:t>High quality patient records</w:t>
      </w:r>
      <w:r w:rsidRPr="00B10871">
        <w:rPr>
          <w:rFonts w:ascii="Arial" w:hAnsi="Arial" w:cs="Arial"/>
        </w:rPr>
        <w:t xml:space="preserve">, </w:t>
      </w:r>
      <w:r w:rsidRPr="00B10871">
        <w:rPr>
          <w:rFonts w:ascii="Arial" w:hAnsi="Arial" w:cs="Arial"/>
          <w:i/>
          <w:iCs/>
        </w:rPr>
        <w:t>NHS England</w:t>
      </w:r>
      <w:r w:rsidRPr="00B10871">
        <w:rPr>
          <w:rFonts w:ascii="Arial" w:hAnsi="Arial" w:cs="Arial"/>
        </w:rPr>
        <w:t xml:space="preserve">. Available at: </w:t>
      </w:r>
      <w:hyperlink r:id="rId15" w:history="1">
        <w:r w:rsidRPr="00B10871">
          <w:rPr>
            <w:rStyle w:val="Hyperlink"/>
            <w:rFonts w:ascii="Arial" w:hAnsi="Arial" w:cs="Arial"/>
          </w:rPr>
          <w:t>https://www.england.nhs.uk/long-read/high-quality-patient-records/</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18 March 2026)</w:t>
      </w:r>
    </w:p>
    <w:p w14:paraId="041DAD93" w14:textId="02AB686A" w:rsidR="00B10871" w:rsidRPr="00B10871" w:rsidRDefault="00B10871" w:rsidP="00B10871">
      <w:pPr>
        <w:rPr>
          <w:rFonts w:ascii="Arial" w:hAnsi="Arial" w:cs="Arial"/>
        </w:rPr>
      </w:pPr>
      <w:r w:rsidRPr="00B10871">
        <w:rPr>
          <w:rFonts w:ascii="Arial" w:hAnsi="Arial" w:cs="Arial"/>
        </w:rPr>
        <w:t xml:space="preserve">NHS England (2023a) </w:t>
      </w:r>
      <w:r w:rsidRPr="00B10871">
        <w:rPr>
          <w:rFonts w:ascii="Arial" w:hAnsi="Arial" w:cs="Arial"/>
          <w:i/>
          <w:iCs/>
        </w:rPr>
        <w:t>Towards a Unified Vision of Nursing and Midwifery Documentation</w:t>
      </w:r>
      <w:r w:rsidRPr="00B10871">
        <w:rPr>
          <w:rFonts w:ascii="Arial" w:hAnsi="Arial" w:cs="Arial"/>
        </w:rPr>
        <w:t xml:space="preserve">, </w:t>
      </w:r>
      <w:r w:rsidRPr="00B10871">
        <w:rPr>
          <w:rFonts w:ascii="Arial" w:hAnsi="Arial" w:cs="Arial"/>
          <w:i/>
          <w:iCs/>
        </w:rPr>
        <w:t>NHS England</w:t>
      </w:r>
      <w:r w:rsidRPr="00B10871">
        <w:rPr>
          <w:rFonts w:ascii="Arial" w:hAnsi="Arial" w:cs="Arial"/>
        </w:rPr>
        <w:t xml:space="preserve">. Available at: </w:t>
      </w:r>
      <w:hyperlink r:id="rId16" w:history="1">
        <w:r w:rsidRPr="00B10871">
          <w:rPr>
            <w:rStyle w:val="Hyperlink"/>
            <w:rFonts w:ascii="Arial" w:hAnsi="Arial" w:cs="Arial"/>
          </w:rPr>
          <w:t>https://www.england.nhs.uk/long-read/towards-a-unified-vision-of-nursing-and-midwifery-documentation/</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19 March 2026)</w:t>
      </w:r>
    </w:p>
    <w:p w14:paraId="0198A44B" w14:textId="64A1F3C1" w:rsidR="00B10871" w:rsidRPr="00B10871" w:rsidRDefault="00B10871" w:rsidP="00B10871">
      <w:pPr>
        <w:rPr>
          <w:rFonts w:ascii="Arial" w:hAnsi="Arial" w:cs="Arial"/>
        </w:rPr>
      </w:pPr>
      <w:r w:rsidRPr="00B10871">
        <w:rPr>
          <w:rFonts w:ascii="Arial" w:hAnsi="Arial" w:cs="Arial"/>
        </w:rPr>
        <w:t xml:space="preserve">NHS England (2023b) </w:t>
      </w:r>
      <w:r w:rsidRPr="00B10871">
        <w:rPr>
          <w:rFonts w:ascii="Arial" w:hAnsi="Arial" w:cs="Arial"/>
          <w:i/>
          <w:iCs/>
        </w:rPr>
        <w:t>Towards a Unified Vision of Nursing and Midwifery Documentation</w:t>
      </w:r>
      <w:r w:rsidRPr="00B10871">
        <w:rPr>
          <w:rFonts w:ascii="Arial" w:hAnsi="Arial" w:cs="Arial"/>
        </w:rPr>
        <w:t xml:space="preserve">, </w:t>
      </w:r>
      <w:r w:rsidRPr="00B10871">
        <w:rPr>
          <w:rFonts w:ascii="Arial" w:hAnsi="Arial" w:cs="Arial"/>
          <w:i/>
          <w:iCs/>
        </w:rPr>
        <w:t>NHS England</w:t>
      </w:r>
      <w:r w:rsidRPr="00B10871">
        <w:rPr>
          <w:rFonts w:ascii="Arial" w:hAnsi="Arial" w:cs="Arial"/>
        </w:rPr>
        <w:t xml:space="preserve">. Available at: </w:t>
      </w:r>
      <w:hyperlink r:id="rId17" w:history="1">
        <w:r w:rsidRPr="00B10871">
          <w:rPr>
            <w:rStyle w:val="Hyperlink"/>
            <w:rFonts w:ascii="Arial" w:hAnsi="Arial" w:cs="Arial"/>
          </w:rPr>
          <w:t>https://www.england.nhs.uk/long-read/towards-a-unified-vision-of-nursing-and-midwifery-documentation/</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19 March 2026)</w:t>
      </w:r>
    </w:p>
    <w:p w14:paraId="57E37416" w14:textId="4A7E5FBA" w:rsidR="00B10871" w:rsidRPr="00B10871" w:rsidRDefault="00B10871" w:rsidP="00B10871">
      <w:pPr>
        <w:rPr>
          <w:rFonts w:ascii="Arial" w:hAnsi="Arial" w:cs="Arial"/>
        </w:rPr>
      </w:pPr>
      <w:r w:rsidRPr="00B10871">
        <w:rPr>
          <w:rFonts w:ascii="Arial" w:hAnsi="Arial" w:cs="Arial"/>
        </w:rPr>
        <w:t xml:space="preserve">NHS England (2023c) </w:t>
      </w:r>
      <w:r w:rsidRPr="00B10871">
        <w:rPr>
          <w:rFonts w:ascii="Arial" w:hAnsi="Arial" w:cs="Arial"/>
          <w:i/>
          <w:iCs/>
        </w:rPr>
        <w:t>Working in Partnership with People and communities: Statutory Guidance</w:t>
      </w:r>
      <w:r w:rsidRPr="00B10871">
        <w:rPr>
          <w:rFonts w:ascii="Arial" w:hAnsi="Arial" w:cs="Arial"/>
        </w:rPr>
        <w:t xml:space="preserve">, </w:t>
      </w:r>
      <w:r w:rsidRPr="00B10871">
        <w:rPr>
          <w:rFonts w:ascii="Arial" w:hAnsi="Arial" w:cs="Arial"/>
          <w:i/>
          <w:iCs/>
        </w:rPr>
        <w:t>NHS England</w:t>
      </w:r>
      <w:r w:rsidRPr="00B10871">
        <w:rPr>
          <w:rFonts w:ascii="Arial" w:hAnsi="Arial" w:cs="Arial"/>
        </w:rPr>
        <w:t xml:space="preserve">. Available at: </w:t>
      </w:r>
      <w:hyperlink r:id="rId18" w:history="1">
        <w:r w:rsidRPr="00B10871">
          <w:rPr>
            <w:rStyle w:val="Hyperlink"/>
            <w:rFonts w:ascii="Arial" w:hAnsi="Arial" w:cs="Arial"/>
          </w:rPr>
          <w:t>https://www.england.nhs.uk/long-read/working-in-partnership-with-people-and-communities-statutory-guidance/</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20 March 2026)</w:t>
      </w:r>
    </w:p>
    <w:p w14:paraId="4BE95B97" w14:textId="7E0B49F5" w:rsidR="00B10871" w:rsidRPr="00B10871" w:rsidRDefault="00B10871" w:rsidP="00B10871">
      <w:pPr>
        <w:rPr>
          <w:rFonts w:ascii="Arial" w:hAnsi="Arial" w:cs="Arial"/>
        </w:rPr>
      </w:pPr>
      <w:r w:rsidRPr="00B10871">
        <w:rPr>
          <w:rFonts w:ascii="Arial" w:hAnsi="Arial" w:cs="Arial"/>
        </w:rPr>
        <w:t xml:space="preserve">NHS England (2024) </w:t>
      </w:r>
      <w:r w:rsidRPr="00B10871">
        <w:rPr>
          <w:rFonts w:ascii="Arial" w:hAnsi="Arial" w:cs="Arial"/>
          <w:i/>
          <w:iCs/>
        </w:rPr>
        <w:t>Person-centred Care</w:t>
      </w:r>
      <w:r w:rsidRPr="00B10871">
        <w:rPr>
          <w:rFonts w:ascii="Arial" w:hAnsi="Arial" w:cs="Arial"/>
        </w:rPr>
        <w:t xml:space="preserve">, </w:t>
      </w:r>
      <w:r w:rsidRPr="00B10871">
        <w:rPr>
          <w:rFonts w:ascii="Arial" w:hAnsi="Arial" w:cs="Arial"/>
          <w:i/>
          <w:iCs/>
        </w:rPr>
        <w:t>NHS England</w:t>
      </w:r>
      <w:r w:rsidRPr="00B10871">
        <w:rPr>
          <w:rFonts w:ascii="Arial" w:hAnsi="Arial" w:cs="Arial"/>
        </w:rPr>
        <w:t xml:space="preserve">. Available at: </w:t>
      </w:r>
      <w:hyperlink r:id="rId19" w:history="1">
        <w:r w:rsidRPr="00B10871">
          <w:rPr>
            <w:rStyle w:val="Hyperlink"/>
            <w:rFonts w:ascii="Arial" w:hAnsi="Arial" w:cs="Arial"/>
          </w:rPr>
          <w:t>https://www.hee.nhs.uk/our-work/person-centred-care</w:t>
        </w:r>
      </w:hyperlink>
      <w:r w:rsidRPr="00B10871">
        <w:rPr>
          <w:rFonts w:ascii="Arial" w:hAnsi="Arial" w:cs="Arial"/>
        </w:rPr>
        <w:t>.</w:t>
      </w:r>
      <w:r>
        <w:rPr>
          <w:rFonts w:ascii="Arial" w:hAnsi="Arial" w:cs="Arial"/>
        </w:rPr>
        <w:t xml:space="preserve"> (Accessed 20 March 2026)</w:t>
      </w:r>
    </w:p>
    <w:p w14:paraId="526B8EDD" w14:textId="787561DA" w:rsidR="00B10871" w:rsidRPr="00B10871" w:rsidRDefault="00B10871" w:rsidP="00B10871">
      <w:pPr>
        <w:rPr>
          <w:rFonts w:ascii="Arial" w:hAnsi="Arial" w:cs="Arial"/>
        </w:rPr>
      </w:pPr>
      <w:r w:rsidRPr="00B10871">
        <w:rPr>
          <w:rFonts w:ascii="Arial" w:hAnsi="Arial" w:cs="Arial"/>
        </w:rPr>
        <w:t xml:space="preserve">NHS England (2025) </w:t>
      </w:r>
      <w:r w:rsidRPr="00B10871">
        <w:rPr>
          <w:rFonts w:ascii="Arial" w:hAnsi="Arial" w:cs="Arial"/>
          <w:i/>
          <w:iCs/>
        </w:rPr>
        <w:t>NHS England» Improvement framework: community language translation and interpreting services</w:t>
      </w:r>
      <w:r w:rsidRPr="00B10871">
        <w:rPr>
          <w:rFonts w:ascii="Arial" w:hAnsi="Arial" w:cs="Arial"/>
        </w:rPr>
        <w:t xml:space="preserve">, </w:t>
      </w:r>
      <w:r w:rsidRPr="00B10871">
        <w:rPr>
          <w:rFonts w:ascii="Arial" w:hAnsi="Arial" w:cs="Arial"/>
          <w:i/>
          <w:iCs/>
        </w:rPr>
        <w:t>England.nhs.uk</w:t>
      </w:r>
      <w:r w:rsidRPr="00B10871">
        <w:rPr>
          <w:rFonts w:ascii="Arial" w:hAnsi="Arial" w:cs="Arial"/>
        </w:rPr>
        <w:t xml:space="preserve">. Available at: </w:t>
      </w:r>
      <w:hyperlink r:id="rId20" w:history="1">
        <w:r w:rsidRPr="00B10871">
          <w:rPr>
            <w:rStyle w:val="Hyperlink"/>
            <w:rFonts w:ascii="Arial" w:hAnsi="Arial" w:cs="Arial"/>
          </w:rPr>
          <w:t>https://www.england.nhs.uk/long-read/improvement-framework-community-language-translation-and-interpreting-services/</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20 March 2026)</w:t>
      </w:r>
    </w:p>
    <w:p w14:paraId="03549A6B" w14:textId="2FB6FB78" w:rsidR="00B10871" w:rsidRPr="00B10871" w:rsidRDefault="00B10871" w:rsidP="00B10871">
      <w:pPr>
        <w:rPr>
          <w:rFonts w:ascii="Arial" w:hAnsi="Arial" w:cs="Arial"/>
        </w:rPr>
      </w:pPr>
      <w:r w:rsidRPr="00B10871">
        <w:rPr>
          <w:rFonts w:ascii="Arial" w:hAnsi="Arial" w:cs="Arial"/>
        </w:rPr>
        <w:t xml:space="preserve">Nursing and Midwifery Council (2024) </w:t>
      </w:r>
      <w:r w:rsidRPr="00B10871">
        <w:rPr>
          <w:rFonts w:ascii="Arial" w:hAnsi="Arial" w:cs="Arial"/>
          <w:i/>
          <w:iCs/>
        </w:rPr>
        <w:t>Data protection policy</w:t>
      </w:r>
      <w:r w:rsidRPr="00B10871">
        <w:rPr>
          <w:rFonts w:ascii="Arial" w:hAnsi="Arial" w:cs="Arial"/>
        </w:rPr>
        <w:t xml:space="preserve">. Available at: </w:t>
      </w:r>
      <w:hyperlink r:id="rId21" w:history="1">
        <w:r w:rsidRPr="00B10871">
          <w:rPr>
            <w:rStyle w:val="Hyperlink"/>
            <w:rFonts w:ascii="Arial" w:hAnsi="Arial" w:cs="Arial"/>
          </w:rPr>
          <w:t>https://www.nmc.org.uk/globalassets/sitedocuments/data-protection/data-protection-policy.pdf</w:t>
        </w:r>
      </w:hyperlink>
      <w:r w:rsidRPr="00B10871">
        <w:rPr>
          <w:rFonts w:ascii="Arial" w:hAnsi="Arial" w:cs="Arial"/>
        </w:rPr>
        <w:t>.</w:t>
      </w:r>
      <w:r>
        <w:rPr>
          <w:rFonts w:ascii="Arial" w:hAnsi="Arial" w:cs="Arial"/>
        </w:rPr>
        <w:t xml:space="preserve"> (Accessed 21 March 2026)</w:t>
      </w:r>
    </w:p>
    <w:p w14:paraId="5FB49E16" w14:textId="4FC83719" w:rsidR="00B10871" w:rsidRPr="00B10871" w:rsidRDefault="00B10871" w:rsidP="00B10871">
      <w:pPr>
        <w:rPr>
          <w:rFonts w:ascii="Arial" w:hAnsi="Arial" w:cs="Arial"/>
        </w:rPr>
      </w:pPr>
      <w:r w:rsidRPr="00B10871">
        <w:rPr>
          <w:rFonts w:ascii="Arial" w:hAnsi="Arial" w:cs="Arial"/>
        </w:rPr>
        <w:t xml:space="preserve">Pradelli, L. </w:t>
      </w:r>
      <w:r w:rsidRPr="00B10871">
        <w:rPr>
          <w:rFonts w:ascii="Arial" w:hAnsi="Arial" w:cs="Arial"/>
          <w:i/>
          <w:iCs/>
        </w:rPr>
        <w:t>et al.</w:t>
      </w:r>
      <w:r w:rsidRPr="00B10871">
        <w:rPr>
          <w:rFonts w:ascii="Arial" w:hAnsi="Arial" w:cs="Arial"/>
        </w:rPr>
        <w:t xml:space="preserve"> (2025) ‘Healthcare professional perspective on barriers and facilitators of multidisciplinary team working in acute care setting: a systematic review and meta-synthesis’, </w:t>
      </w:r>
      <w:r w:rsidRPr="00B10871">
        <w:rPr>
          <w:rFonts w:ascii="Arial" w:hAnsi="Arial" w:cs="Arial"/>
          <w:i/>
          <w:iCs/>
        </w:rPr>
        <w:t>BMJ open</w:t>
      </w:r>
      <w:r w:rsidRPr="00B10871">
        <w:rPr>
          <w:rFonts w:ascii="Arial" w:hAnsi="Arial" w:cs="Arial"/>
        </w:rPr>
        <w:t xml:space="preserve">, 15(3). Available at: </w:t>
      </w:r>
      <w:hyperlink r:id="rId22" w:history="1">
        <w:r w:rsidRPr="00B10871">
          <w:rPr>
            <w:rStyle w:val="Hyperlink"/>
            <w:rFonts w:ascii="Arial" w:hAnsi="Arial" w:cs="Arial"/>
          </w:rPr>
          <w:t>https://doi.org/10.1136/bmjopen-2024-087268</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22 March 2026)</w:t>
      </w:r>
    </w:p>
    <w:p w14:paraId="2F219A12" w14:textId="232EE757" w:rsidR="00B10871" w:rsidRPr="00B10871" w:rsidRDefault="00B10871" w:rsidP="00B10871">
      <w:pPr>
        <w:rPr>
          <w:rFonts w:ascii="Arial" w:hAnsi="Arial" w:cs="Arial"/>
        </w:rPr>
      </w:pPr>
      <w:r w:rsidRPr="00B10871">
        <w:rPr>
          <w:rFonts w:ascii="Arial" w:hAnsi="Arial" w:cs="Arial"/>
        </w:rPr>
        <w:t xml:space="preserve">UK Government (2025) </w:t>
      </w:r>
      <w:r w:rsidRPr="00B10871">
        <w:rPr>
          <w:rFonts w:ascii="Arial" w:hAnsi="Arial" w:cs="Arial"/>
          <w:i/>
          <w:iCs/>
        </w:rPr>
        <w:t>Data Protection Act</w:t>
      </w:r>
      <w:r w:rsidRPr="00B10871">
        <w:rPr>
          <w:rFonts w:ascii="Arial" w:hAnsi="Arial" w:cs="Arial"/>
        </w:rPr>
        <w:t xml:space="preserve">, </w:t>
      </w:r>
      <w:r w:rsidRPr="00B10871">
        <w:rPr>
          <w:rFonts w:ascii="Arial" w:hAnsi="Arial" w:cs="Arial"/>
          <w:i/>
          <w:iCs/>
        </w:rPr>
        <w:t>Gov.uk</w:t>
      </w:r>
      <w:r w:rsidRPr="00B10871">
        <w:rPr>
          <w:rFonts w:ascii="Arial" w:hAnsi="Arial" w:cs="Arial"/>
        </w:rPr>
        <w:t xml:space="preserve">. www.gov.uk. Available at: </w:t>
      </w:r>
      <w:hyperlink r:id="rId23" w:history="1">
        <w:r w:rsidRPr="00B10871">
          <w:rPr>
            <w:rStyle w:val="Hyperlink"/>
            <w:rFonts w:ascii="Arial" w:hAnsi="Arial" w:cs="Arial"/>
          </w:rPr>
          <w:t>https://www.gov.uk/data-protection</w:t>
        </w:r>
      </w:hyperlink>
      <w:r w:rsidRPr="00B10871">
        <w:rPr>
          <w:rFonts w:ascii="Arial" w:hAnsi="Arial" w:cs="Arial"/>
        </w:rPr>
        <w:t>.</w:t>
      </w:r>
      <w:r>
        <w:rPr>
          <w:rFonts w:ascii="Arial" w:hAnsi="Arial" w:cs="Arial"/>
        </w:rPr>
        <w:t xml:space="preserve"> </w:t>
      </w:r>
      <w:proofErr w:type="gramStart"/>
      <w:r>
        <w:rPr>
          <w:rFonts w:ascii="Arial" w:hAnsi="Arial" w:cs="Arial"/>
        </w:rPr>
        <w:t>( Accessed</w:t>
      </w:r>
      <w:proofErr w:type="gramEnd"/>
      <w:r>
        <w:rPr>
          <w:rFonts w:ascii="Arial" w:hAnsi="Arial" w:cs="Arial"/>
        </w:rPr>
        <w:t xml:space="preserve"> 23 March 2026)</w:t>
      </w:r>
    </w:p>
    <w:p w14:paraId="37207A7C" w14:textId="1FE9E4A1" w:rsidR="00B10871" w:rsidRPr="00B10871" w:rsidRDefault="00B10871" w:rsidP="00B10871">
      <w:pPr>
        <w:rPr>
          <w:rFonts w:ascii="Arial" w:hAnsi="Arial" w:cs="Arial"/>
        </w:rPr>
      </w:pPr>
      <w:r w:rsidRPr="00B10871">
        <w:rPr>
          <w:rFonts w:ascii="Arial" w:hAnsi="Arial" w:cs="Arial"/>
        </w:rPr>
        <w:t xml:space="preserve">Will, K.K., Johnson, M.L. and Lamb, G. (2020) ‘Team-Based Care and Patient Satisfaction in the Hospital Setting: A Systematic Review’, </w:t>
      </w:r>
      <w:r w:rsidRPr="00B10871">
        <w:rPr>
          <w:rFonts w:ascii="Arial" w:hAnsi="Arial" w:cs="Arial"/>
          <w:i/>
          <w:iCs/>
        </w:rPr>
        <w:t>Journal of Patient-</w:t>
      </w:r>
      <w:proofErr w:type="spellStart"/>
      <w:r w:rsidRPr="00B10871">
        <w:rPr>
          <w:rFonts w:ascii="Arial" w:hAnsi="Arial" w:cs="Arial"/>
          <w:i/>
          <w:iCs/>
        </w:rPr>
        <w:t>Centered</w:t>
      </w:r>
      <w:proofErr w:type="spellEnd"/>
      <w:r w:rsidRPr="00B10871">
        <w:rPr>
          <w:rFonts w:ascii="Arial" w:hAnsi="Arial" w:cs="Arial"/>
          <w:i/>
          <w:iCs/>
        </w:rPr>
        <w:t xml:space="preserve"> Research and Reviews</w:t>
      </w:r>
      <w:r w:rsidRPr="00B10871">
        <w:rPr>
          <w:rFonts w:ascii="Arial" w:hAnsi="Arial" w:cs="Arial"/>
        </w:rPr>
        <w:t xml:space="preserve">, 6(2), pp. 158–171. Available at: </w:t>
      </w:r>
      <w:hyperlink r:id="rId24" w:history="1">
        <w:r w:rsidRPr="00B10871">
          <w:rPr>
            <w:rStyle w:val="Hyperlink"/>
            <w:rFonts w:ascii="Arial" w:hAnsi="Arial" w:cs="Arial"/>
          </w:rPr>
          <w:t>https://doi.org/10.17294/2330-0698.1695</w:t>
        </w:r>
      </w:hyperlink>
      <w:r w:rsidRPr="00B10871">
        <w:rPr>
          <w:rFonts w:ascii="Arial" w:hAnsi="Arial" w:cs="Arial"/>
        </w:rPr>
        <w:t>.</w:t>
      </w:r>
      <w:r>
        <w:rPr>
          <w:rFonts w:ascii="Arial" w:hAnsi="Arial" w:cs="Arial"/>
        </w:rPr>
        <w:t xml:space="preserve"> (Accessed 23 March 2026)</w:t>
      </w:r>
    </w:p>
    <w:p w14:paraId="2A1B5682" w14:textId="77777777" w:rsidR="00145802" w:rsidRPr="00B10871" w:rsidRDefault="00145802" w:rsidP="00145802">
      <w:pPr>
        <w:rPr>
          <w:rFonts w:ascii="Arial" w:hAnsi="Arial" w:cs="Arial"/>
        </w:rPr>
      </w:pPr>
    </w:p>
    <w:sectPr w:rsidR="00145802" w:rsidRPr="00B108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F65"/>
    <w:rsid w:val="000841C9"/>
    <w:rsid w:val="000A50DA"/>
    <w:rsid w:val="000B1417"/>
    <w:rsid w:val="000D2AF9"/>
    <w:rsid w:val="00145802"/>
    <w:rsid w:val="001929E5"/>
    <w:rsid w:val="00195A0E"/>
    <w:rsid w:val="002B6C27"/>
    <w:rsid w:val="002C2F13"/>
    <w:rsid w:val="00307A4D"/>
    <w:rsid w:val="003A662B"/>
    <w:rsid w:val="00456618"/>
    <w:rsid w:val="004850FB"/>
    <w:rsid w:val="00547ACB"/>
    <w:rsid w:val="006021AB"/>
    <w:rsid w:val="00603443"/>
    <w:rsid w:val="0065221E"/>
    <w:rsid w:val="006E302F"/>
    <w:rsid w:val="00751F65"/>
    <w:rsid w:val="00820FEA"/>
    <w:rsid w:val="008D4655"/>
    <w:rsid w:val="00932608"/>
    <w:rsid w:val="00A327A2"/>
    <w:rsid w:val="00A60B9D"/>
    <w:rsid w:val="00B10871"/>
    <w:rsid w:val="00B76825"/>
    <w:rsid w:val="00C60866"/>
    <w:rsid w:val="00CB5B5A"/>
    <w:rsid w:val="00D33F6E"/>
    <w:rsid w:val="00D61798"/>
    <w:rsid w:val="00DB77A0"/>
    <w:rsid w:val="00E03170"/>
    <w:rsid w:val="00E72ECB"/>
    <w:rsid w:val="00EC409C"/>
    <w:rsid w:val="00FE0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BFFA2"/>
  <w15:chartTrackingRefBased/>
  <w15:docId w15:val="{48057CF6-167E-4C80-95B0-07DD4615D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F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1F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1F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F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F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F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F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F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F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F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F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F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F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F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F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F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F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F65"/>
    <w:rPr>
      <w:rFonts w:eastAsiaTheme="majorEastAsia" w:cstheme="majorBidi"/>
      <w:color w:val="272727" w:themeColor="text1" w:themeTint="D8"/>
    </w:rPr>
  </w:style>
  <w:style w:type="paragraph" w:styleId="Title">
    <w:name w:val="Title"/>
    <w:basedOn w:val="Normal"/>
    <w:next w:val="Normal"/>
    <w:link w:val="TitleChar"/>
    <w:uiPriority w:val="10"/>
    <w:qFormat/>
    <w:rsid w:val="00751F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F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F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F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F65"/>
    <w:pPr>
      <w:spacing w:before="160"/>
      <w:jc w:val="center"/>
    </w:pPr>
    <w:rPr>
      <w:i/>
      <w:iCs/>
      <w:color w:val="404040" w:themeColor="text1" w:themeTint="BF"/>
    </w:rPr>
  </w:style>
  <w:style w:type="character" w:customStyle="1" w:styleId="QuoteChar">
    <w:name w:val="Quote Char"/>
    <w:basedOn w:val="DefaultParagraphFont"/>
    <w:link w:val="Quote"/>
    <w:uiPriority w:val="29"/>
    <w:rsid w:val="00751F65"/>
    <w:rPr>
      <w:i/>
      <w:iCs/>
      <w:color w:val="404040" w:themeColor="text1" w:themeTint="BF"/>
    </w:rPr>
  </w:style>
  <w:style w:type="paragraph" w:styleId="ListParagraph">
    <w:name w:val="List Paragraph"/>
    <w:basedOn w:val="Normal"/>
    <w:uiPriority w:val="34"/>
    <w:qFormat/>
    <w:rsid w:val="00751F65"/>
    <w:pPr>
      <w:ind w:left="720"/>
      <w:contextualSpacing/>
    </w:pPr>
  </w:style>
  <w:style w:type="character" w:styleId="IntenseEmphasis">
    <w:name w:val="Intense Emphasis"/>
    <w:basedOn w:val="DefaultParagraphFont"/>
    <w:uiPriority w:val="21"/>
    <w:qFormat/>
    <w:rsid w:val="00751F65"/>
    <w:rPr>
      <w:i/>
      <w:iCs/>
      <w:color w:val="0F4761" w:themeColor="accent1" w:themeShade="BF"/>
    </w:rPr>
  </w:style>
  <w:style w:type="paragraph" w:styleId="IntenseQuote">
    <w:name w:val="Intense Quote"/>
    <w:basedOn w:val="Normal"/>
    <w:next w:val="Normal"/>
    <w:link w:val="IntenseQuoteChar"/>
    <w:uiPriority w:val="30"/>
    <w:qFormat/>
    <w:rsid w:val="00751F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F65"/>
    <w:rPr>
      <w:i/>
      <w:iCs/>
      <w:color w:val="0F4761" w:themeColor="accent1" w:themeShade="BF"/>
    </w:rPr>
  </w:style>
  <w:style w:type="character" w:styleId="IntenseReference">
    <w:name w:val="Intense Reference"/>
    <w:basedOn w:val="DefaultParagraphFont"/>
    <w:uiPriority w:val="32"/>
    <w:qFormat/>
    <w:rsid w:val="00751F65"/>
    <w:rPr>
      <w:b/>
      <w:bCs/>
      <w:smallCaps/>
      <w:color w:val="0F4761" w:themeColor="accent1" w:themeShade="BF"/>
      <w:spacing w:val="5"/>
    </w:rPr>
  </w:style>
  <w:style w:type="table" w:styleId="TableGrid">
    <w:name w:val="Table Grid"/>
    <w:basedOn w:val="TableNormal"/>
    <w:uiPriority w:val="39"/>
    <w:rsid w:val="001929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0871"/>
    <w:rPr>
      <w:color w:val="467886" w:themeColor="hyperlink"/>
      <w:u w:val="single"/>
    </w:rPr>
  </w:style>
  <w:style w:type="character" w:styleId="UnresolvedMention">
    <w:name w:val="Unresolved Mention"/>
    <w:basedOn w:val="DefaultParagraphFont"/>
    <w:uiPriority w:val="99"/>
    <w:semiHidden/>
    <w:unhideWhenUsed/>
    <w:rsid w:val="00B108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healthcare13212794" TargetMode="External"/><Relationship Id="rId13" Type="http://schemas.openxmlformats.org/officeDocument/2006/relationships/hyperlink" Target="https://digital.nhs.uk/data-and-information/looking-after-information/data-security-and-information-governance/codes-of-practice-for-handling-information-in-health-and-care/a-guide-to-confidentiality-in-health-and-social-care/a-guide-to-confidentiality/rule-2" TargetMode="External"/><Relationship Id="rId18" Type="http://schemas.openxmlformats.org/officeDocument/2006/relationships/hyperlink" Target="https://www.england.nhs.uk/long-read/working-in-partnership-with-people-and-communities-statutory-guidance/"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nmc.org.uk/globalassets/sitedocuments/data-protection/data-protection-policy.pdf" TargetMode="External"/><Relationship Id="rId7" Type="http://schemas.openxmlformats.org/officeDocument/2006/relationships/hyperlink" Target="https://www.cqc.org.uk/guidance-providers/adult-social-care/medicines-administration-records-adult-social-care" TargetMode="External"/><Relationship Id="rId12" Type="http://schemas.openxmlformats.org/officeDocument/2006/relationships/hyperlink" Target="https://doi.org/10.1136/bmjopen-2024-093399" TargetMode="External"/><Relationship Id="rId17" Type="http://schemas.openxmlformats.org/officeDocument/2006/relationships/hyperlink" Target="https://www.england.nhs.uk/long-read/towards-a-unified-vision-of-nursing-and-midwifery-documentation/"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ngland.nhs.uk/long-read/towards-a-unified-vision-of-nursing-and-midwifery-documentation/" TargetMode="External"/><Relationship Id="rId20" Type="http://schemas.openxmlformats.org/officeDocument/2006/relationships/hyperlink" Target="https://www.england.nhs.uk/long-read/improvement-framework-community-language-translation-and-interpreting-services/" TargetMode="External"/><Relationship Id="rId1" Type="http://schemas.openxmlformats.org/officeDocument/2006/relationships/styles" Target="styles.xml"/><Relationship Id="rId6" Type="http://schemas.openxmlformats.org/officeDocument/2006/relationships/hyperlink" Target="https://www.researchgate.net/publication/272964534_A_Conceptual_Foundation_for_the_Shannon-Weaver_Model_of_Communication" TargetMode="External"/><Relationship Id="rId11" Type="http://schemas.openxmlformats.org/officeDocument/2006/relationships/hyperlink" Target="https://doi.org/10.1136/bmjopen-2024-085312" TargetMode="External"/><Relationship Id="rId24" Type="http://schemas.openxmlformats.org/officeDocument/2006/relationships/hyperlink" Target="https://doi.org/10.17294/2330-0698.1695" TargetMode="External"/><Relationship Id="rId5" Type="http://schemas.openxmlformats.org/officeDocument/2006/relationships/hyperlink" Target="https://doi.org/10.5001/omj.2020.40" TargetMode="External"/><Relationship Id="rId15" Type="http://schemas.openxmlformats.org/officeDocument/2006/relationships/hyperlink" Target="https://www.england.nhs.uk/long-read/high-quality-patient-records/" TargetMode="External"/><Relationship Id="rId23" Type="http://schemas.openxmlformats.org/officeDocument/2006/relationships/hyperlink" Target="https://www.gov.uk/data-protection" TargetMode="External"/><Relationship Id="rId10" Type="http://schemas.openxmlformats.org/officeDocument/2006/relationships/hyperlink" Target="https://doi.org/10.1016/j.xjep.2025.100742" TargetMode="External"/><Relationship Id="rId19" Type="http://schemas.openxmlformats.org/officeDocument/2006/relationships/hyperlink" Target="https://www.hee.nhs.uk/our-work/person-centred-care" TargetMode="External"/><Relationship Id="rId4" Type="http://schemas.openxmlformats.org/officeDocument/2006/relationships/hyperlink" Target="https://www.researchgate.net/publication/390941503_The_Role_of_Nonverbal_Communication_A_Study_of_Body_Language_Tone_of_Voice_and_Facial_Expressions_in_Public_Speaking_and_Business_Communication" TargetMode="External"/><Relationship Id="rId9" Type="http://schemas.openxmlformats.org/officeDocument/2006/relationships/hyperlink" Target="https://www.gov.uk/guidance/equality-act-2010-guidance" TargetMode="External"/><Relationship Id="rId14" Type="http://schemas.openxmlformats.org/officeDocument/2006/relationships/hyperlink" Target="https://www.england.nhs.uk/improvement-hub/wp-content/uploads/sites/44/2020/06/Productive-community-hospital-Multi-Team-Working.pdf" TargetMode="External"/><Relationship Id="rId22" Type="http://schemas.openxmlformats.org/officeDocument/2006/relationships/hyperlink" Target="https://doi.org/10.1136/bmjopen-2024-0872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2964</Words>
  <Characters>16901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Anika Hussain (2319161)</dc:creator>
  <cp:keywords/>
  <dc:description/>
  <cp:lastModifiedBy>Saleem Hussain (2506895)</cp:lastModifiedBy>
  <cp:revision>2</cp:revision>
  <dcterms:created xsi:type="dcterms:W3CDTF">2026-03-26T22:46:00Z</dcterms:created>
  <dcterms:modified xsi:type="dcterms:W3CDTF">2026-03-26T22:46:00Z</dcterms:modified>
</cp:coreProperties>
</file>