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C342C" w14:textId="59DA561F" w:rsidR="00265C34" w:rsidRPr="005D2610" w:rsidRDefault="00265C34" w:rsidP="005D2610">
      <w:pPr>
        <w:spacing w:line="360" w:lineRule="auto"/>
        <w:jc w:val="center"/>
        <w:rPr>
          <w:rFonts w:ascii="Arial" w:hAnsi="Arial" w:cs="Arial"/>
          <w:b/>
          <w:sz w:val="22"/>
        </w:rPr>
      </w:pPr>
    </w:p>
    <w:p w14:paraId="2826D0CF" w14:textId="74255E1A" w:rsidR="00265C34" w:rsidRPr="005D2610" w:rsidRDefault="00265C34" w:rsidP="005D2610">
      <w:pPr>
        <w:spacing w:line="360" w:lineRule="auto"/>
        <w:jc w:val="center"/>
        <w:rPr>
          <w:rFonts w:ascii="Arial" w:hAnsi="Arial" w:cs="Arial"/>
          <w:b/>
          <w:sz w:val="22"/>
        </w:rPr>
      </w:pPr>
    </w:p>
    <w:p w14:paraId="58980188" w14:textId="5A7FA26F" w:rsidR="00265C34" w:rsidRPr="005D2610" w:rsidRDefault="00265C34" w:rsidP="005D2610">
      <w:pPr>
        <w:spacing w:line="360" w:lineRule="auto"/>
        <w:jc w:val="center"/>
        <w:rPr>
          <w:rFonts w:ascii="Arial" w:hAnsi="Arial" w:cs="Arial"/>
          <w:b/>
          <w:sz w:val="22"/>
        </w:rPr>
      </w:pPr>
    </w:p>
    <w:p w14:paraId="6D8768F8" w14:textId="7ED2DA77" w:rsidR="00265C34" w:rsidRPr="005D2610" w:rsidRDefault="00265C34" w:rsidP="005D2610">
      <w:pPr>
        <w:spacing w:line="360" w:lineRule="auto"/>
        <w:jc w:val="center"/>
        <w:rPr>
          <w:rFonts w:ascii="Arial" w:hAnsi="Arial" w:cs="Arial"/>
          <w:b/>
          <w:sz w:val="22"/>
        </w:rPr>
      </w:pPr>
    </w:p>
    <w:p w14:paraId="7A14087B" w14:textId="6D963D42" w:rsidR="00265C34" w:rsidRPr="005D2610" w:rsidRDefault="00265C34" w:rsidP="005D2610">
      <w:pPr>
        <w:spacing w:line="360" w:lineRule="auto"/>
        <w:jc w:val="center"/>
        <w:rPr>
          <w:rFonts w:ascii="Arial" w:hAnsi="Arial" w:cs="Arial"/>
          <w:b/>
          <w:sz w:val="22"/>
        </w:rPr>
      </w:pPr>
    </w:p>
    <w:p w14:paraId="37B90071" w14:textId="4F52C571" w:rsidR="00265C34" w:rsidRPr="005D2610" w:rsidRDefault="00265C34" w:rsidP="005D2610">
      <w:pPr>
        <w:spacing w:line="360" w:lineRule="auto"/>
        <w:jc w:val="center"/>
        <w:rPr>
          <w:rFonts w:ascii="Arial" w:hAnsi="Arial" w:cs="Arial"/>
          <w:b/>
          <w:sz w:val="22"/>
        </w:rPr>
      </w:pPr>
    </w:p>
    <w:p w14:paraId="356D6A73" w14:textId="419994EB" w:rsidR="00265C34" w:rsidRPr="005D2610" w:rsidRDefault="00265C34" w:rsidP="005D2610">
      <w:pPr>
        <w:spacing w:line="360" w:lineRule="auto"/>
        <w:jc w:val="center"/>
        <w:rPr>
          <w:rFonts w:ascii="Arial" w:hAnsi="Arial" w:cs="Arial"/>
          <w:b/>
          <w:sz w:val="22"/>
        </w:rPr>
      </w:pPr>
    </w:p>
    <w:p w14:paraId="051F5A64" w14:textId="276B709D" w:rsidR="00265C34" w:rsidRPr="005D2610" w:rsidRDefault="00E42F2C" w:rsidP="005D2610">
      <w:pPr>
        <w:spacing w:line="360" w:lineRule="auto"/>
        <w:jc w:val="center"/>
        <w:rPr>
          <w:rFonts w:ascii="Arial" w:hAnsi="Arial" w:cs="Arial"/>
          <w:b/>
          <w:sz w:val="22"/>
        </w:rPr>
      </w:pPr>
      <w:r w:rsidRPr="005D2610">
        <w:rPr>
          <w:rFonts w:ascii="Arial" w:hAnsi="Arial" w:cs="Arial"/>
          <w:b/>
          <w:sz w:val="22"/>
        </w:rPr>
        <w:t xml:space="preserve">Student </w:t>
      </w:r>
      <w:r w:rsidR="0075288B" w:rsidRPr="005D2610">
        <w:rPr>
          <w:rFonts w:ascii="Arial" w:hAnsi="Arial" w:cs="Arial"/>
          <w:b/>
          <w:sz w:val="22"/>
        </w:rPr>
        <w:t>Name:</w:t>
      </w:r>
      <w:r w:rsidR="0075288B">
        <w:rPr>
          <w:rFonts w:ascii="Arial" w:hAnsi="Arial" w:cs="Arial"/>
          <w:b/>
          <w:sz w:val="22"/>
        </w:rPr>
        <w:t xml:space="preserve"> Nadeie Seaied</w:t>
      </w:r>
    </w:p>
    <w:p w14:paraId="4A2DC816" w14:textId="2FFA52E7" w:rsidR="00860E05" w:rsidRPr="005D2610" w:rsidRDefault="00E42F2C" w:rsidP="005D2610">
      <w:pPr>
        <w:spacing w:line="360" w:lineRule="auto"/>
        <w:jc w:val="center"/>
        <w:rPr>
          <w:rFonts w:ascii="Arial" w:hAnsi="Arial" w:cs="Arial"/>
          <w:b/>
          <w:sz w:val="22"/>
        </w:rPr>
      </w:pPr>
      <w:r w:rsidRPr="005D2610">
        <w:rPr>
          <w:rFonts w:ascii="Arial" w:hAnsi="Arial" w:cs="Arial"/>
          <w:b/>
          <w:sz w:val="22"/>
        </w:rPr>
        <w:t>Student Number</w:t>
      </w:r>
      <w:r w:rsidR="005F2D01" w:rsidRPr="005D2610">
        <w:rPr>
          <w:rFonts w:ascii="Arial" w:hAnsi="Arial" w:cs="Arial"/>
          <w:b/>
          <w:sz w:val="22"/>
        </w:rPr>
        <w:t>:</w:t>
      </w:r>
      <w:r w:rsidR="0075288B">
        <w:rPr>
          <w:rFonts w:ascii="Arial" w:hAnsi="Arial" w:cs="Arial"/>
          <w:b/>
          <w:sz w:val="22"/>
        </w:rPr>
        <w:t>2212621</w:t>
      </w:r>
    </w:p>
    <w:p w14:paraId="7E7EC596" w14:textId="6FA2A988" w:rsidR="00860E05" w:rsidRPr="005D2610" w:rsidRDefault="00E42F2C" w:rsidP="005D2610">
      <w:pPr>
        <w:spacing w:line="360" w:lineRule="auto"/>
        <w:jc w:val="center"/>
        <w:rPr>
          <w:rFonts w:ascii="Arial" w:hAnsi="Arial" w:cs="Arial"/>
          <w:b/>
          <w:sz w:val="22"/>
        </w:rPr>
      </w:pPr>
      <w:r w:rsidRPr="005D2610">
        <w:rPr>
          <w:rFonts w:ascii="Arial" w:hAnsi="Arial" w:cs="Arial"/>
          <w:b/>
          <w:sz w:val="22"/>
        </w:rPr>
        <w:t>Module Code</w:t>
      </w:r>
      <w:r w:rsidR="005F2D01" w:rsidRPr="005D2610">
        <w:rPr>
          <w:rFonts w:ascii="Arial" w:hAnsi="Arial" w:cs="Arial"/>
          <w:b/>
          <w:sz w:val="22"/>
        </w:rPr>
        <w:t>:</w:t>
      </w:r>
      <w:r w:rsidR="00815E6B" w:rsidRPr="005D2610">
        <w:rPr>
          <w:rFonts w:ascii="Arial" w:hAnsi="Arial" w:cs="Arial"/>
          <w:b/>
          <w:sz w:val="22"/>
        </w:rPr>
        <w:t xml:space="preserve"> LCHS7000</w:t>
      </w:r>
    </w:p>
    <w:p w14:paraId="57934556" w14:textId="79D9CA85" w:rsidR="00860E05" w:rsidRPr="005D2610" w:rsidRDefault="00E42F2C" w:rsidP="005D2610">
      <w:pPr>
        <w:spacing w:line="360" w:lineRule="auto"/>
        <w:jc w:val="center"/>
        <w:rPr>
          <w:rFonts w:ascii="Arial" w:hAnsi="Arial" w:cs="Arial"/>
          <w:b/>
          <w:sz w:val="22"/>
        </w:rPr>
      </w:pPr>
      <w:r w:rsidRPr="005D2610">
        <w:rPr>
          <w:rFonts w:ascii="Arial" w:hAnsi="Arial" w:cs="Arial"/>
          <w:b/>
          <w:sz w:val="22"/>
        </w:rPr>
        <w:t>Module Title</w:t>
      </w:r>
      <w:r w:rsidR="003D6D49" w:rsidRPr="005D2610">
        <w:rPr>
          <w:rFonts w:ascii="Arial" w:hAnsi="Arial" w:cs="Arial"/>
          <w:b/>
          <w:sz w:val="22"/>
        </w:rPr>
        <w:t>:</w:t>
      </w:r>
      <w:r w:rsidR="0027481C" w:rsidRPr="005D2610">
        <w:rPr>
          <w:rFonts w:ascii="Arial" w:hAnsi="Arial" w:cs="Arial"/>
          <w:b/>
          <w:sz w:val="22"/>
        </w:rPr>
        <w:t xml:space="preserve"> Social Epidemiology and Public Health Development</w:t>
      </w:r>
    </w:p>
    <w:p w14:paraId="7127765A" w14:textId="49C962BB" w:rsidR="001E437A" w:rsidRPr="005D2610" w:rsidRDefault="00E42F2C" w:rsidP="005D2610">
      <w:pPr>
        <w:spacing w:line="360" w:lineRule="auto"/>
        <w:jc w:val="center"/>
        <w:rPr>
          <w:rFonts w:ascii="Arial" w:hAnsi="Arial" w:cs="Arial"/>
          <w:b/>
          <w:sz w:val="22"/>
        </w:rPr>
      </w:pPr>
      <w:r w:rsidRPr="005D2610">
        <w:rPr>
          <w:rFonts w:ascii="Arial" w:hAnsi="Arial" w:cs="Arial"/>
          <w:b/>
          <w:sz w:val="22"/>
        </w:rPr>
        <w:t>Lecturer's Name</w:t>
      </w:r>
      <w:r w:rsidR="003D6D49" w:rsidRPr="005D2610">
        <w:rPr>
          <w:rFonts w:ascii="Arial" w:hAnsi="Arial" w:cs="Arial"/>
          <w:b/>
          <w:sz w:val="22"/>
        </w:rPr>
        <w:t>:</w:t>
      </w:r>
      <w:r w:rsidR="00815E6B" w:rsidRPr="005D2610">
        <w:rPr>
          <w:rFonts w:ascii="Arial" w:hAnsi="Arial" w:cs="Arial"/>
          <w:b/>
          <w:sz w:val="22"/>
        </w:rPr>
        <w:t xml:space="preserve"> </w:t>
      </w:r>
      <w:r w:rsidR="00A56FA8" w:rsidRPr="005D2610">
        <w:rPr>
          <w:rFonts w:ascii="Arial" w:hAnsi="Arial" w:cs="Arial"/>
          <w:b/>
          <w:sz w:val="22"/>
        </w:rPr>
        <w:t>Dr Hamdi Hussain</w:t>
      </w:r>
    </w:p>
    <w:p w14:paraId="342F8DC0" w14:textId="1D82A63F" w:rsidR="00300584" w:rsidRPr="005D2610" w:rsidRDefault="00E42F2C" w:rsidP="005D2610">
      <w:pPr>
        <w:spacing w:line="360" w:lineRule="auto"/>
        <w:jc w:val="center"/>
        <w:rPr>
          <w:rFonts w:ascii="Arial" w:hAnsi="Arial" w:cs="Arial"/>
          <w:b/>
          <w:sz w:val="22"/>
        </w:rPr>
      </w:pPr>
      <w:r w:rsidRPr="005D2610">
        <w:rPr>
          <w:rFonts w:ascii="Arial" w:hAnsi="Arial" w:cs="Arial"/>
          <w:b/>
          <w:sz w:val="22"/>
        </w:rPr>
        <w:t>Assignment Title:</w:t>
      </w:r>
      <w:r w:rsidR="000F098C" w:rsidRPr="005D2610">
        <w:rPr>
          <w:rFonts w:ascii="Arial" w:hAnsi="Arial" w:cs="Arial"/>
          <w:b/>
          <w:sz w:val="22"/>
        </w:rPr>
        <w:t xml:space="preserve"> </w:t>
      </w:r>
      <w:r w:rsidRPr="005D2610">
        <w:rPr>
          <w:rFonts w:ascii="Arial" w:hAnsi="Arial" w:cs="Arial"/>
          <w:b/>
          <w:sz w:val="22"/>
        </w:rPr>
        <w:t>Component 2 Analytical Report</w:t>
      </w:r>
    </w:p>
    <w:p w14:paraId="42229772" w14:textId="1ABA0A8E" w:rsidR="00E11D66" w:rsidRPr="005D2610" w:rsidRDefault="00E11D66" w:rsidP="0075288B">
      <w:pPr>
        <w:spacing w:line="360" w:lineRule="auto"/>
        <w:rPr>
          <w:rFonts w:ascii="Arial" w:hAnsi="Arial" w:cs="Arial"/>
          <w:b/>
          <w:sz w:val="22"/>
        </w:rPr>
      </w:pPr>
    </w:p>
    <w:p w14:paraId="4C0C135B" w14:textId="6B5EA51C" w:rsidR="00E11D66" w:rsidRPr="005D2610" w:rsidRDefault="00E11D66" w:rsidP="0075288B">
      <w:pPr>
        <w:spacing w:line="360" w:lineRule="auto"/>
        <w:rPr>
          <w:rFonts w:ascii="Arial" w:hAnsi="Arial" w:cs="Arial"/>
          <w:b/>
          <w:sz w:val="22"/>
        </w:rPr>
      </w:pPr>
    </w:p>
    <w:p w14:paraId="11136CF9" w14:textId="1583DDD2" w:rsidR="00E11D66" w:rsidRPr="005D2610" w:rsidRDefault="00E11D66" w:rsidP="005D2610">
      <w:pPr>
        <w:spacing w:line="360" w:lineRule="auto"/>
        <w:rPr>
          <w:rFonts w:ascii="Arial" w:hAnsi="Arial" w:cs="Arial"/>
          <w:sz w:val="22"/>
        </w:rPr>
      </w:pPr>
    </w:p>
    <w:p w14:paraId="7EE18851" w14:textId="2D37931F" w:rsidR="00EA0088" w:rsidRPr="005D2610" w:rsidRDefault="00E42F2C" w:rsidP="005D2610">
      <w:pPr>
        <w:spacing w:line="360" w:lineRule="auto"/>
        <w:rPr>
          <w:rFonts w:ascii="Arial" w:hAnsi="Arial" w:cs="Arial"/>
          <w:sz w:val="22"/>
        </w:rPr>
      </w:pPr>
      <w:r w:rsidRPr="005D2610">
        <w:rPr>
          <w:rFonts w:ascii="Arial" w:hAnsi="Arial" w:cs="Arial"/>
          <w:sz w:val="22"/>
        </w:rPr>
        <w:br w:type="page"/>
      </w:r>
    </w:p>
    <w:sdt>
      <w:sdtPr>
        <w:rPr>
          <w:rFonts w:ascii="Arial" w:eastAsiaTheme="minorHAnsi" w:hAnsi="Arial" w:cs="Arial"/>
          <w:color w:val="auto"/>
          <w:sz w:val="22"/>
          <w:szCs w:val="22"/>
          <w:lang w:val="en-GB"/>
        </w:rPr>
        <w:id w:val="1441101763"/>
        <w:docPartObj>
          <w:docPartGallery w:val="Table of Contents"/>
          <w:docPartUnique/>
        </w:docPartObj>
      </w:sdtPr>
      <w:sdtEndPr>
        <w:rPr>
          <w:b/>
          <w:bCs/>
          <w:noProof/>
        </w:rPr>
      </w:sdtEndPr>
      <w:sdtContent>
        <w:p w14:paraId="49D78630" w14:textId="618A3423" w:rsidR="00F45B30" w:rsidRPr="005D2610" w:rsidRDefault="00E42F2C" w:rsidP="005D2610">
          <w:pPr>
            <w:pStyle w:val="TOCHeading"/>
            <w:spacing w:line="360" w:lineRule="auto"/>
            <w:rPr>
              <w:rFonts w:ascii="Arial" w:hAnsi="Arial" w:cs="Arial"/>
              <w:color w:val="auto"/>
              <w:sz w:val="22"/>
              <w:szCs w:val="22"/>
            </w:rPr>
          </w:pPr>
          <w:r w:rsidRPr="005D2610">
            <w:rPr>
              <w:rFonts w:ascii="Arial" w:hAnsi="Arial" w:cs="Arial"/>
              <w:color w:val="auto"/>
              <w:sz w:val="22"/>
              <w:szCs w:val="22"/>
            </w:rPr>
            <w:t>Table of Contents</w:t>
          </w:r>
        </w:p>
        <w:p w14:paraId="35A47BC3" w14:textId="73F12F62" w:rsidR="005D2610" w:rsidRPr="005D2610" w:rsidRDefault="00E42F2C" w:rsidP="005D2610">
          <w:pPr>
            <w:pStyle w:val="TOC1"/>
            <w:tabs>
              <w:tab w:val="right" w:leader="dot" w:pos="9350"/>
            </w:tabs>
            <w:spacing w:line="360" w:lineRule="auto"/>
            <w:rPr>
              <w:rFonts w:ascii="Arial" w:eastAsiaTheme="minorEastAsia" w:hAnsi="Arial" w:cs="Arial"/>
              <w:noProof/>
              <w:sz w:val="22"/>
              <w:lang w:val="en-US"/>
            </w:rPr>
          </w:pPr>
          <w:r w:rsidRPr="005D2610">
            <w:rPr>
              <w:rFonts w:ascii="Arial" w:hAnsi="Arial" w:cs="Arial"/>
              <w:sz w:val="22"/>
            </w:rPr>
            <w:fldChar w:fldCharType="begin"/>
          </w:r>
          <w:r w:rsidRPr="005D2610">
            <w:rPr>
              <w:rFonts w:ascii="Arial" w:hAnsi="Arial" w:cs="Arial"/>
              <w:sz w:val="22"/>
            </w:rPr>
            <w:instrText xml:space="preserve"> TOC \o "1-3" \h \z \u </w:instrText>
          </w:r>
          <w:r w:rsidRPr="005D2610">
            <w:rPr>
              <w:rFonts w:ascii="Arial" w:hAnsi="Arial" w:cs="Arial"/>
              <w:sz w:val="22"/>
            </w:rPr>
            <w:fldChar w:fldCharType="separate"/>
          </w:r>
          <w:hyperlink w:anchor="_Toc209673766" w:history="1">
            <w:r w:rsidR="005D2610" w:rsidRPr="005D2610">
              <w:rPr>
                <w:rStyle w:val="Hyperlink"/>
                <w:rFonts w:ascii="Arial" w:hAnsi="Arial" w:cs="Arial"/>
                <w:noProof/>
                <w:sz w:val="22"/>
              </w:rPr>
              <w:t>Task 1: Social Epidemiological Analysis</w:t>
            </w:r>
            <w:r w:rsidR="005D2610" w:rsidRPr="005D2610">
              <w:rPr>
                <w:rFonts w:ascii="Arial" w:hAnsi="Arial" w:cs="Arial"/>
                <w:noProof/>
                <w:webHidden/>
                <w:sz w:val="22"/>
              </w:rPr>
              <w:tab/>
            </w:r>
            <w:r w:rsidR="005D2610" w:rsidRPr="005D2610">
              <w:rPr>
                <w:rFonts w:ascii="Arial" w:hAnsi="Arial" w:cs="Arial"/>
                <w:noProof/>
                <w:webHidden/>
                <w:sz w:val="22"/>
              </w:rPr>
              <w:fldChar w:fldCharType="begin"/>
            </w:r>
            <w:r w:rsidR="005D2610" w:rsidRPr="005D2610">
              <w:rPr>
                <w:rFonts w:ascii="Arial" w:hAnsi="Arial" w:cs="Arial"/>
                <w:noProof/>
                <w:webHidden/>
                <w:sz w:val="22"/>
              </w:rPr>
              <w:instrText xml:space="preserve"> PAGEREF _Toc209673766 \h </w:instrText>
            </w:r>
            <w:r w:rsidR="005D2610" w:rsidRPr="005D2610">
              <w:rPr>
                <w:rFonts w:ascii="Arial" w:hAnsi="Arial" w:cs="Arial"/>
                <w:noProof/>
                <w:webHidden/>
                <w:sz w:val="22"/>
              </w:rPr>
            </w:r>
            <w:r w:rsidR="005D2610" w:rsidRPr="005D2610">
              <w:rPr>
                <w:rFonts w:ascii="Arial" w:hAnsi="Arial" w:cs="Arial"/>
                <w:noProof/>
                <w:webHidden/>
                <w:sz w:val="22"/>
              </w:rPr>
              <w:fldChar w:fldCharType="separate"/>
            </w:r>
            <w:r w:rsidR="00C52FD1">
              <w:rPr>
                <w:rFonts w:ascii="Arial" w:hAnsi="Arial" w:cs="Arial"/>
                <w:noProof/>
                <w:webHidden/>
                <w:sz w:val="22"/>
              </w:rPr>
              <w:t>3</w:t>
            </w:r>
            <w:r w:rsidR="005D2610" w:rsidRPr="005D2610">
              <w:rPr>
                <w:rFonts w:ascii="Arial" w:hAnsi="Arial" w:cs="Arial"/>
                <w:noProof/>
                <w:webHidden/>
                <w:sz w:val="22"/>
              </w:rPr>
              <w:fldChar w:fldCharType="end"/>
            </w:r>
          </w:hyperlink>
        </w:p>
        <w:p w14:paraId="022CB565" w14:textId="3961E94A"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67" w:history="1">
            <w:r w:rsidRPr="005D2610">
              <w:rPr>
                <w:rStyle w:val="Hyperlink"/>
                <w:rFonts w:ascii="Arial" w:hAnsi="Arial" w:cs="Arial"/>
                <w:noProof/>
                <w:sz w:val="22"/>
                <w:lang w:val="en-US"/>
              </w:rPr>
              <w:t>Introduction</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_Toc209673767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3</w:t>
            </w:r>
            <w:r w:rsidRPr="005D2610">
              <w:rPr>
                <w:rFonts w:ascii="Arial" w:hAnsi="Arial" w:cs="Arial"/>
                <w:noProof/>
                <w:webHidden/>
                <w:sz w:val="22"/>
              </w:rPr>
              <w:fldChar w:fldCharType="end"/>
            </w:r>
          </w:hyperlink>
        </w:p>
        <w:p w14:paraId="08379719" w14:textId="2EEC858B"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68" w:history="1">
            <w:r w:rsidRPr="005D2610">
              <w:rPr>
                <w:rStyle w:val="Hyperlink"/>
                <w:rFonts w:ascii="Arial" w:hAnsi="Arial" w:cs="Arial"/>
                <w:noProof/>
                <w:sz w:val="22"/>
                <w:lang w:val="en-US"/>
              </w:rPr>
              <w:t>Contextual Background and Underlying Factors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_Toc209673768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3</w:t>
            </w:r>
            <w:r w:rsidRPr="005D2610">
              <w:rPr>
                <w:rFonts w:ascii="Arial" w:hAnsi="Arial" w:cs="Arial"/>
                <w:noProof/>
                <w:webHidden/>
                <w:sz w:val="22"/>
              </w:rPr>
              <w:fldChar w:fldCharType="end"/>
            </w:r>
          </w:hyperlink>
        </w:p>
        <w:p w14:paraId="57AC3E6C" w14:textId="257CEA06" w:rsidR="005D2610" w:rsidRPr="005D2610" w:rsidRDefault="005D2610" w:rsidP="005D2610">
          <w:pPr>
            <w:pStyle w:val="TOC3"/>
            <w:tabs>
              <w:tab w:val="right" w:leader="dot" w:pos="9350"/>
            </w:tabs>
            <w:spacing w:line="360" w:lineRule="auto"/>
            <w:rPr>
              <w:rFonts w:ascii="Arial" w:eastAsiaTheme="minorEastAsia" w:hAnsi="Arial" w:cs="Arial"/>
              <w:noProof/>
              <w:sz w:val="22"/>
              <w:lang w:val="en-US"/>
            </w:rPr>
          </w:pPr>
          <w:hyperlink w:anchor="_Toc209673769" w:history="1">
            <w:r w:rsidRPr="005D2610">
              <w:rPr>
                <w:rStyle w:val="Hyperlink"/>
                <w:rFonts w:ascii="Arial" w:hAnsi="Arial" w:cs="Arial"/>
                <w:noProof/>
                <w:sz w:val="22"/>
                <w:lang w:val="en-US"/>
              </w:rPr>
              <w:t>Disease/Illness Inequalities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_Toc209673769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3</w:t>
            </w:r>
            <w:r w:rsidRPr="005D2610">
              <w:rPr>
                <w:rFonts w:ascii="Arial" w:hAnsi="Arial" w:cs="Arial"/>
                <w:noProof/>
                <w:webHidden/>
                <w:sz w:val="22"/>
              </w:rPr>
              <w:fldChar w:fldCharType="end"/>
            </w:r>
          </w:hyperlink>
        </w:p>
        <w:p w14:paraId="05E3A9BE" w14:textId="31CA8BE5" w:rsidR="005D2610" w:rsidRPr="005D2610" w:rsidRDefault="005D2610" w:rsidP="005D2610">
          <w:pPr>
            <w:pStyle w:val="TOC3"/>
            <w:tabs>
              <w:tab w:val="right" w:leader="dot" w:pos="9350"/>
            </w:tabs>
            <w:spacing w:line="360" w:lineRule="auto"/>
            <w:rPr>
              <w:rFonts w:ascii="Arial" w:eastAsiaTheme="minorEastAsia" w:hAnsi="Arial" w:cs="Arial"/>
              <w:noProof/>
              <w:sz w:val="22"/>
              <w:lang w:val="en-US"/>
            </w:rPr>
          </w:pPr>
          <w:hyperlink w:anchor="_Toc209673770" w:history="1">
            <w:r w:rsidRPr="005D2610">
              <w:rPr>
                <w:rStyle w:val="Hyperlink"/>
                <w:rFonts w:ascii="Arial" w:hAnsi="Arial" w:cs="Arial"/>
                <w:noProof/>
                <w:sz w:val="22"/>
                <w:lang w:val="en-US"/>
              </w:rPr>
              <w:t>Social Inequalities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_Toc209673770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4</w:t>
            </w:r>
            <w:r w:rsidRPr="005D2610">
              <w:rPr>
                <w:rFonts w:ascii="Arial" w:hAnsi="Arial" w:cs="Arial"/>
                <w:noProof/>
                <w:webHidden/>
                <w:sz w:val="22"/>
              </w:rPr>
              <w:fldChar w:fldCharType="end"/>
            </w:r>
          </w:hyperlink>
        </w:p>
        <w:p w14:paraId="09F39387" w14:textId="4E41E8B8"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71" w:history="1">
            <w:r w:rsidRPr="005D2610">
              <w:rPr>
                <w:rStyle w:val="Hyperlink"/>
                <w:rFonts w:ascii="Arial" w:hAnsi="Arial" w:cs="Arial"/>
                <w:noProof/>
                <w:sz w:val="22"/>
                <w:lang w:val="en-US"/>
              </w:rPr>
              <w:t>National Response to Reduce Health Inequalities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_Toc209673771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5</w:t>
            </w:r>
            <w:r w:rsidRPr="005D2610">
              <w:rPr>
                <w:rFonts w:ascii="Arial" w:hAnsi="Arial" w:cs="Arial"/>
                <w:noProof/>
                <w:webHidden/>
                <w:sz w:val="22"/>
              </w:rPr>
              <w:fldChar w:fldCharType="end"/>
            </w:r>
          </w:hyperlink>
        </w:p>
        <w:p w14:paraId="606F49AE" w14:textId="2CE5183A"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72" w:history="1">
            <w:r w:rsidRPr="005D2610">
              <w:rPr>
                <w:rStyle w:val="Hyperlink"/>
                <w:rFonts w:ascii="Arial" w:hAnsi="Arial" w:cs="Arial"/>
                <w:noProof/>
                <w:sz w:val="22"/>
                <w:lang w:val="en-US"/>
              </w:rPr>
              <w:t>Organisations Supporting Disabled People</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_Toc209673772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5</w:t>
            </w:r>
            <w:r w:rsidRPr="005D2610">
              <w:rPr>
                <w:rFonts w:ascii="Arial" w:hAnsi="Arial" w:cs="Arial"/>
                <w:noProof/>
                <w:webHidden/>
                <w:sz w:val="22"/>
              </w:rPr>
              <w:fldChar w:fldCharType="end"/>
            </w:r>
          </w:hyperlink>
        </w:p>
        <w:p w14:paraId="286A756C" w14:textId="6E533F1C"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73" w:history="1">
            <w:r w:rsidRPr="005D2610">
              <w:rPr>
                <w:rStyle w:val="Hyperlink"/>
                <w:rFonts w:ascii="Arial" w:hAnsi="Arial" w:cs="Arial"/>
                <w:noProof/>
                <w:sz w:val="22"/>
                <w:lang w:val="en-US"/>
              </w:rPr>
              <w:t>Conclusion</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_Toc209673773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6</w:t>
            </w:r>
            <w:r w:rsidRPr="005D2610">
              <w:rPr>
                <w:rFonts w:ascii="Arial" w:hAnsi="Arial" w:cs="Arial"/>
                <w:noProof/>
                <w:webHidden/>
                <w:sz w:val="22"/>
              </w:rPr>
              <w:fldChar w:fldCharType="end"/>
            </w:r>
          </w:hyperlink>
        </w:p>
        <w:p w14:paraId="17278894" w14:textId="0F9B042F"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74" w:history="1">
            <w:r w:rsidRPr="005D2610">
              <w:rPr>
                <w:rStyle w:val="Hyperlink"/>
                <w:rFonts w:ascii="Arial" w:hAnsi="Arial" w:cs="Arial"/>
                <w:noProof/>
                <w:sz w:val="22"/>
                <w:lang w:val="en-US"/>
              </w:rPr>
              <w:t>References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_Toc209673774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7</w:t>
            </w:r>
            <w:r w:rsidRPr="005D2610">
              <w:rPr>
                <w:rFonts w:ascii="Arial" w:hAnsi="Arial" w:cs="Arial"/>
                <w:noProof/>
                <w:webHidden/>
                <w:sz w:val="22"/>
              </w:rPr>
              <w:fldChar w:fldCharType="end"/>
            </w:r>
          </w:hyperlink>
        </w:p>
        <w:p w14:paraId="62AF4F29" w14:textId="0D434760" w:rsidR="005D2610" w:rsidRPr="005D2610" w:rsidRDefault="005D2610" w:rsidP="005D2610">
          <w:pPr>
            <w:pStyle w:val="TOC1"/>
            <w:tabs>
              <w:tab w:val="right" w:leader="dot" w:pos="9350"/>
            </w:tabs>
            <w:spacing w:line="360" w:lineRule="auto"/>
            <w:rPr>
              <w:rFonts w:ascii="Arial" w:eastAsiaTheme="minorEastAsia" w:hAnsi="Arial" w:cs="Arial"/>
              <w:noProof/>
              <w:sz w:val="22"/>
              <w:lang w:val="en-US"/>
            </w:rPr>
          </w:pPr>
          <w:hyperlink w:anchor="_Toc209673775" w:history="1">
            <w:r w:rsidRPr="005D2610">
              <w:rPr>
                <w:rStyle w:val="Hyperlink"/>
                <w:rFonts w:ascii="Arial" w:hAnsi="Arial" w:cs="Arial"/>
                <w:noProof/>
                <w:sz w:val="22"/>
                <w:lang w:val="en-US"/>
              </w:rPr>
              <w:t>Task 2: Epidemiological Analysis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_Toc209673775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9</w:t>
            </w:r>
            <w:r w:rsidRPr="005D2610">
              <w:rPr>
                <w:rFonts w:ascii="Arial" w:hAnsi="Arial" w:cs="Arial"/>
                <w:noProof/>
                <w:webHidden/>
                <w:sz w:val="22"/>
              </w:rPr>
              <w:fldChar w:fldCharType="end"/>
            </w:r>
          </w:hyperlink>
        </w:p>
        <w:p w14:paraId="7A7CB6FA" w14:textId="05A9FFEF"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76" w:history="1">
            <w:r w:rsidRPr="005D2610">
              <w:rPr>
                <w:rStyle w:val="Hyperlink"/>
                <w:rFonts w:ascii="Arial" w:hAnsi="Arial" w:cs="Arial"/>
                <w:noProof/>
                <w:sz w:val="22"/>
                <w:lang w:val="en-US"/>
              </w:rPr>
              <w:t>Introduction</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_Toc209673776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9</w:t>
            </w:r>
            <w:r w:rsidRPr="005D2610">
              <w:rPr>
                <w:rFonts w:ascii="Arial" w:hAnsi="Arial" w:cs="Arial"/>
                <w:noProof/>
                <w:webHidden/>
                <w:sz w:val="22"/>
              </w:rPr>
              <w:fldChar w:fldCharType="end"/>
            </w:r>
          </w:hyperlink>
        </w:p>
        <w:p w14:paraId="1D8481EB" w14:textId="6471221E"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77" w:history="1">
            <w:r w:rsidRPr="005D2610">
              <w:rPr>
                <w:rStyle w:val="Hyperlink"/>
                <w:rFonts w:ascii="Arial" w:hAnsi="Arial" w:cs="Arial"/>
                <w:noProof/>
                <w:sz w:val="22"/>
                <w:lang w:val="en-US"/>
              </w:rPr>
              <w:t>Determinants and Risk Factors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_Toc209673777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9</w:t>
            </w:r>
            <w:r w:rsidRPr="005D2610">
              <w:rPr>
                <w:rFonts w:ascii="Arial" w:hAnsi="Arial" w:cs="Arial"/>
                <w:noProof/>
                <w:webHidden/>
                <w:sz w:val="22"/>
              </w:rPr>
              <w:fldChar w:fldCharType="end"/>
            </w:r>
          </w:hyperlink>
        </w:p>
        <w:p w14:paraId="7F78D9D3" w14:textId="45C41F33"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78" w:history="1">
            <w:r w:rsidRPr="005D2610">
              <w:rPr>
                <w:rStyle w:val="Hyperlink"/>
                <w:rFonts w:ascii="Arial" w:hAnsi="Arial" w:cs="Arial"/>
                <w:noProof/>
                <w:sz w:val="22"/>
                <w:lang w:val="en-US"/>
              </w:rPr>
              <w:t>Epidemiological Evidence in Tower Hamlets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_Toc209673778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10</w:t>
            </w:r>
            <w:r w:rsidRPr="005D2610">
              <w:rPr>
                <w:rFonts w:ascii="Arial" w:hAnsi="Arial" w:cs="Arial"/>
                <w:noProof/>
                <w:webHidden/>
                <w:sz w:val="22"/>
              </w:rPr>
              <w:fldChar w:fldCharType="end"/>
            </w:r>
          </w:hyperlink>
        </w:p>
        <w:p w14:paraId="5A498277" w14:textId="318A0904"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79" w:history="1">
            <w:r w:rsidRPr="005D2610">
              <w:rPr>
                <w:rStyle w:val="Hyperlink"/>
                <w:rFonts w:ascii="Arial" w:hAnsi="Arial" w:cs="Arial"/>
                <w:noProof/>
                <w:sz w:val="22"/>
                <w:lang w:val="en-US"/>
              </w:rPr>
              <w:t>Surveillance and Monitoring Systems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_Toc209673779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10</w:t>
            </w:r>
            <w:r w:rsidRPr="005D2610">
              <w:rPr>
                <w:rFonts w:ascii="Arial" w:hAnsi="Arial" w:cs="Arial"/>
                <w:noProof/>
                <w:webHidden/>
                <w:sz w:val="22"/>
              </w:rPr>
              <w:fldChar w:fldCharType="end"/>
            </w:r>
          </w:hyperlink>
        </w:p>
        <w:p w14:paraId="511EF129" w14:textId="7274CE07"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80" w:history="1">
            <w:r w:rsidRPr="005D2610">
              <w:rPr>
                <w:rStyle w:val="Hyperlink"/>
                <w:rFonts w:ascii="Arial" w:hAnsi="Arial" w:cs="Arial"/>
                <w:noProof/>
                <w:sz w:val="22"/>
                <w:lang w:val="en-US"/>
              </w:rPr>
              <w:t>Public Health Measures and Interventions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_Toc209673780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11</w:t>
            </w:r>
            <w:r w:rsidRPr="005D2610">
              <w:rPr>
                <w:rFonts w:ascii="Arial" w:hAnsi="Arial" w:cs="Arial"/>
                <w:noProof/>
                <w:webHidden/>
                <w:sz w:val="22"/>
              </w:rPr>
              <w:fldChar w:fldCharType="end"/>
            </w:r>
          </w:hyperlink>
        </w:p>
        <w:p w14:paraId="2B169B3F" w14:textId="503F3210"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81" w:history="1">
            <w:r w:rsidRPr="005D2610">
              <w:rPr>
                <w:rStyle w:val="Hyperlink"/>
                <w:rFonts w:ascii="Arial" w:hAnsi="Arial" w:cs="Arial"/>
                <w:noProof/>
                <w:sz w:val="22"/>
                <w:lang w:val="en-US"/>
              </w:rPr>
              <w:t>Public Health Impact and Consequences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_Toc209673781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11</w:t>
            </w:r>
            <w:r w:rsidRPr="005D2610">
              <w:rPr>
                <w:rFonts w:ascii="Arial" w:hAnsi="Arial" w:cs="Arial"/>
                <w:noProof/>
                <w:webHidden/>
                <w:sz w:val="22"/>
              </w:rPr>
              <w:fldChar w:fldCharType="end"/>
            </w:r>
          </w:hyperlink>
        </w:p>
        <w:p w14:paraId="1D4E8233" w14:textId="2AD41A5E"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82" w:history="1">
            <w:r w:rsidRPr="005D2610">
              <w:rPr>
                <w:rStyle w:val="Hyperlink"/>
                <w:rFonts w:ascii="Arial" w:hAnsi="Arial" w:cs="Arial"/>
                <w:noProof/>
                <w:sz w:val="22"/>
                <w:lang w:val="en-US"/>
              </w:rPr>
              <w:t>Designing an Intervention Programme</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_Toc209673782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12</w:t>
            </w:r>
            <w:r w:rsidRPr="005D2610">
              <w:rPr>
                <w:rFonts w:ascii="Arial" w:hAnsi="Arial" w:cs="Arial"/>
                <w:noProof/>
                <w:webHidden/>
                <w:sz w:val="22"/>
              </w:rPr>
              <w:fldChar w:fldCharType="end"/>
            </w:r>
          </w:hyperlink>
        </w:p>
        <w:p w14:paraId="67E5AED9" w14:textId="0E69F887"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83" w:history="1">
            <w:r w:rsidRPr="005D2610">
              <w:rPr>
                <w:rStyle w:val="Hyperlink"/>
                <w:rFonts w:ascii="Arial" w:hAnsi="Arial" w:cs="Arial"/>
                <w:noProof/>
                <w:sz w:val="22"/>
                <w:lang w:val="en-US"/>
              </w:rPr>
              <w:t>Strengths and Weaknesses of Epidemiological Approach</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_Toc209673783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12</w:t>
            </w:r>
            <w:r w:rsidRPr="005D2610">
              <w:rPr>
                <w:rFonts w:ascii="Arial" w:hAnsi="Arial" w:cs="Arial"/>
                <w:noProof/>
                <w:webHidden/>
                <w:sz w:val="22"/>
              </w:rPr>
              <w:fldChar w:fldCharType="end"/>
            </w:r>
          </w:hyperlink>
        </w:p>
        <w:p w14:paraId="7171B03E" w14:textId="71B66B75"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84" w:history="1">
            <w:r w:rsidRPr="005D2610">
              <w:rPr>
                <w:rStyle w:val="Hyperlink"/>
                <w:rFonts w:ascii="Arial" w:hAnsi="Arial" w:cs="Arial"/>
                <w:noProof/>
                <w:sz w:val="22"/>
                <w:lang w:val="en-US"/>
              </w:rPr>
              <w:t>Conclusion</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_Toc209673784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12</w:t>
            </w:r>
            <w:r w:rsidRPr="005D2610">
              <w:rPr>
                <w:rFonts w:ascii="Arial" w:hAnsi="Arial" w:cs="Arial"/>
                <w:noProof/>
                <w:webHidden/>
                <w:sz w:val="22"/>
              </w:rPr>
              <w:fldChar w:fldCharType="end"/>
            </w:r>
          </w:hyperlink>
        </w:p>
        <w:p w14:paraId="31832C91" w14:textId="43ABEA56" w:rsidR="005D2610" w:rsidRPr="005D2610" w:rsidRDefault="005D2610" w:rsidP="005D2610">
          <w:pPr>
            <w:pStyle w:val="TOC2"/>
            <w:tabs>
              <w:tab w:val="right" w:leader="dot" w:pos="9350"/>
            </w:tabs>
            <w:spacing w:line="360" w:lineRule="auto"/>
            <w:rPr>
              <w:rFonts w:ascii="Arial" w:eastAsiaTheme="minorEastAsia" w:hAnsi="Arial" w:cs="Arial"/>
              <w:noProof/>
              <w:sz w:val="22"/>
              <w:lang w:val="en-US"/>
            </w:rPr>
          </w:pPr>
          <w:hyperlink w:anchor="_Toc209673785" w:history="1">
            <w:r w:rsidRPr="005D2610">
              <w:rPr>
                <w:rStyle w:val="Hyperlink"/>
                <w:rFonts w:ascii="Arial" w:hAnsi="Arial" w:cs="Arial"/>
                <w:noProof/>
                <w:sz w:val="22"/>
                <w:lang w:val="en-US"/>
              </w:rPr>
              <w:t>References</w:t>
            </w:r>
            <w:r w:rsidRPr="005D2610">
              <w:rPr>
                <w:rFonts w:ascii="Arial" w:hAnsi="Arial" w:cs="Arial"/>
                <w:noProof/>
                <w:webHidden/>
                <w:sz w:val="22"/>
              </w:rPr>
              <w:tab/>
            </w:r>
            <w:r w:rsidRPr="005D2610">
              <w:rPr>
                <w:rFonts w:ascii="Arial" w:hAnsi="Arial" w:cs="Arial"/>
                <w:noProof/>
                <w:webHidden/>
                <w:sz w:val="22"/>
              </w:rPr>
              <w:fldChar w:fldCharType="begin"/>
            </w:r>
            <w:r w:rsidRPr="005D2610">
              <w:rPr>
                <w:rFonts w:ascii="Arial" w:hAnsi="Arial" w:cs="Arial"/>
                <w:noProof/>
                <w:webHidden/>
                <w:sz w:val="22"/>
              </w:rPr>
              <w:instrText xml:space="preserve"> PAGEREF _Toc209673785 \h </w:instrText>
            </w:r>
            <w:r w:rsidRPr="005D2610">
              <w:rPr>
                <w:rFonts w:ascii="Arial" w:hAnsi="Arial" w:cs="Arial"/>
                <w:noProof/>
                <w:webHidden/>
                <w:sz w:val="22"/>
              </w:rPr>
            </w:r>
            <w:r w:rsidRPr="005D2610">
              <w:rPr>
                <w:rFonts w:ascii="Arial" w:hAnsi="Arial" w:cs="Arial"/>
                <w:noProof/>
                <w:webHidden/>
                <w:sz w:val="22"/>
              </w:rPr>
              <w:fldChar w:fldCharType="separate"/>
            </w:r>
            <w:r w:rsidR="00C52FD1">
              <w:rPr>
                <w:rFonts w:ascii="Arial" w:hAnsi="Arial" w:cs="Arial"/>
                <w:noProof/>
                <w:webHidden/>
                <w:sz w:val="22"/>
              </w:rPr>
              <w:t>14</w:t>
            </w:r>
            <w:r w:rsidRPr="005D2610">
              <w:rPr>
                <w:rFonts w:ascii="Arial" w:hAnsi="Arial" w:cs="Arial"/>
                <w:noProof/>
                <w:webHidden/>
                <w:sz w:val="22"/>
              </w:rPr>
              <w:fldChar w:fldCharType="end"/>
            </w:r>
          </w:hyperlink>
        </w:p>
        <w:p w14:paraId="6C43AF62" w14:textId="204FEF85" w:rsidR="00F45B30" w:rsidRPr="005D2610" w:rsidRDefault="00E42F2C" w:rsidP="005D2610">
          <w:pPr>
            <w:spacing w:line="360" w:lineRule="auto"/>
            <w:rPr>
              <w:rFonts w:ascii="Arial" w:hAnsi="Arial" w:cs="Arial"/>
              <w:sz w:val="22"/>
            </w:rPr>
          </w:pPr>
          <w:r w:rsidRPr="005D2610">
            <w:rPr>
              <w:rFonts w:ascii="Arial" w:hAnsi="Arial" w:cs="Arial"/>
              <w:b/>
              <w:bCs/>
              <w:noProof/>
              <w:sz w:val="22"/>
            </w:rPr>
            <w:fldChar w:fldCharType="end"/>
          </w:r>
        </w:p>
      </w:sdtContent>
    </w:sdt>
    <w:p w14:paraId="4813E44D" w14:textId="75280FFF" w:rsidR="00EA0088" w:rsidRPr="005D2610" w:rsidRDefault="00EA0088" w:rsidP="005D2610">
      <w:pPr>
        <w:spacing w:line="360" w:lineRule="auto"/>
        <w:rPr>
          <w:rFonts w:ascii="Arial" w:hAnsi="Arial" w:cs="Arial"/>
          <w:sz w:val="22"/>
        </w:rPr>
      </w:pPr>
    </w:p>
    <w:p w14:paraId="1CFAB0CF" w14:textId="77777777" w:rsidR="002429C1" w:rsidRPr="005D2610" w:rsidRDefault="002429C1" w:rsidP="005D2610">
      <w:pPr>
        <w:spacing w:line="360" w:lineRule="auto"/>
        <w:rPr>
          <w:rFonts w:ascii="Arial" w:hAnsi="Arial" w:cs="Arial"/>
          <w:sz w:val="22"/>
        </w:rPr>
      </w:pPr>
    </w:p>
    <w:p w14:paraId="5DED56CE" w14:textId="77777777" w:rsidR="002429C1" w:rsidRPr="005D2610" w:rsidRDefault="002429C1" w:rsidP="005D2610">
      <w:pPr>
        <w:spacing w:line="360" w:lineRule="auto"/>
        <w:rPr>
          <w:rFonts w:ascii="Arial" w:hAnsi="Arial" w:cs="Arial"/>
          <w:sz w:val="22"/>
        </w:rPr>
      </w:pPr>
    </w:p>
    <w:p w14:paraId="4018E131" w14:textId="77777777" w:rsidR="00EA0088" w:rsidRPr="005D2610" w:rsidRDefault="00EA0088" w:rsidP="005D2610">
      <w:pPr>
        <w:spacing w:line="360" w:lineRule="auto"/>
        <w:rPr>
          <w:rFonts w:ascii="Arial" w:hAnsi="Arial" w:cs="Arial"/>
          <w:sz w:val="22"/>
        </w:rPr>
      </w:pPr>
    </w:p>
    <w:p w14:paraId="3CF4780C" w14:textId="09AE3729" w:rsidR="00E11D66" w:rsidRPr="005D2610" w:rsidRDefault="00E42F2C" w:rsidP="005D2610">
      <w:pPr>
        <w:spacing w:line="360" w:lineRule="auto"/>
        <w:rPr>
          <w:rFonts w:ascii="Arial" w:hAnsi="Arial" w:cs="Arial"/>
          <w:sz w:val="22"/>
        </w:rPr>
      </w:pPr>
      <w:r w:rsidRPr="005D2610">
        <w:rPr>
          <w:rFonts w:ascii="Arial" w:hAnsi="Arial" w:cs="Arial"/>
          <w:sz w:val="22"/>
        </w:rPr>
        <w:br w:type="page"/>
      </w:r>
    </w:p>
    <w:p w14:paraId="7B86C85A" w14:textId="10F5FC61" w:rsidR="00E11D66" w:rsidRPr="005D2610" w:rsidRDefault="00E42F2C" w:rsidP="005D2610">
      <w:pPr>
        <w:pStyle w:val="Heading1"/>
        <w:spacing w:line="360" w:lineRule="auto"/>
        <w:rPr>
          <w:rFonts w:ascii="Arial" w:hAnsi="Arial" w:cs="Arial"/>
          <w:sz w:val="22"/>
          <w:szCs w:val="22"/>
        </w:rPr>
      </w:pPr>
      <w:bookmarkStart w:id="0" w:name="_Toc209673766"/>
      <w:r w:rsidRPr="005D2610">
        <w:rPr>
          <w:rFonts w:ascii="Arial" w:hAnsi="Arial" w:cs="Arial"/>
          <w:sz w:val="22"/>
          <w:szCs w:val="22"/>
        </w:rPr>
        <w:lastRenderedPageBreak/>
        <w:t>Task 1: Social Epidemiological Analysis</w:t>
      </w:r>
      <w:bookmarkEnd w:id="0"/>
    </w:p>
    <w:p w14:paraId="47DFD574" w14:textId="77276B6C" w:rsidR="002F503C" w:rsidRPr="005D2610" w:rsidRDefault="00E42F2C" w:rsidP="005D2610">
      <w:pPr>
        <w:spacing w:line="360" w:lineRule="auto"/>
        <w:jc w:val="center"/>
        <w:rPr>
          <w:rFonts w:ascii="Arial" w:hAnsi="Arial" w:cs="Arial"/>
          <w:b/>
          <w:sz w:val="22"/>
        </w:rPr>
      </w:pPr>
      <w:r w:rsidRPr="005D2610">
        <w:rPr>
          <w:rFonts w:ascii="Arial" w:hAnsi="Arial" w:cs="Arial"/>
          <w:b/>
          <w:sz w:val="22"/>
        </w:rPr>
        <w:t>Title: Disability and Health Inequalities in the UK</w:t>
      </w:r>
    </w:p>
    <w:p w14:paraId="7764FF84" w14:textId="0E773220" w:rsidR="00E67A9C" w:rsidRPr="005D2610" w:rsidRDefault="00E42F2C" w:rsidP="005D2610">
      <w:pPr>
        <w:pStyle w:val="Heading2"/>
        <w:spacing w:line="360" w:lineRule="auto"/>
        <w:rPr>
          <w:rFonts w:ascii="Arial" w:hAnsi="Arial" w:cs="Arial"/>
          <w:sz w:val="22"/>
          <w:szCs w:val="22"/>
          <w:lang w:val="en-US"/>
        </w:rPr>
      </w:pPr>
      <w:bookmarkStart w:id="1" w:name="_Toc209673767"/>
      <w:r w:rsidRPr="005D2610">
        <w:rPr>
          <w:rFonts w:ascii="Arial" w:hAnsi="Arial" w:cs="Arial"/>
          <w:sz w:val="22"/>
          <w:szCs w:val="22"/>
          <w:lang w:val="en-US"/>
        </w:rPr>
        <w:t>Introduction</w:t>
      </w:r>
      <w:bookmarkEnd w:id="1"/>
    </w:p>
    <w:p w14:paraId="77CDB5B9" w14:textId="45C74CF8" w:rsidR="008044AD" w:rsidRPr="005D2610" w:rsidRDefault="0020661F" w:rsidP="00006EB9">
      <w:pPr>
        <w:spacing w:line="360" w:lineRule="auto"/>
        <w:jc w:val="both"/>
        <w:rPr>
          <w:rFonts w:ascii="Arial" w:hAnsi="Arial" w:cs="Arial"/>
          <w:sz w:val="22"/>
          <w:lang w:val="en-US"/>
        </w:rPr>
      </w:pPr>
      <w:r w:rsidRPr="0020661F">
        <w:rPr>
          <w:rFonts w:ascii="Arial" w:hAnsi="Arial" w:cs="Arial"/>
          <w:sz w:val="22"/>
          <w:lang w:val="en-US"/>
        </w:rPr>
        <w:t xml:space="preserve">The number of people with disabilities is high in the UK, and it is estimated that the population of people with disabilities will reach 16M in 2023 (Kirk-Wade et al., 2024). This population group has very severe health inequalities systematic and avoidable health inequalities in comparison to the rest of the population (Bartley and Kelly-Irving, 2024). The risk of disabled individuals living in socioeconomic disadvantage is also higher, employment rates are lower, and healthcare access is not available which is also harmful to the well-being of disabled persons. They are more </w:t>
      </w:r>
      <w:proofErr w:type="spellStart"/>
      <w:r w:rsidRPr="0020661F">
        <w:rPr>
          <w:rFonts w:ascii="Arial" w:hAnsi="Arial" w:cs="Arial"/>
          <w:sz w:val="22"/>
          <w:lang w:val="en-US"/>
        </w:rPr>
        <w:t>stigmatised</w:t>
      </w:r>
      <w:proofErr w:type="spellEnd"/>
      <w:r w:rsidRPr="0020661F">
        <w:rPr>
          <w:rFonts w:ascii="Arial" w:hAnsi="Arial" w:cs="Arial"/>
          <w:sz w:val="22"/>
          <w:lang w:val="en-US"/>
        </w:rPr>
        <w:t xml:space="preserve">, as well as experience higher co-morbid conditions. These inequalities are addressed in this report in terms of disease burdens, social problems, state measures, and </w:t>
      </w:r>
      <w:r w:rsidR="0075288B" w:rsidRPr="0020661F">
        <w:rPr>
          <w:rFonts w:ascii="Arial" w:hAnsi="Arial" w:cs="Arial"/>
          <w:sz w:val="22"/>
          <w:lang w:val="en-US"/>
        </w:rPr>
        <w:t>organizational</w:t>
      </w:r>
      <w:r w:rsidRPr="0020661F">
        <w:rPr>
          <w:rFonts w:ascii="Arial" w:hAnsi="Arial" w:cs="Arial"/>
          <w:sz w:val="22"/>
          <w:lang w:val="en-US"/>
        </w:rPr>
        <w:t xml:space="preserve"> assistance.</w:t>
      </w:r>
    </w:p>
    <w:p w14:paraId="652E20CE" w14:textId="77777777" w:rsidR="00197EC8" w:rsidRPr="005D2610" w:rsidRDefault="00197EC8" w:rsidP="005D2610">
      <w:pPr>
        <w:spacing w:line="360" w:lineRule="auto"/>
        <w:rPr>
          <w:rFonts w:ascii="Arial" w:hAnsi="Arial" w:cs="Arial"/>
          <w:sz w:val="22"/>
          <w:lang w:val="en-US"/>
        </w:rPr>
      </w:pPr>
    </w:p>
    <w:p w14:paraId="5F8EB97E" w14:textId="2561AC2A" w:rsidR="00E67A9C" w:rsidRPr="005D2610" w:rsidRDefault="00E42F2C" w:rsidP="005D2610">
      <w:pPr>
        <w:pStyle w:val="Heading2"/>
        <w:spacing w:line="360" w:lineRule="auto"/>
        <w:rPr>
          <w:rFonts w:ascii="Arial" w:hAnsi="Arial" w:cs="Arial"/>
          <w:sz w:val="22"/>
          <w:szCs w:val="22"/>
          <w:lang w:val="en-US"/>
        </w:rPr>
      </w:pPr>
      <w:bookmarkStart w:id="2" w:name="_Toc209673768"/>
      <w:r w:rsidRPr="005D2610">
        <w:rPr>
          <w:rFonts w:ascii="Arial" w:hAnsi="Arial" w:cs="Arial"/>
          <w:sz w:val="22"/>
          <w:szCs w:val="22"/>
          <w:lang w:val="en-US"/>
        </w:rPr>
        <w:t>Contextual Background and Underlying Factors</w:t>
      </w:r>
      <w:bookmarkEnd w:id="2"/>
    </w:p>
    <w:p w14:paraId="18BE00F3" w14:textId="100CABC5" w:rsidR="00E67A9C" w:rsidRPr="005D2610" w:rsidRDefault="00E42F2C" w:rsidP="005D2610">
      <w:pPr>
        <w:pStyle w:val="Heading3"/>
        <w:spacing w:line="360" w:lineRule="auto"/>
        <w:rPr>
          <w:rFonts w:ascii="Arial" w:hAnsi="Arial" w:cs="Arial"/>
          <w:sz w:val="22"/>
          <w:szCs w:val="22"/>
          <w:lang w:val="en-US"/>
        </w:rPr>
      </w:pPr>
      <w:bookmarkStart w:id="3" w:name="_Toc209673769"/>
      <w:r w:rsidRPr="005D2610">
        <w:rPr>
          <w:rFonts w:ascii="Arial" w:hAnsi="Arial" w:cs="Arial"/>
          <w:sz w:val="22"/>
          <w:szCs w:val="22"/>
          <w:lang w:val="en-US"/>
        </w:rPr>
        <w:t>Disease/Illness Inequalities</w:t>
      </w:r>
      <w:bookmarkEnd w:id="3"/>
    </w:p>
    <w:p w14:paraId="4659B929" w14:textId="0CF4DC7C" w:rsidR="00A369FD" w:rsidRPr="005D2610" w:rsidRDefault="00E42F2C" w:rsidP="005D2610">
      <w:pPr>
        <w:pStyle w:val="Heading4"/>
        <w:spacing w:line="360" w:lineRule="auto"/>
        <w:rPr>
          <w:rFonts w:ascii="Arial" w:hAnsi="Arial" w:cs="Arial"/>
          <w:sz w:val="22"/>
        </w:rPr>
      </w:pPr>
      <w:r w:rsidRPr="005D2610">
        <w:rPr>
          <w:rFonts w:ascii="Arial" w:hAnsi="Arial" w:cs="Arial"/>
          <w:sz w:val="22"/>
        </w:rPr>
        <w:t>Cardiovascular Disease</w:t>
      </w:r>
    </w:p>
    <w:p w14:paraId="54C56ED8" w14:textId="66C7B21E" w:rsidR="00012D57" w:rsidRPr="00127B56" w:rsidRDefault="0020661F" w:rsidP="00006EB9">
      <w:pPr>
        <w:spacing w:line="360" w:lineRule="auto"/>
        <w:jc w:val="both"/>
        <w:rPr>
          <w:rFonts w:ascii="Arial" w:hAnsi="Arial" w:cs="Arial"/>
          <w:sz w:val="22"/>
          <w:highlight w:val="yellow"/>
          <w:lang w:val="en-US"/>
        </w:rPr>
      </w:pPr>
      <w:r w:rsidRPr="0020661F">
        <w:rPr>
          <w:rFonts w:ascii="Arial" w:hAnsi="Arial" w:cs="Arial"/>
          <w:sz w:val="22"/>
          <w:lang w:val="en-US"/>
        </w:rPr>
        <w:t>Cardiovascular disease is one of the most important health disparities of the disabled people and they are one and a half more likely to be diagnosed with it than non-disabled adults (Public Health England, 2019). Physical inactivity due to the limited mobility and socioeconomic status lower the number of preventive care and access to healthy foods (Conrad et al., 2022). Risk factors such as obesity and hypertension are also heightened by povert</w:t>
      </w:r>
      <w:r w:rsidR="006F1D2D">
        <w:rPr>
          <w:rFonts w:ascii="Arial" w:hAnsi="Arial" w:cs="Arial"/>
          <w:sz w:val="22"/>
          <w:lang w:val="en-US"/>
        </w:rPr>
        <w:t xml:space="preserve">y. </w:t>
      </w:r>
      <w:r w:rsidR="00012D57" w:rsidRPr="00012D57">
        <w:rPr>
          <w:rFonts w:ascii="Arial" w:hAnsi="Arial" w:cs="Arial"/>
          <w:sz w:val="22"/>
          <w:lang w:val="en-US"/>
        </w:rPr>
        <w:t xml:space="preserve">The disconnect must </w:t>
      </w:r>
      <w:r w:rsidR="001C7A8A">
        <w:rPr>
          <w:rFonts w:ascii="Arial" w:hAnsi="Arial" w:cs="Arial"/>
          <w:sz w:val="22"/>
          <w:lang w:val="en-US"/>
        </w:rPr>
        <w:t>include</w:t>
      </w:r>
      <w:r w:rsidR="00012D57" w:rsidRPr="00012D57">
        <w:rPr>
          <w:rFonts w:ascii="Arial" w:hAnsi="Arial" w:cs="Arial"/>
          <w:sz w:val="22"/>
          <w:lang w:val="en-US"/>
        </w:rPr>
        <w:t xml:space="preserve"> cardiovascular screening and interventions based on mobility impairments.</w:t>
      </w:r>
    </w:p>
    <w:p w14:paraId="2FA0E2DA" w14:textId="77777777" w:rsidR="002D24C4" w:rsidRPr="005D2610" w:rsidRDefault="002D24C4" w:rsidP="005D2610">
      <w:pPr>
        <w:spacing w:line="360" w:lineRule="auto"/>
        <w:rPr>
          <w:rFonts w:ascii="Arial" w:hAnsi="Arial" w:cs="Arial"/>
          <w:sz w:val="22"/>
          <w:lang w:val="en-US"/>
        </w:rPr>
      </w:pPr>
    </w:p>
    <w:p w14:paraId="7971FEB6" w14:textId="02009961" w:rsidR="00A369FD" w:rsidRPr="005D2610" w:rsidRDefault="00E42F2C" w:rsidP="005D2610">
      <w:pPr>
        <w:pStyle w:val="Heading4"/>
        <w:spacing w:line="360" w:lineRule="auto"/>
        <w:rPr>
          <w:rFonts w:ascii="Arial" w:hAnsi="Arial" w:cs="Arial"/>
          <w:sz w:val="22"/>
        </w:rPr>
      </w:pPr>
      <w:r w:rsidRPr="005D2610">
        <w:rPr>
          <w:rFonts w:ascii="Arial" w:hAnsi="Arial" w:cs="Arial"/>
          <w:sz w:val="22"/>
        </w:rPr>
        <w:t>Mental Health Disorders</w:t>
      </w:r>
    </w:p>
    <w:p w14:paraId="04300A3F" w14:textId="4A9A9D77" w:rsidR="00542920" w:rsidRPr="005D2610" w:rsidRDefault="002A44C8" w:rsidP="00006EB9">
      <w:pPr>
        <w:spacing w:line="360" w:lineRule="auto"/>
        <w:jc w:val="both"/>
        <w:rPr>
          <w:rFonts w:ascii="Arial" w:hAnsi="Arial" w:cs="Arial"/>
          <w:sz w:val="22"/>
          <w:lang w:val="en-US"/>
        </w:rPr>
      </w:pPr>
      <w:r w:rsidRPr="002A44C8">
        <w:rPr>
          <w:rFonts w:ascii="Arial" w:hAnsi="Arial" w:cs="Arial"/>
          <w:sz w:val="22"/>
          <w:lang w:val="en-US"/>
        </w:rPr>
        <w:t>The percentage of the population with an anxiety or depression is nearly 45</w:t>
      </w:r>
      <w:r w:rsidR="005241FE">
        <w:rPr>
          <w:rFonts w:ascii="Arial" w:hAnsi="Arial" w:cs="Arial"/>
          <w:sz w:val="22"/>
          <w:lang w:val="en-US"/>
        </w:rPr>
        <w:t>%</w:t>
      </w:r>
      <w:r w:rsidRPr="002A44C8">
        <w:rPr>
          <w:rFonts w:ascii="Arial" w:hAnsi="Arial" w:cs="Arial"/>
          <w:sz w:val="22"/>
          <w:lang w:val="en-US"/>
        </w:rPr>
        <w:t xml:space="preserve"> of the disabled in the UK compared to 15</w:t>
      </w:r>
      <w:r>
        <w:rPr>
          <w:rFonts w:ascii="Arial" w:hAnsi="Arial" w:cs="Arial"/>
          <w:sz w:val="22"/>
          <w:lang w:val="en-US"/>
        </w:rPr>
        <w:t xml:space="preserve">% </w:t>
      </w:r>
      <w:r w:rsidRPr="002A44C8">
        <w:rPr>
          <w:rFonts w:ascii="Arial" w:hAnsi="Arial" w:cs="Arial"/>
          <w:sz w:val="22"/>
          <w:lang w:val="en-US"/>
        </w:rPr>
        <w:t>of the general population (ONS, 2022). Unemployment, social isolation, and stigma are the primary causes of the surge in psychological distress (Kavanagh et al., 2022). Disability aggravates poor mental health and vice versa. These loopholes should be addressed by increasing disability-related community mental-health services and stigma-reduction.</w:t>
      </w:r>
    </w:p>
    <w:p w14:paraId="1860BE30" w14:textId="77777777" w:rsidR="005D6AE7" w:rsidRPr="005D2610" w:rsidRDefault="005D6AE7" w:rsidP="005D2610">
      <w:pPr>
        <w:spacing w:line="360" w:lineRule="auto"/>
        <w:rPr>
          <w:rFonts w:ascii="Arial" w:hAnsi="Arial" w:cs="Arial"/>
          <w:sz w:val="22"/>
          <w:lang w:val="en-US"/>
        </w:rPr>
      </w:pPr>
    </w:p>
    <w:p w14:paraId="40153827" w14:textId="06011C60" w:rsidR="00E67A9C" w:rsidRPr="005D2610" w:rsidRDefault="00E42F2C" w:rsidP="005D2610">
      <w:pPr>
        <w:pStyle w:val="Heading4"/>
        <w:spacing w:line="360" w:lineRule="auto"/>
        <w:rPr>
          <w:rFonts w:ascii="Arial" w:hAnsi="Arial" w:cs="Arial"/>
          <w:sz w:val="22"/>
        </w:rPr>
      </w:pPr>
      <w:r w:rsidRPr="005D2610">
        <w:rPr>
          <w:rFonts w:ascii="Arial" w:hAnsi="Arial" w:cs="Arial"/>
          <w:sz w:val="22"/>
        </w:rPr>
        <w:t>Diabetes</w:t>
      </w:r>
    </w:p>
    <w:p w14:paraId="75B9F7FE" w14:textId="296F54E9" w:rsidR="00A369FD" w:rsidRPr="005D2610" w:rsidRDefault="00E42F2C" w:rsidP="00006EB9">
      <w:pPr>
        <w:spacing w:line="360" w:lineRule="auto"/>
        <w:jc w:val="both"/>
        <w:rPr>
          <w:rFonts w:ascii="Arial" w:hAnsi="Arial" w:cs="Arial"/>
          <w:sz w:val="22"/>
          <w:lang w:val="en-US"/>
        </w:rPr>
      </w:pPr>
      <w:r w:rsidRPr="005D2610">
        <w:rPr>
          <w:rFonts w:ascii="Arial" w:hAnsi="Arial" w:cs="Arial"/>
          <w:sz w:val="22"/>
          <w:lang w:val="en-US"/>
        </w:rPr>
        <w:t xml:space="preserve">Prevalence of diabetes is also much greater, with type 2 diabetes striking 30% more in disabled individuals than among their non-disabled counterparts (Diabetes UK, 2024). Contributing factors are diminished access to preventive health care, drug disparities, and increased risk of obesity associated with inactivity and poor eating habits (Tomic et al., 2022). Effective prevention programs, including modified dietary information and enhanced GP surveillance for disabled patients, play a crucial role in </w:t>
      </w:r>
      <w:r w:rsidR="0075288B" w:rsidRPr="005D2610">
        <w:rPr>
          <w:rFonts w:ascii="Arial" w:hAnsi="Arial" w:cs="Arial"/>
          <w:sz w:val="22"/>
          <w:lang w:val="en-US"/>
        </w:rPr>
        <w:t>minimizing</w:t>
      </w:r>
      <w:r w:rsidRPr="005D2610">
        <w:rPr>
          <w:rFonts w:ascii="Arial" w:hAnsi="Arial" w:cs="Arial"/>
          <w:sz w:val="22"/>
          <w:lang w:val="en-US"/>
        </w:rPr>
        <w:t xml:space="preserve"> this gap.</w:t>
      </w:r>
    </w:p>
    <w:p w14:paraId="09181001" w14:textId="35CE2330" w:rsidR="00E67A9C" w:rsidRPr="005D2610" w:rsidRDefault="00E42F2C" w:rsidP="005D2610">
      <w:pPr>
        <w:pStyle w:val="Heading3"/>
        <w:spacing w:line="360" w:lineRule="auto"/>
        <w:rPr>
          <w:rFonts w:ascii="Arial" w:hAnsi="Arial" w:cs="Arial"/>
          <w:sz w:val="22"/>
          <w:szCs w:val="22"/>
          <w:lang w:val="en-US"/>
        </w:rPr>
      </w:pPr>
      <w:bookmarkStart w:id="4" w:name="_Toc209673770"/>
      <w:r w:rsidRPr="005D2610">
        <w:rPr>
          <w:rFonts w:ascii="Arial" w:hAnsi="Arial" w:cs="Arial"/>
          <w:sz w:val="22"/>
          <w:szCs w:val="22"/>
          <w:lang w:val="en-US"/>
        </w:rPr>
        <w:t>Social Inequalities</w:t>
      </w:r>
      <w:bookmarkEnd w:id="4"/>
    </w:p>
    <w:p w14:paraId="0584849E" w14:textId="21DA03D8" w:rsidR="008C579F" w:rsidRPr="005D2610" w:rsidRDefault="00E42F2C" w:rsidP="005D2610">
      <w:pPr>
        <w:pStyle w:val="Heading4"/>
        <w:spacing w:line="360" w:lineRule="auto"/>
        <w:rPr>
          <w:rFonts w:ascii="Arial" w:hAnsi="Arial" w:cs="Arial"/>
          <w:sz w:val="22"/>
        </w:rPr>
      </w:pPr>
      <w:r w:rsidRPr="005D2610">
        <w:rPr>
          <w:rFonts w:ascii="Arial" w:hAnsi="Arial" w:cs="Arial"/>
          <w:sz w:val="22"/>
        </w:rPr>
        <w:t>Employment and Income Inequality</w:t>
      </w:r>
    </w:p>
    <w:p w14:paraId="0E84C33F" w14:textId="7DEA1A24" w:rsidR="00A5551E" w:rsidRPr="005D2610" w:rsidRDefault="00E42F2C" w:rsidP="00006EB9">
      <w:pPr>
        <w:spacing w:line="360" w:lineRule="auto"/>
        <w:jc w:val="both"/>
        <w:rPr>
          <w:rFonts w:ascii="Arial" w:hAnsi="Arial" w:cs="Arial"/>
          <w:sz w:val="22"/>
          <w:lang w:val="en-US"/>
        </w:rPr>
      </w:pPr>
      <w:r w:rsidRPr="005D2610">
        <w:rPr>
          <w:rFonts w:ascii="Arial" w:hAnsi="Arial" w:cs="Arial"/>
          <w:sz w:val="22"/>
          <w:lang w:val="en-US"/>
        </w:rPr>
        <w:t xml:space="preserve">Work and income disparities are ongoing issues for disabled individuals within the UK. Just 53% of working-age disabled individuals are employed, in contrast to 82% of non-disabled workers, producing a wide "disability employment gap" (GOV.UK, 2024). This gap supports increased rates of poverty, limited access to healthy food, and challenges in paying for health requirements (Jones et al., 2021). Low earnings are also associated with worse long-term health results. Supported employment initiatives and enforcement of work reasonable adjustments through the Equality Act 2010 are critical to bridge this gap and </w:t>
      </w:r>
      <w:r w:rsidR="0075288B" w:rsidRPr="005D2610">
        <w:rPr>
          <w:rFonts w:ascii="Arial" w:hAnsi="Arial" w:cs="Arial"/>
          <w:sz w:val="22"/>
          <w:lang w:val="en-US"/>
        </w:rPr>
        <w:t>minimizes</w:t>
      </w:r>
      <w:r w:rsidRPr="005D2610">
        <w:rPr>
          <w:rFonts w:ascii="Arial" w:hAnsi="Arial" w:cs="Arial"/>
          <w:sz w:val="22"/>
          <w:lang w:val="en-US"/>
        </w:rPr>
        <w:t xml:space="preserve"> health inequalities (GOV.UK, 2010).</w:t>
      </w:r>
    </w:p>
    <w:p w14:paraId="694610D5" w14:textId="72E681A6" w:rsidR="008C579F" w:rsidRPr="005D2610" w:rsidRDefault="00E42F2C" w:rsidP="005D2610">
      <w:pPr>
        <w:pStyle w:val="Heading4"/>
        <w:spacing w:line="360" w:lineRule="auto"/>
        <w:rPr>
          <w:rFonts w:ascii="Arial" w:hAnsi="Arial" w:cs="Arial"/>
          <w:sz w:val="22"/>
        </w:rPr>
      </w:pPr>
      <w:r w:rsidRPr="005D2610">
        <w:rPr>
          <w:rFonts w:ascii="Arial" w:hAnsi="Arial" w:cs="Arial"/>
          <w:sz w:val="22"/>
        </w:rPr>
        <w:t>Healthcare Access Barriers</w:t>
      </w:r>
    </w:p>
    <w:p w14:paraId="6428E92E" w14:textId="6FB91760" w:rsidR="00535E70" w:rsidRPr="005D2610" w:rsidRDefault="00E42F2C" w:rsidP="00DA3053">
      <w:pPr>
        <w:spacing w:line="360" w:lineRule="auto"/>
        <w:jc w:val="both"/>
        <w:rPr>
          <w:rFonts w:ascii="Arial" w:hAnsi="Arial" w:cs="Arial"/>
          <w:sz w:val="22"/>
          <w:lang w:val="en-US"/>
        </w:rPr>
      </w:pPr>
      <w:r w:rsidRPr="005D2610">
        <w:rPr>
          <w:rFonts w:ascii="Arial" w:hAnsi="Arial" w:cs="Arial"/>
          <w:sz w:val="22"/>
          <w:lang w:val="en-US"/>
        </w:rPr>
        <w:t xml:space="preserve">Barriers to accessing health care are also a significant concern. Disabled individuals experience difficulties in accessing hospital or GP services in a third of cases, usually because facilities are inaccessible, due to transport problems, or because of insufficient communication support (ONS, 2022). These barriers can result in late diagnoses, worse control of long-term conditions, and avoidable </w:t>
      </w:r>
      <w:r w:rsidR="0075288B" w:rsidRPr="005D2610">
        <w:rPr>
          <w:rFonts w:ascii="Arial" w:hAnsi="Arial" w:cs="Arial"/>
          <w:sz w:val="22"/>
          <w:lang w:val="en-US"/>
        </w:rPr>
        <w:t>hospitalization’s</w:t>
      </w:r>
      <w:r w:rsidRPr="005D2610">
        <w:rPr>
          <w:rFonts w:ascii="Arial" w:hAnsi="Arial" w:cs="Arial"/>
          <w:sz w:val="22"/>
          <w:lang w:val="en-US"/>
        </w:rPr>
        <w:t xml:space="preserve"> (Clemente et al., 2022). Reducing these inequities necessitates investment in completely accessible health facilities, better transport facilities, and holistic disability-awareness education for healthcare workers to facilitate equitable delivery of care.</w:t>
      </w:r>
    </w:p>
    <w:p w14:paraId="6F4A527A" w14:textId="77777777" w:rsidR="00535E70" w:rsidRPr="005D2610" w:rsidRDefault="00535E70" w:rsidP="005D2610">
      <w:pPr>
        <w:spacing w:line="360" w:lineRule="auto"/>
        <w:rPr>
          <w:rFonts w:ascii="Arial" w:hAnsi="Arial" w:cs="Arial"/>
          <w:sz w:val="22"/>
          <w:lang w:val="en-US"/>
        </w:rPr>
      </w:pPr>
    </w:p>
    <w:p w14:paraId="0CBF4131" w14:textId="391EC433" w:rsidR="00E67A9C" w:rsidRPr="005D2610" w:rsidRDefault="00E42F2C" w:rsidP="005D2610">
      <w:pPr>
        <w:pStyle w:val="Heading4"/>
        <w:spacing w:line="360" w:lineRule="auto"/>
        <w:rPr>
          <w:rFonts w:ascii="Arial" w:hAnsi="Arial" w:cs="Arial"/>
          <w:sz w:val="22"/>
        </w:rPr>
      </w:pPr>
      <w:r w:rsidRPr="005D2610">
        <w:rPr>
          <w:rFonts w:ascii="Arial" w:hAnsi="Arial" w:cs="Arial"/>
          <w:sz w:val="22"/>
        </w:rPr>
        <w:t>Social Exclusion and Stigma</w:t>
      </w:r>
    </w:p>
    <w:p w14:paraId="2DDA1164" w14:textId="083D3E7F" w:rsidR="008C579F" w:rsidRPr="005D2610" w:rsidRDefault="00E42F2C" w:rsidP="00006EB9">
      <w:pPr>
        <w:spacing w:line="360" w:lineRule="auto"/>
        <w:jc w:val="both"/>
        <w:rPr>
          <w:rFonts w:ascii="Arial" w:hAnsi="Arial" w:cs="Arial"/>
          <w:sz w:val="22"/>
          <w:lang w:val="en-US"/>
        </w:rPr>
      </w:pPr>
      <w:r w:rsidRPr="005D2610">
        <w:rPr>
          <w:rFonts w:ascii="Arial" w:hAnsi="Arial" w:cs="Arial"/>
          <w:sz w:val="22"/>
          <w:lang w:val="en-US"/>
        </w:rPr>
        <w:t>Exclusion and stigma are also key factors in health inequalities. Disabled working-age adults are twice as likely as the general population to report feeling lonely (ONS, 2022), which is related to poor mental health, increased stress, and death (</w:t>
      </w:r>
      <w:proofErr w:type="spellStart"/>
      <w:r w:rsidRPr="005D2610">
        <w:rPr>
          <w:rFonts w:ascii="Arial" w:hAnsi="Arial" w:cs="Arial"/>
          <w:sz w:val="22"/>
          <w:lang w:val="en-US"/>
        </w:rPr>
        <w:t>Chatzitheochari</w:t>
      </w:r>
      <w:proofErr w:type="spellEnd"/>
      <w:r w:rsidRPr="005D2610">
        <w:rPr>
          <w:rFonts w:ascii="Arial" w:hAnsi="Arial" w:cs="Arial"/>
          <w:sz w:val="22"/>
          <w:lang w:val="en-US"/>
        </w:rPr>
        <w:t xml:space="preserve"> and Butler-Rees, 2023). </w:t>
      </w:r>
      <w:r w:rsidRPr="005D2610">
        <w:rPr>
          <w:rFonts w:ascii="Arial" w:hAnsi="Arial" w:cs="Arial"/>
          <w:sz w:val="22"/>
          <w:lang w:val="en-US"/>
        </w:rPr>
        <w:lastRenderedPageBreak/>
        <w:t>Addressing these needs includes inclusion in the community, peer-support groups, and national campaigns to decrease stigma. These interventions increase a sense of belonging and social capital and improve overall health outcomes.</w:t>
      </w:r>
    </w:p>
    <w:p w14:paraId="3093407D" w14:textId="77777777" w:rsidR="00DB626B" w:rsidRPr="005D2610" w:rsidRDefault="00DB626B" w:rsidP="005D2610">
      <w:pPr>
        <w:spacing w:line="360" w:lineRule="auto"/>
        <w:rPr>
          <w:rFonts w:ascii="Arial" w:hAnsi="Arial" w:cs="Arial"/>
          <w:sz w:val="22"/>
          <w:lang w:val="en-US"/>
        </w:rPr>
      </w:pPr>
    </w:p>
    <w:p w14:paraId="2D96CD3A" w14:textId="138C613E" w:rsidR="00E67A9C" w:rsidRPr="005D2610" w:rsidRDefault="00E42F2C" w:rsidP="005D2610">
      <w:pPr>
        <w:pStyle w:val="Heading2"/>
        <w:spacing w:line="360" w:lineRule="auto"/>
        <w:rPr>
          <w:rFonts w:ascii="Arial" w:hAnsi="Arial" w:cs="Arial"/>
          <w:sz w:val="22"/>
          <w:szCs w:val="22"/>
          <w:lang w:val="en-US"/>
        </w:rPr>
      </w:pPr>
      <w:bookmarkStart w:id="5" w:name="_Toc209673771"/>
      <w:r w:rsidRPr="005D2610">
        <w:rPr>
          <w:rFonts w:ascii="Arial" w:hAnsi="Arial" w:cs="Arial"/>
          <w:sz w:val="22"/>
          <w:szCs w:val="22"/>
          <w:lang w:val="en-US"/>
        </w:rPr>
        <w:t>National Response to Reduce Health Inequalities</w:t>
      </w:r>
      <w:bookmarkEnd w:id="5"/>
    </w:p>
    <w:p w14:paraId="0D4C0569" w14:textId="7A3F7DDB" w:rsidR="00E67A9C" w:rsidRPr="005D2610" w:rsidRDefault="00E42F2C" w:rsidP="00006EB9">
      <w:pPr>
        <w:spacing w:line="360" w:lineRule="auto"/>
        <w:jc w:val="both"/>
        <w:rPr>
          <w:rFonts w:ascii="Arial" w:hAnsi="Arial" w:cs="Arial"/>
          <w:sz w:val="22"/>
          <w:lang w:val="en-US"/>
        </w:rPr>
      </w:pPr>
      <w:r w:rsidRPr="005D2610">
        <w:rPr>
          <w:rFonts w:ascii="Arial" w:hAnsi="Arial" w:cs="Arial"/>
          <w:sz w:val="22"/>
          <w:lang w:val="en-US"/>
        </w:rPr>
        <w:t>UK national policy has sought to address health inequalities for disabled individuals, yet disparities persist. The Equality Act 2010 ensures protection against discrimination in work, health, and public services, providing for reasonable adjustments for disabled people (GOV.UK, 2010). Still, evidence indicates uneven enforcement, and most disabled people continue to encounter systemic issues preventing equal treatment (Clemente et al., 2022). The NHS Long Term Plan also commits to addressing inequalities through widening access to community-based mental health services, investing in tailored care, and enhancing the accessibility of the service for disabled patients (England NHS, 2023). Also, the Disability Confident Scheme introduced by the Department for Work and Pensions encourages employers to recruit, retain, and develop disabled employees. Though there is progress, critics contend that policies frequently fall short in proper monitoring, financing, and accountability to comprehensively tackle ingrained disparities (Hoque et al., 2024).</w:t>
      </w:r>
    </w:p>
    <w:p w14:paraId="70CC34D7" w14:textId="77777777" w:rsidR="00D9395E" w:rsidRPr="005D2610" w:rsidRDefault="00D9395E" w:rsidP="005D2610">
      <w:pPr>
        <w:spacing w:line="360" w:lineRule="auto"/>
        <w:ind w:firstLine="720"/>
        <w:jc w:val="both"/>
        <w:rPr>
          <w:rFonts w:ascii="Arial" w:hAnsi="Arial" w:cs="Arial"/>
          <w:sz w:val="22"/>
          <w:lang w:val="en-US"/>
        </w:rPr>
      </w:pPr>
    </w:p>
    <w:p w14:paraId="78F5E9D6" w14:textId="746DB206" w:rsidR="00E67A9C" w:rsidRPr="005D2610" w:rsidRDefault="0075288B" w:rsidP="005D2610">
      <w:pPr>
        <w:pStyle w:val="Heading2"/>
        <w:spacing w:line="360" w:lineRule="auto"/>
        <w:rPr>
          <w:rFonts w:ascii="Arial" w:hAnsi="Arial" w:cs="Arial"/>
          <w:sz w:val="22"/>
          <w:szCs w:val="22"/>
          <w:lang w:val="en-US"/>
        </w:rPr>
      </w:pPr>
      <w:bookmarkStart w:id="6" w:name="_Toc209673772"/>
      <w:r w:rsidRPr="005D2610">
        <w:rPr>
          <w:rFonts w:ascii="Arial" w:hAnsi="Arial" w:cs="Arial"/>
          <w:sz w:val="22"/>
          <w:szCs w:val="22"/>
          <w:lang w:val="en-US"/>
        </w:rPr>
        <w:t>Organizations’</w:t>
      </w:r>
      <w:r w:rsidR="00E42F2C" w:rsidRPr="005D2610">
        <w:rPr>
          <w:rFonts w:ascii="Arial" w:hAnsi="Arial" w:cs="Arial"/>
          <w:sz w:val="22"/>
          <w:szCs w:val="22"/>
          <w:lang w:val="en-US"/>
        </w:rPr>
        <w:t xml:space="preserve"> Supporting Disabled People</w:t>
      </w:r>
      <w:bookmarkEnd w:id="6"/>
    </w:p>
    <w:p w14:paraId="0D18BD18" w14:textId="7E489CE5" w:rsidR="00E67A9C" w:rsidRPr="005D2610" w:rsidRDefault="00E42F2C" w:rsidP="00006EB9">
      <w:pPr>
        <w:spacing w:line="360" w:lineRule="auto"/>
        <w:jc w:val="both"/>
        <w:rPr>
          <w:rFonts w:ascii="Arial" w:hAnsi="Arial" w:cs="Arial"/>
          <w:sz w:val="22"/>
          <w:lang w:val="en-US"/>
        </w:rPr>
      </w:pPr>
      <w:r w:rsidRPr="005D2610">
        <w:rPr>
          <w:rFonts w:ascii="Arial" w:hAnsi="Arial" w:cs="Arial"/>
          <w:sz w:val="22"/>
          <w:lang w:val="en-US"/>
        </w:rPr>
        <w:t xml:space="preserve">Scope UK is a prominent disability equality charity that endeavors to tackle health and social inequalities experienced by disabled individuals. Its overarching objective is to develop a society where disability does not hinder work, healthcare, housing, or community inclusion. Scope's highly </w:t>
      </w:r>
      <w:r w:rsidR="0075288B" w:rsidRPr="005D2610">
        <w:rPr>
          <w:rFonts w:ascii="Arial" w:hAnsi="Arial" w:cs="Arial"/>
          <w:sz w:val="22"/>
          <w:lang w:val="en-US"/>
        </w:rPr>
        <w:t>publicized</w:t>
      </w:r>
      <w:r w:rsidRPr="005D2610">
        <w:rPr>
          <w:rFonts w:ascii="Arial" w:hAnsi="Arial" w:cs="Arial"/>
          <w:sz w:val="22"/>
          <w:lang w:val="en-US"/>
        </w:rPr>
        <w:t xml:space="preserve"> campaign, Disability Price Tag, promotes awareness of the additional expenses—averaging £583 per month—disabled homes pay, leading to poverty and exacerbating health inequalities (Sanders, 2022). Scope delivers helplines, peer networks, and </w:t>
      </w:r>
      <w:r w:rsidR="0075288B" w:rsidRPr="005D2610">
        <w:rPr>
          <w:rFonts w:ascii="Arial" w:hAnsi="Arial" w:cs="Arial"/>
          <w:sz w:val="22"/>
          <w:lang w:val="en-US"/>
        </w:rPr>
        <w:t>individualized</w:t>
      </w:r>
      <w:r w:rsidRPr="005D2610">
        <w:rPr>
          <w:rFonts w:ascii="Arial" w:hAnsi="Arial" w:cs="Arial"/>
          <w:sz w:val="22"/>
          <w:lang w:val="en-US"/>
        </w:rPr>
        <w:t xml:space="preserve"> work services to support disabled individuals and families. It also promotes policy change, advocating with the government to reduce inequality in access to healthcare and social care. Scope reports on poverty and inequality of income, for example, have helped </w:t>
      </w:r>
      <w:r w:rsidR="0075288B" w:rsidRPr="005D2610">
        <w:rPr>
          <w:rFonts w:ascii="Arial" w:hAnsi="Arial" w:cs="Arial"/>
          <w:sz w:val="22"/>
          <w:lang w:val="en-US"/>
        </w:rPr>
        <w:t>moulid</w:t>
      </w:r>
      <w:r w:rsidRPr="005D2610">
        <w:rPr>
          <w:rFonts w:ascii="Arial" w:hAnsi="Arial" w:cs="Arial"/>
          <w:sz w:val="22"/>
          <w:lang w:val="en-US"/>
        </w:rPr>
        <w:t xml:space="preserve"> national policy and public debate (Mitra and Gao, 2023). </w:t>
      </w:r>
      <w:r w:rsidR="00DD1B7E" w:rsidRPr="005D2610">
        <w:rPr>
          <w:rFonts w:ascii="Arial" w:hAnsi="Arial" w:cs="Arial"/>
          <w:sz w:val="22"/>
          <w:lang w:val="en-US"/>
        </w:rPr>
        <w:t>Therefore</w:t>
      </w:r>
      <w:r w:rsidRPr="005D2610">
        <w:rPr>
          <w:rFonts w:ascii="Arial" w:hAnsi="Arial" w:cs="Arial"/>
          <w:sz w:val="22"/>
          <w:lang w:val="en-US"/>
        </w:rPr>
        <w:t xml:space="preserve">, </w:t>
      </w:r>
      <w:r w:rsidR="005C0433" w:rsidRPr="005D2610">
        <w:rPr>
          <w:rFonts w:ascii="Arial" w:hAnsi="Arial" w:cs="Arial"/>
          <w:sz w:val="22"/>
          <w:lang w:val="en-US"/>
        </w:rPr>
        <w:t>s</w:t>
      </w:r>
      <w:r w:rsidRPr="005D2610">
        <w:rPr>
          <w:rFonts w:ascii="Arial" w:hAnsi="Arial" w:cs="Arial"/>
          <w:sz w:val="22"/>
          <w:lang w:val="en-US"/>
        </w:rPr>
        <w:t>cope raises awareness and brings about systemic change.</w:t>
      </w:r>
    </w:p>
    <w:p w14:paraId="4C52F9B1" w14:textId="77777777" w:rsidR="00D9395E" w:rsidRPr="005D2610" w:rsidRDefault="00D9395E" w:rsidP="005D2610">
      <w:pPr>
        <w:spacing w:line="360" w:lineRule="auto"/>
        <w:rPr>
          <w:rFonts w:ascii="Arial" w:hAnsi="Arial" w:cs="Arial"/>
          <w:sz w:val="22"/>
          <w:lang w:val="en-US"/>
        </w:rPr>
      </w:pPr>
    </w:p>
    <w:p w14:paraId="63DB3941" w14:textId="52B8A390" w:rsidR="00E67A9C" w:rsidRPr="005D2610" w:rsidRDefault="00E42F2C" w:rsidP="005D2610">
      <w:pPr>
        <w:pStyle w:val="Heading2"/>
        <w:spacing w:line="360" w:lineRule="auto"/>
        <w:rPr>
          <w:rFonts w:ascii="Arial" w:hAnsi="Arial" w:cs="Arial"/>
          <w:sz w:val="22"/>
          <w:szCs w:val="22"/>
          <w:lang w:val="en-US"/>
        </w:rPr>
      </w:pPr>
      <w:bookmarkStart w:id="7" w:name="_Toc209673773"/>
      <w:r w:rsidRPr="005D2610">
        <w:rPr>
          <w:rFonts w:ascii="Arial" w:hAnsi="Arial" w:cs="Arial"/>
          <w:sz w:val="22"/>
          <w:szCs w:val="22"/>
          <w:lang w:val="en-US"/>
        </w:rPr>
        <w:lastRenderedPageBreak/>
        <w:t>Conclusion</w:t>
      </w:r>
      <w:bookmarkEnd w:id="7"/>
    </w:p>
    <w:p w14:paraId="6AFDFC3F" w14:textId="3BEDB12B" w:rsidR="006D0DF4" w:rsidRPr="005D2610" w:rsidRDefault="00E42F2C" w:rsidP="00006EB9">
      <w:pPr>
        <w:spacing w:line="360" w:lineRule="auto"/>
        <w:jc w:val="both"/>
        <w:rPr>
          <w:rFonts w:ascii="Arial" w:hAnsi="Arial" w:cs="Arial"/>
          <w:sz w:val="22"/>
          <w:lang w:val="en-US"/>
        </w:rPr>
      </w:pPr>
      <w:r w:rsidRPr="005D2610">
        <w:rPr>
          <w:rFonts w:ascii="Arial" w:hAnsi="Arial" w:cs="Arial"/>
          <w:sz w:val="22"/>
          <w:lang w:val="en-US"/>
        </w:rPr>
        <w:t xml:space="preserve">Disabled individuals in the UK suffer from significant inequalities in their health, having a higher prevalence of cardiovascular diseases, diabetes, and mental illnesses, as well as social issues like poverty and inequality of income, access to healthcare, and stigma. While national strategies and activities, aided by charities such as Scope, have attempted to tackle these inequalities, progress is patchy. There needs to be consistent policy effort, more focused health interventions, and effective enforcement of disability rights. </w:t>
      </w:r>
      <w:r w:rsidR="00D55D36" w:rsidRPr="005D2610">
        <w:rPr>
          <w:rFonts w:ascii="Arial" w:hAnsi="Arial" w:cs="Arial"/>
          <w:sz w:val="22"/>
          <w:lang w:val="en-US"/>
        </w:rPr>
        <w:t>Critically</w:t>
      </w:r>
      <w:r w:rsidRPr="005D2610">
        <w:rPr>
          <w:rFonts w:ascii="Arial" w:hAnsi="Arial" w:cs="Arial"/>
          <w:sz w:val="22"/>
          <w:lang w:val="en-US"/>
        </w:rPr>
        <w:t>, though, is creating inclusive social attitudes to enable disabled individuals to live healthier, more equal lives.</w:t>
      </w:r>
      <w:r w:rsidRPr="005D2610">
        <w:rPr>
          <w:rFonts w:ascii="Arial" w:hAnsi="Arial" w:cs="Arial"/>
          <w:sz w:val="22"/>
          <w:lang w:val="en-US"/>
        </w:rPr>
        <w:br w:type="page"/>
      </w:r>
    </w:p>
    <w:p w14:paraId="4B04C01C" w14:textId="0207782D" w:rsidR="006D0DF4" w:rsidRPr="005D2610" w:rsidRDefault="00E42F2C" w:rsidP="005D2610">
      <w:pPr>
        <w:pStyle w:val="Heading2"/>
        <w:spacing w:line="360" w:lineRule="auto"/>
        <w:rPr>
          <w:rFonts w:ascii="Arial" w:hAnsi="Arial" w:cs="Arial"/>
          <w:sz w:val="22"/>
          <w:szCs w:val="22"/>
          <w:lang w:val="en-US"/>
        </w:rPr>
      </w:pPr>
      <w:bookmarkStart w:id="8" w:name="_Toc209673774"/>
      <w:r w:rsidRPr="005D2610">
        <w:rPr>
          <w:rFonts w:ascii="Arial" w:hAnsi="Arial" w:cs="Arial"/>
          <w:sz w:val="22"/>
          <w:szCs w:val="22"/>
          <w:lang w:val="en-US"/>
        </w:rPr>
        <w:lastRenderedPageBreak/>
        <w:t>References</w:t>
      </w:r>
      <w:bookmarkEnd w:id="8"/>
    </w:p>
    <w:p w14:paraId="648ACEDE" w14:textId="5EE94FCC" w:rsidR="00EA0975"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Bartley, M. and Kelly-Irving, M., </w:t>
      </w:r>
      <w:r w:rsidR="00BF3797" w:rsidRPr="005D2610">
        <w:rPr>
          <w:rFonts w:ascii="Arial" w:hAnsi="Arial" w:cs="Arial"/>
          <w:sz w:val="22"/>
        </w:rPr>
        <w:t>(</w:t>
      </w:r>
      <w:r w:rsidRPr="005D2610">
        <w:rPr>
          <w:rFonts w:ascii="Arial" w:hAnsi="Arial" w:cs="Arial"/>
          <w:sz w:val="22"/>
        </w:rPr>
        <w:t>2024</w:t>
      </w:r>
      <w:r w:rsidR="00BF3797" w:rsidRPr="005D2610">
        <w:rPr>
          <w:rFonts w:ascii="Arial" w:hAnsi="Arial" w:cs="Arial"/>
          <w:sz w:val="22"/>
        </w:rPr>
        <w:t>)</w:t>
      </w:r>
      <w:r w:rsidRPr="005D2610">
        <w:rPr>
          <w:rFonts w:ascii="Arial" w:hAnsi="Arial" w:cs="Arial"/>
          <w:sz w:val="22"/>
        </w:rPr>
        <w:t>. </w:t>
      </w:r>
      <w:r w:rsidRPr="005D2610">
        <w:rPr>
          <w:rFonts w:ascii="Arial" w:hAnsi="Arial" w:cs="Arial"/>
          <w:i/>
          <w:iCs/>
          <w:sz w:val="22"/>
        </w:rPr>
        <w:t>Health inequality: an introduction to concepts, theories and methods</w:t>
      </w:r>
      <w:r w:rsidRPr="005D2610">
        <w:rPr>
          <w:rFonts w:ascii="Arial" w:hAnsi="Arial" w:cs="Arial"/>
          <w:sz w:val="22"/>
        </w:rPr>
        <w:t>. John Wiley &amp; Sons.</w:t>
      </w:r>
      <w:r w:rsidR="00BF3797" w:rsidRPr="005D2610">
        <w:rPr>
          <w:rFonts w:ascii="Arial" w:hAnsi="Arial" w:cs="Arial"/>
          <w:sz w:val="22"/>
        </w:rPr>
        <w:t xml:space="preserve"> </w:t>
      </w:r>
    </w:p>
    <w:p w14:paraId="3C2F05B9" w14:textId="2A223065" w:rsidR="00EA0975" w:rsidRPr="005D2610" w:rsidRDefault="00E42F2C" w:rsidP="005D2610">
      <w:pPr>
        <w:spacing w:line="360" w:lineRule="auto"/>
        <w:ind w:left="720" w:hanging="720"/>
        <w:rPr>
          <w:rFonts w:ascii="Arial" w:hAnsi="Arial" w:cs="Arial"/>
          <w:sz w:val="22"/>
        </w:rPr>
      </w:pPr>
      <w:proofErr w:type="spellStart"/>
      <w:r w:rsidRPr="005D2610">
        <w:rPr>
          <w:rFonts w:ascii="Arial" w:hAnsi="Arial" w:cs="Arial"/>
          <w:sz w:val="22"/>
        </w:rPr>
        <w:t>Chatzitheochari</w:t>
      </w:r>
      <w:proofErr w:type="spellEnd"/>
      <w:r w:rsidRPr="005D2610">
        <w:rPr>
          <w:rFonts w:ascii="Arial" w:hAnsi="Arial" w:cs="Arial"/>
          <w:sz w:val="22"/>
        </w:rPr>
        <w:t xml:space="preserve">, S. and Butler-Rees, A., </w:t>
      </w:r>
      <w:r w:rsidR="00BF3797" w:rsidRPr="005D2610">
        <w:rPr>
          <w:rFonts w:ascii="Arial" w:hAnsi="Arial" w:cs="Arial"/>
          <w:sz w:val="22"/>
        </w:rPr>
        <w:t>(</w:t>
      </w:r>
      <w:r w:rsidRPr="005D2610">
        <w:rPr>
          <w:rFonts w:ascii="Arial" w:hAnsi="Arial" w:cs="Arial"/>
          <w:sz w:val="22"/>
        </w:rPr>
        <w:t>2023</w:t>
      </w:r>
      <w:r w:rsidR="00BF3797" w:rsidRPr="005D2610">
        <w:rPr>
          <w:rFonts w:ascii="Arial" w:hAnsi="Arial" w:cs="Arial"/>
          <w:sz w:val="22"/>
        </w:rPr>
        <w:t>)</w:t>
      </w:r>
      <w:r w:rsidRPr="005D2610">
        <w:rPr>
          <w:rFonts w:ascii="Arial" w:hAnsi="Arial" w:cs="Arial"/>
          <w:sz w:val="22"/>
        </w:rPr>
        <w:t>. Disability, social class and stigma: An intersectional analysis of disabled young people’s school experiences. </w:t>
      </w:r>
      <w:r w:rsidRPr="005D2610">
        <w:rPr>
          <w:rFonts w:ascii="Arial" w:hAnsi="Arial" w:cs="Arial"/>
          <w:i/>
          <w:iCs/>
          <w:sz w:val="22"/>
        </w:rPr>
        <w:t>Sociology</w:t>
      </w:r>
      <w:r w:rsidRPr="005D2610">
        <w:rPr>
          <w:rFonts w:ascii="Arial" w:hAnsi="Arial" w:cs="Arial"/>
          <w:sz w:val="22"/>
        </w:rPr>
        <w:t>, </w:t>
      </w:r>
      <w:r w:rsidRPr="005D2610">
        <w:rPr>
          <w:rFonts w:ascii="Arial" w:hAnsi="Arial" w:cs="Arial"/>
          <w:i/>
          <w:iCs/>
          <w:sz w:val="22"/>
        </w:rPr>
        <w:t>57</w:t>
      </w:r>
      <w:r w:rsidRPr="005D2610">
        <w:rPr>
          <w:rFonts w:ascii="Arial" w:hAnsi="Arial" w:cs="Arial"/>
          <w:sz w:val="22"/>
        </w:rPr>
        <w:t>(5), pp.1156-1174.</w:t>
      </w:r>
    </w:p>
    <w:p w14:paraId="72FB5356" w14:textId="7E84868E" w:rsidR="00EA0975"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Clemente, K.A.P., Silva, S.V.D., Vieira, G.I., Bortoli, M.C.D., Toma, T.S., Ramos, V.D. and Brito, C.M.M.D., </w:t>
      </w:r>
      <w:r w:rsidR="00BF3797" w:rsidRPr="005D2610">
        <w:rPr>
          <w:rFonts w:ascii="Arial" w:hAnsi="Arial" w:cs="Arial"/>
          <w:sz w:val="22"/>
        </w:rPr>
        <w:t>(</w:t>
      </w:r>
      <w:r w:rsidRPr="005D2610">
        <w:rPr>
          <w:rFonts w:ascii="Arial" w:hAnsi="Arial" w:cs="Arial"/>
          <w:sz w:val="22"/>
        </w:rPr>
        <w:t>2022</w:t>
      </w:r>
      <w:r w:rsidR="00BF3797" w:rsidRPr="005D2610">
        <w:rPr>
          <w:rFonts w:ascii="Arial" w:hAnsi="Arial" w:cs="Arial"/>
          <w:sz w:val="22"/>
        </w:rPr>
        <w:t>)</w:t>
      </w:r>
      <w:r w:rsidRPr="005D2610">
        <w:rPr>
          <w:rFonts w:ascii="Arial" w:hAnsi="Arial" w:cs="Arial"/>
          <w:sz w:val="22"/>
        </w:rPr>
        <w:t>. Barriers to the access of people with disabilities to health services: a scoping review. </w:t>
      </w:r>
      <w:proofErr w:type="spellStart"/>
      <w:r w:rsidRPr="005D2610">
        <w:rPr>
          <w:rFonts w:ascii="Arial" w:hAnsi="Arial" w:cs="Arial"/>
          <w:i/>
          <w:iCs/>
          <w:sz w:val="22"/>
        </w:rPr>
        <w:t>Revista</w:t>
      </w:r>
      <w:proofErr w:type="spellEnd"/>
      <w:r w:rsidRPr="005D2610">
        <w:rPr>
          <w:rFonts w:ascii="Arial" w:hAnsi="Arial" w:cs="Arial"/>
          <w:i/>
          <w:iCs/>
          <w:sz w:val="22"/>
        </w:rPr>
        <w:t xml:space="preserve"> de </w:t>
      </w:r>
      <w:proofErr w:type="spellStart"/>
      <w:r w:rsidRPr="005D2610">
        <w:rPr>
          <w:rFonts w:ascii="Arial" w:hAnsi="Arial" w:cs="Arial"/>
          <w:i/>
          <w:iCs/>
          <w:sz w:val="22"/>
        </w:rPr>
        <w:t>saude</w:t>
      </w:r>
      <w:proofErr w:type="spellEnd"/>
      <w:r w:rsidRPr="005D2610">
        <w:rPr>
          <w:rFonts w:ascii="Arial" w:hAnsi="Arial" w:cs="Arial"/>
          <w:i/>
          <w:iCs/>
          <w:sz w:val="22"/>
        </w:rPr>
        <w:t xml:space="preserve"> publica</w:t>
      </w:r>
      <w:r w:rsidRPr="005D2610">
        <w:rPr>
          <w:rFonts w:ascii="Arial" w:hAnsi="Arial" w:cs="Arial"/>
          <w:sz w:val="22"/>
        </w:rPr>
        <w:t>, </w:t>
      </w:r>
      <w:r w:rsidRPr="005D2610">
        <w:rPr>
          <w:rFonts w:ascii="Arial" w:hAnsi="Arial" w:cs="Arial"/>
          <w:i/>
          <w:iCs/>
          <w:sz w:val="22"/>
        </w:rPr>
        <w:t>56</w:t>
      </w:r>
      <w:r w:rsidRPr="005D2610">
        <w:rPr>
          <w:rFonts w:ascii="Arial" w:hAnsi="Arial" w:cs="Arial"/>
          <w:sz w:val="22"/>
        </w:rPr>
        <w:t>, p.64.</w:t>
      </w:r>
    </w:p>
    <w:p w14:paraId="2EB8EEDF" w14:textId="0C2AF651" w:rsidR="00EA0975"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Conrad, N., Verbeke, G., </w:t>
      </w:r>
      <w:proofErr w:type="spellStart"/>
      <w:r w:rsidRPr="005D2610">
        <w:rPr>
          <w:rFonts w:ascii="Arial" w:hAnsi="Arial" w:cs="Arial"/>
          <w:sz w:val="22"/>
        </w:rPr>
        <w:t>Molenberghs</w:t>
      </w:r>
      <w:proofErr w:type="spellEnd"/>
      <w:r w:rsidRPr="005D2610">
        <w:rPr>
          <w:rFonts w:ascii="Arial" w:hAnsi="Arial" w:cs="Arial"/>
          <w:sz w:val="22"/>
        </w:rPr>
        <w:t xml:space="preserve">, G., Goetschalckx, L., Callender, T., Cambridge, G., Mason, J.C., Rahimi, K., McMurray, J.J. and </w:t>
      </w:r>
      <w:proofErr w:type="spellStart"/>
      <w:r w:rsidRPr="005D2610">
        <w:rPr>
          <w:rFonts w:ascii="Arial" w:hAnsi="Arial" w:cs="Arial"/>
          <w:sz w:val="22"/>
        </w:rPr>
        <w:t>Verbakel</w:t>
      </w:r>
      <w:proofErr w:type="spellEnd"/>
      <w:r w:rsidRPr="005D2610">
        <w:rPr>
          <w:rFonts w:ascii="Arial" w:hAnsi="Arial" w:cs="Arial"/>
          <w:sz w:val="22"/>
        </w:rPr>
        <w:t xml:space="preserve">, J.Y., </w:t>
      </w:r>
      <w:r w:rsidR="00BF3797" w:rsidRPr="005D2610">
        <w:rPr>
          <w:rFonts w:ascii="Arial" w:hAnsi="Arial" w:cs="Arial"/>
          <w:sz w:val="22"/>
        </w:rPr>
        <w:t>(</w:t>
      </w:r>
      <w:r w:rsidRPr="005D2610">
        <w:rPr>
          <w:rFonts w:ascii="Arial" w:hAnsi="Arial" w:cs="Arial"/>
          <w:sz w:val="22"/>
        </w:rPr>
        <w:t>2022</w:t>
      </w:r>
      <w:r w:rsidR="00BF3797" w:rsidRPr="005D2610">
        <w:rPr>
          <w:rFonts w:ascii="Arial" w:hAnsi="Arial" w:cs="Arial"/>
          <w:sz w:val="22"/>
        </w:rPr>
        <w:t>)</w:t>
      </w:r>
      <w:r w:rsidRPr="005D2610">
        <w:rPr>
          <w:rFonts w:ascii="Arial" w:hAnsi="Arial" w:cs="Arial"/>
          <w:sz w:val="22"/>
        </w:rPr>
        <w:t>. Autoimmune diseases and cardiovascular risk: a population-based study on 19 autoimmune diseases and 12 cardiovascular diseases in 22 million individuals in the UK. </w:t>
      </w:r>
      <w:r w:rsidRPr="005D2610">
        <w:rPr>
          <w:rFonts w:ascii="Arial" w:hAnsi="Arial" w:cs="Arial"/>
          <w:i/>
          <w:iCs/>
          <w:sz w:val="22"/>
        </w:rPr>
        <w:t>The Lancet</w:t>
      </w:r>
      <w:r w:rsidRPr="005D2610">
        <w:rPr>
          <w:rFonts w:ascii="Arial" w:hAnsi="Arial" w:cs="Arial"/>
          <w:sz w:val="22"/>
        </w:rPr>
        <w:t>, </w:t>
      </w:r>
      <w:r w:rsidRPr="005D2610">
        <w:rPr>
          <w:rFonts w:ascii="Arial" w:hAnsi="Arial" w:cs="Arial"/>
          <w:i/>
          <w:iCs/>
          <w:sz w:val="22"/>
        </w:rPr>
        <w:t>400</w:t>
      </w:r>
      <w:r w:rsidRPr="005D2610">
        <w:rPr>
          <w:rFonts w:ascii="Arial" w:hAnsi="Arial" w:cs="Arial"/>
          <w:sz w:val="22"/>
        </w:rPr>
        <w:t>(10354), pp.733-743.</w:t>
      </w:r>
    </w:p>
    <w:p w14:paraId="07B0B8C2" w14:textId="1215A214" w:rsidR="00EA0975"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Cortese, C., Truscott, F., </w:t>
      </w:r>
      <w:proofErr w:type="spellStart"/>
      <w:r w:rsidRPr="005D2610">
        <w:rPr>
          <w:rFonts w:ascii="Arial" w:hAnsi="Arial" w:cs="Arial"/>
          <w:sz w:val="22"/>
        </w:rPr>
        <w:t>Nikidehaghani</w:t>
      </w:r>
      <w:proofErr w:type="spellEnd"/>
      <w:r w:rsidRPr="005D2610">
        <w:rPr>
          <w:rFonts w:ascii="Arial" w:hAnsi="Arial" w:cs="Arial"/>
          <w:sz w:val="22"/>
        </w:rPr>
        <w:t xml:space="preserve">, M. and Chapple, S., </w:t>
      </w:r>
      <w:r w:rsidR="00BF3797" w:rsidRPr="005D2610">
        <w:rPr>
          <w:rFonts w:ascii="Arial" w:hAnsi="Arial" w:cs="Arial"/>
          <w:sz w:val="22"/>
        </w:rPr>
        <w:t>(</w:t>
      </w:r>
      <w:r w:rsidRPr="005D2610">
        <w:rPr>
          <w:rFonts w:ascii="Arial" w:hAnsi="Arial" w:cs="Arial"/>
          <w:sz w:val="22"/>
        </w:rPr>
        <w:t>2021</w:t>
      </w:r>
      <w:r w:rsidR="00BF3797" w:rsidRPr="005D2610">
        <w:rPr>
          <w:rFonts w:ascii="Arial" w:hAnsi="Arial" w:cs="Arial"/>
          <w:sz w:val="22"/>
        </w:rPr>
        <w:t>)</w:t>
      </w:r>
      <w:r w:rsidRPr="005D2610">
        <w:rPr>
          <w:rFonts w:ascii="Arial" w:hAnsi="Arial" w:cs="Arial"/>
          <w:sz w:val="22"/>
        </w:rPr>
        <w:t>. Hard-to-reach: The NDIS, disability, and socio-economic disadvantage. </w:t>
      </w:r>
      <w:r w:rsidRPr="005D2610">
        <w:rPr>
          <w:rFonts w:ascii="Arial" w:hAnsi="Arial" w:cs="Arial"/>
          <w:i/>
          <w:iCs/>
          <w:sz w:val="22"/>
        </w:rPr>
        <w:t>Disability &amp; Society</w:t>
      </w:r>
      <w:r w:rsidRPr="005D2610">
        <w:rPr>
          <w:rFonts w:ascii="Arial" w:hAnsi="Arial" w:cs="Arial"/>
          <w:sz w:val="22"/>
        </w:rPr>
        <w:t>, </w:t>
      </w:r>
      <w:r w:rsidRPr="005D2610">
        <w:rPr>
          <w:rFonts w:ascii="Arial" w:hAnsi="Arial" w:cs="Arial"/>
          <w:i/>
          <w:iCs/>
          <w:sz w:val="22"/>
        </w:rPr>
        <w:t>36</w:t>
      </w:r>
      <w:r w:rsidRPr="005D2610">
        <w:rPr>
          <w:rFonts w:ascii="Arial" w:hAnsi="Arial" w:cs="Arial"/>
          <w:sz w:val="22"/>
        </w:rPr>
        <w:t>(6), pp.883-903.</w:t>
      </w:r>
    </w:p>
    <w:p w14:paraId="21AC927E" w14:textId="7B04CB4D" w:rsidR="00EA0975" w:rsidRPr="005D2610" w:rsidRDefault="00E42F2C" w:rsidP="005D2610">
      <w:pPr>
        <w:spacing w:line="360" w:lineRule="auto"/>
        <w:ind w:left="720" w:hanging="720"/>
        <w:rPr>
          <w:rFonts w:ascii="Arial" w:hAnsi="Arial" w:cs="Arial"/>
          <w:sz w:val="22"/>
          <w:lang w:val="en-US"/>
        </w:rPr>
      </w:pPr>
      <w:r w:rsidRPr="005D2610">
        <w:rPr>
          <w:rFonts w:ascii="Arial" w:hAnsi="Arial" w:cs="Arial"/>
          <w:sz w:val="22"/>
          <w:lang w:val="en-US"/>
        </w:rPr>
        <w:t xml:space="preserve">Diabetes UK (2024). </w:t>
      </w:r>
      <w:r w:rsidRPr="005D2610">
        <w:rPr>
          <w:rFonts w:ascii="Arial" w:hAnsi="Arial" w:cs="Arial"/>
          <w:i/>
          <w:iCs/>
          <w:sz w:val="22"/>
          <w:lang w:val="en-US"/>
        </w:rPr>
        <w:t>30% of people living with type 2 diabetes in England are undiagnosed, ONS analysis shows</w:t>
      </w:r>
      <w:r w:rsidRPr="005D2610">
        <w:rPr>
          <w:rFonts w:ascii="Arial" w:hAnsi="Arial" w:cs="Arial"/>
          <w:sz w:val="22"/>
          <w:lang w:val="en-US"/>
        </w:rPr>
        <w:t xml:space="preserve">. [online] Diabetes UK. Available at: </w:t>
      </w:r>
      <w:hyperlink r:id="rId8" w:history="1">
        <w:r w:rsidR="00754FBF" w:rsidRPr="005D2610">
          <w:rPr>
            <w:rStyle w:val="Hyperlink"/>
            <w:rFonts w:ascii="Arial" w:hAnsi="Arial" w:cs="Arial"/>
            <w:sz w:val="22"/>
            <w:lang w:val="en-US"/>
          </w:rPr>
          <w:t>https://www.diabetes.org.uk/about-us/news-and-views/30-people-living-type-2-diabetes-england-are-undiagnosed-ons-analysis-shows</w:t>
        </w:r>
      </w:hyperlink>
      <w:r w:rsidR="00754FBF" w:rsidRPr="005D2610">
        <w:rPr>
          <w:rFonts w:ascii="Arial" w:hAnsi="Arial" w:cs="Arial"/>
          <w:sz w:val="22"/>
          <w:lang w:val="en-US"/>
        </w:rPr>
        <w:t xml:space="preserve"> </w:t>
      </w:r>
      <w:r w:rsidRPr="005D2610">
        <w:rPr>
          <w:rFonts w:ascii="Arial" w:hAnsi="Arial" w:cs="Arial"/>
          <w:sz w:val="22"/>
          <w:lang w:val="en-US"/>
        </w:rPr>
        <w:t>[Accessed 25 Sep. 2025].</w:t>
      </w:r>
    </w:p>
    <w:p w14:paraId="747C9F19" w14:textId="32A3D154" w:rsidR="00EA0975"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England, N.H.S., </w:t>
      </w:r>
      <w:r w:rsidR="00BF3797" w:rsidRPr="005D2610">
        <w:rPr>
          <w:rFonts w:ascii="Arial" w:hAnsi="Arial" w:cs="Arial"/>
          <w:sz w:val="22"/>
        </w:rPr>
        <w:t>(</w:t>
      </w:r>
      <w:r w:rsidRPr="005D2610">
        <w:rPr>
          <w:rFonts w:ascii="Arial" w:hAnsi="Arial" w:cs="Arial"/>
          <w:sz w:val="22"/>
        </w:rPr>
        <w:t>2023</w:t>
      </w:r>
      <w:r w:rsidR="00BF3797" w:rsidRPr="005D2610">
        <w:rPr>
          <w:rFonts w:ascii="Arial" w:hAnsi="Arial" w:cs="Arial"/>
          <w:sz w:val="22"/>
        </w:rPr>
        <w:t>)</w:t>
      </w:r>
      <w:r w:rsidRPr="005D2610">
        <w:rPr>
          <w:rFonts w:ascii="Arial" w:hAnsi="Arial" w:cs="Arial"/>
          <w:sz w:val="22"/>
        </w:rPr>
        <w:t>. </w:t>
      </w:r>
      <w:r w:rsidRPr="005D2610">
        <w:rPr>
          <w:rFonts w:ascii="Arial" w:hAnsi="Arial" w:cs="Arial"/>
          <w:i/>
          <w:iCs/>
          <w:sz w:val="22"/>
        </w:rPr>
        <w:t>NHS long term workforce plan</w:t>
      </w:r>
      <w:r w:rsidRPr="005D2610">
        <w:rPr>
          <w:rFonts w:ascii="Arial" w:hAnsi="Arial" w:cs="Arial"/>
          <w:sz w:val="22"/>
        </w:rPr>
        <w:t> [online]</w:t>
      </w:r>
    </w:p>
    <w:p w14:paraId="6BF06C2E" w14:textId="71BA2333" w:rsidR="00EA0975" w:rsidRPr="005D2610" w:rsidRDefault="00E42F2C" w:rsidP="005D2610">
      <w:pPr>
        <w:spacing w:line="360" w:lineRule="auto"/>
        <w:ind w:left="720" w:hanging="720"/>
        <w:rPr>
          <w:rFonts w:ascii="Arial" w:hAnsi="Arial" w:cs="Arial"/>
          <w:sz w:val="22"/>
          <w:lang w:val="en-US"/>
        </w:rPr>
      </w:pPr>
      <w:r w:rsidRPr="005D2610">
        <w:rPr>
          <w:rFonts w:ascii="Arial" w:hAnsi="Arial" w:cs="Arial"/>
          <w:sz w:val="22"/>
          <w:lang w:val="en-US"/>
        </w:rPr>
        <w:t xml:space="preserve">GOV.UK (2010). </w:t>
      </w:r>
      <w:r w:rsidRPr="005D2610">
        <w:rPr>
          <w:rFonts w:ascii="Arial" w:hAnsi="Arial" w:cs="Arial"/>
          <w:i/>
          <w:iCs/>
          <w:sz w:val="22"/>
          <w:lang w:val="en-US"/>
        </w:rPr>
        <w:t>Equality Act 2010</w:t>
      </w:r>
      <w:r w:rsidRPr="005D2610">
        <w:rPr>
          <w:rFonts w:ascii="Arial" w:hAnsi="Arial" w:cs="Arial"/>
          <w:sz w:val="22"/>
          <w:lang w:val="en-US"/>
        </w:rPr>
        <w:t xml:space="preserve">. [online] Legislation.gov.uk. Available at: </w:t>
      </w:r>
      <w:hyperlink r:id="rId9" w:history="1">
        <w:r w:rsidR="00754FBF" w:rsidRPr="005D2610">
          <w:rPr>
            <w:rStyle w:val="Hyperlink"/>
            <w:rFonts w:ascii="Arial" w:hAnsi="Arial" w:cs="Arial"/>
            <w:sz w:val="22"/>
            <w:lang w:val="en-US"/>
          </w:rPr>
          <w:t>https://www.legislation.gov.uk/ukpga/2010/15/contents</w:t>
        </w:r>
      </w:hyperlink>
      <w:r w:rsidR="00754FBF" w:rsidRPr="005D2610">
        <w:rPr>
          <w:rFonts w:ascii="Arial" w:hAnsi="Arial" w:cs="Arial"/>
          <w:sz w:val="22"/>
          <w:lang w:val="en-US"/>
        </w:rPr>
        <w:t xml:space="preserve"> </w:t>
      </w:r>
      <w:r w:rsidRPr="005D2610">
        <w:rPr>
          <w:rFonts w:ascii="Arial" w:hAnsi="Arial" w:cs="Arial"/>
          <w:sz w:val="22"/>
          <w:lang w:val="en-US"/>
        </w:rPr>
        <w:t>[Accessed 25 Sep. 2025].</w:t>
      </w:r>
    </w:p>
    <w:p w14:paraId="01730259" w14:textId="65E18A4E" w:rsidR="00EA0975" w:rsidRPr="005D2610" w:rsidRDefault="00E42F2C" w:rsidP="005D2610">
      <w:pPr>
        <w:spacing w:line="360" w:lineRule="auto"/>
        <w:ind w:left="720" w:hanging="720"/>
        <w:rPr>
          <w:rFonts w:ascii="Arial" w:hAnsi="Arial" w:cs="Arial"/>
          <w:sz w:val="22"/>
          <w:lang w:val="en-US"/>
        </w:rPr>
      </w:pPr>
      <w:r w:rsidRPr="005D2610">
        <w:rPr>
          <w:rFonts w:ascii="Arial" w:hAnsi="Arial" w:cs="Arial"/>
          <w:sz w:val="22"/>
          <w:lang w:val="en-US"/>
        </w:rPr>
        <w:t xml:space="preserve">GOV.UK (2024). </w:t>
      </w:r>
      <w:r w:rsidRPr="005D2610">
        <w:rPr>
          <w:rFonts w:ascii="Arial" w:hAnsi="Arial" w:cs="Arial"/>
          <w:i/>
          <w:iCs/>
          <w:sz w:val="22"/>
          <w:lang w:val="en-US"/>
        </w:rPr>
        <w:t>The Employment of Disabled People 2024</w:t>
      </w:r>
      <w:r w:rsidRPr="005D2610">
        <w:rPr>
          <w:rFonts w:ascii="Arial" w:hAnsi="Arial" w:cs="Arial"/>
          <w:sz w:val="22"/>
          <w:lang w:val="en-US"/>
        </w:rPr>
        <w:t xml:space="preserve">. [online] Gov.uk. Available at: </w:t>
      </w:r>
      <w:hyperlink r:id="rId10" w:history="1">
        <w:r w:rsidR="00754FBF" w:rsidRPr="005D2610">
          <w:rPr>
            <w:rStyle w:val="Hyperlink"/>
            <w:rFonts w:ascii="Arial" w:hAnsi="Arial" w:cs="Arial"/>
            <w:sz w:val="22"/>
            <w:lang w:val="en-US"/>
          </w:rPr>
          <w:t>https://www.gov.uk/government/statistics/the-employment-of-disabled-people-2024/the-employment-of-disabled-people-2024</w:t>
        </w:r>
      </w:hyperlink>
      <w:r w:rsidR="00754FBF" w:rsidRPr="005D2610">
        <w:rPr>
          <w:rFonts w:ascii="Arial" w:hAnsi="Arial" w:cs="Arial"/>
          <w:sz w:val="22"/>
          <w:lang w:val="en-US"/>
        </w:rPr>
        <w:t xml:space="preserve"> </w:t>
      </w:r>
      <w:r w:rsidRPr="005D2610">
        <w:rPr>
          <w:rFonts w:ascii="Arial" w:hAnsi="Arial" w:cs="Arial"/>
          <w:sz w:val="22"/>
          <w:lang w:val="en-US"/>
        </w:rPr>
        <w:t>[Accessed 25 Sep. 2025].</w:t>
      </w:r>
    </w:p>
    <w:p w14:paraId="342DB785" w14:textId="47A5D3B6" w:rsidR="00EA0975"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Hoque, K., Bacon, N. and Allen, D., </w:t>
      </w:r>
      <w:r w:rsidR="00BF3797" w:rsidRPr="005D2610">
        <w:rPr>
          <w:rFonts w:ascii="Arial" w:hAnsi="Arial" w:cs="Arial"/>
          <w:sz w:val="22"/>
        </w:rPr>
        <w:t>(</w:t>
      </w:r>
      <w:r w:rsidRPr="005D2610">
        <w:rPr>
          <w:rFonts w:ascii="Arial" w:hAnsi="Arial" w:cs="Arial"/>
          <w:sz w:val="22"/>
        </w:rPr>
        <w:t>2024</w:t>
      </w:r>
      <w:r w:rsidR="00BF3797" w:rsidRPr="005D2610">
        <w:rPr>
          <w:rFonts w:ascii="Arial" w:hAnsi="Arial" w:cs="Arial"/>
          <w:sz w:val="22"/>
        </w:rPr>
        <w:t>)</w:t>
      </w:r>
      <w:r w:rsidRPr="005D2610">
        <w:rPr>
          <w:rFonts w:ascii="Arial" w:hAnsi="Arial" w:cs="Arial"/>
          <w:sz w:val="22"/>
        </w:rPr>
        <w:t>. Do employers’ equality certifications improve equality outcomes? An assessment of the United Kingdom's Two Ticks and Disability Confident schemes. </w:t>
      </w:r>
      <w:r w:rsidRPr="005D2610">
        <w:rPr>
          <w:rFonts w:ascii="Arial" w:hAnsi="Arial" w:cs="Arial"/>
          <w:i/>
          <w:iCs/>
          <w:sz w:val="22"/>
        </w:rPr>
        <w:t>British Journal of Industrial Relations</w:t>
      </w:r>
      <w:r w:rsidRPr="005D2610">
        <w:rPr>
          <w:rFonts w:ascii="Arial" w:hAnsi="Arial" w:cs="Arial"/>
          <w:sz w:val="22"/>
        </w:rPr>
        <w:t>, </w:t>
      </w:r>
      <w:r w:rsidRPr="005D2610">
        <w:rPr>
          <w:rFonts w:ascii="Arial" w:hAnsi="Arial" w:cs="Arial"/>
          <w:i/>
          <w:iCs/>
          <w:sz w:val="22"/>
        </w:rPr>
        <w:t>62</w:t>
      </w:r>
      <w:r w:rsidRPr="005D2610">
        <w:rPr>
          <w:rFonts w:ascii="Arial" w:hAnsi="Arial" w:cs="Arial"/>
          <w:sz w:val="22"/>
        </w:rPr>
        <w:t>(4), pp.734-759.</w:t>
      </w:r>
    </w:p>
    <w:p w14:paraId="58E64315" w14:textId="49F24704" w:rsidR="00EA0975" w:rsidRPr="005D2610" w:rsidRDefault="00E42F2C" w:rsidP="005D2610">
      <w:pPr>
        <w:spacing w:line="360" w:lineRule="auto"/>
        <w:ind w:left="720" w:hanging="720"/>
        <w:rPr>
          <w:rFonts w:ascii="Arial" w:hAnsi="Arial" w:cs="Arial"/>
          <w:sz w:val="22"/>
        </w:rPr>
      </w:pPr>
      <w:r w:rsidRPr="005D2610">
        <w:rPr>
          <w:rFonts w:ascii="Arial" w:hAnsi="Arial" w:cs="Arial"/>
          <w:sz w:val="22"/>
        </w:rPr>
        <w:lastRenderedPageBreak/>
        <w:t xml:space="preserve">Jones, M., Hoque, K., Wass, V. and Bacon, N., </w:t>
      </w:r>
      <w:r w:rsidR="00BF3797" w:rsidRPr="005D2610">
        <w:rPr>
          <w:rFonts w:ascii="Arial" w:hAnsi="Arial" w:cs="Arial"/>
          <w:sz w:val="22"/>
        </w:rPr>
        <w:t>(</w:t>
      </w:r>
      <w:r w:rsidRPr="005D2610">
        <w:rPr>
          <w:rFonts w:ascii="Arial" w:hAnsi="Arial" w:cs="Arial"/>
          <w:sz w:val="22"/>
        </w:rPr>
        <w:t>2021</w:t>
      </w:r>
      <w:r w:rsidR="00BF3797" w:rsidRPr="005D2610">
        <w:rPr>
          <w:rFonts w:ascii="Arial" w:hAnsi="Arial" w:cs="Arial"/>
          <w:sz w:val="22"/>
        </w:rPr>
        <w:t>)</w:t>
      </w:r>
      <w:r w:rsidRPr="005D2610">
        <w:rPr>
          <w:rFonts w:ascii="Arial" w:hAnsi="Arial" w:cs="Arial"/>
          <w:sz w:val="22"/>
        </w:rPr>
        <w:t>. Inequality and the economic cycle: disabled employees’ experience of work during the great recession in Britain. </w:t>
      </w:r>
      <w:r w:rsidRPr="005D2610">
        <w:rPr>
          <w:rFonts w:ascii="Arial" w:hAnsi="Arial" w:cs="Arial"/>
          <w:i/>
          <w:iCs/>
          <w:sz w:val="22"/>
        </w:rPr>
        <w:t>British Journal of Industrial Relations</w:t>
      </w:r>
      <w:r w:rsidRPr="005D2610">
        <w:rPr>
          <w:rFonts w:ascii="Arial" w:hAnsi="Arial" w:cs="Arial"/>
          <w:sz w:val="22"/>
        </w:rPr>
        <w:t>, </w:t>
      </w:r>
      <w:r w:rsidRPr="005D2610">
        <w:rPr>
          <w:rFonts w:ascii="Arial" w:hAnsi="Arial" w:cs="Arial"/>
          <w:i/>
          <w:iCs/>
          <w:sz w:val="22"/>
        </w:rPr>
        <w:t>59</w:t>
      </w:r>
      <w:r w:rsidRPr="005D2610">
        <w:rPr>
          <w:rFonts w:ascii="Arial" w:hAnsi="Arial" w:cs="Arial"/>
          <w:sz w:val="22"/>
        </w:rPr>
        <w:t>(3), pp.788-815.</w:t>
      </w:r>
    </w:p>
    <w:p w14:paraId="14A852D6" w14:textId="7408736A" w:rsidR="00EA0975"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Kavanagh, A., Hatton, C., Stancliffe, R.J., Aitken, Z., King, T., Hastings, R., </w:t>
      </w:r>
      <w:proofErr w:type="spellStart"/>
      <w:r w:rsidRPr="005D2610">
        <w:rPr>
          <w:rFonts w:ascii="Arial" w:hAnsi="Arial" w:cs="Arial"/>
          <w:sz w:val="22"/>
        </w:rPr>
        <w:t>Totsika</w:t>
      </w:r>
      <w:proofErr w:type="spellEnd"/>
      <w:r w:rsidRPr="005D2610">
        <w:rPr>
          <w:rFonts w:ascii="Arial" w:hAnsi="Arial" w:cs="Arial"/>
          <w:sz w:val="22"/>
        </w:rPr>
        <w:t xml:space="preserve">, V., Llewellyn, G. and Emerson, E., </w:t>
      </w:r>
      <w:r w:rsidR="00BF3797" w:rsidRPr="005D2610">
        <w:rPr>
          <w:rFonts w:ascii="Arial" w:hAnsi="Arial" w:cs="Arial"/>
          <w:sz w:val="22"/>
        </w:rPr>
        <w:t>(</w:t>
      </w:r>
      <w:r w:rsidRPr="005D2610">
        <w:rPr>
          <w:rFonts w:ascii="Arial" w:hAnsi="Arial" w:cs="Arial"/>
          <w:sz w:val="22"/>
        </w:rPr>
        <w:t>2022</w:t>
      </w:r>
      <w:r w:rsidR="00BF3797" w:rsidRPr="005D2610">
        <w:rPr>
          <w:rFonts w:ascii="Arial" w:hAnsi="Arial" w:cs="Arial"/>
          <w:sz w:val="22"/>
        </w:rPr>
        <w:t>)</w:t>
      </w:r>
      <w:r w:rsidRPr="005D2610">
        <w:rPr>
          <w:rFonts w:ascii="Arial" w:hAnsi="Arial" w:cs="Arial"/>
          <w:sz w:val="22"/>
        </w:rPr>
        <w:t>. Health and healthcare for people with disabilities in the UK during the COVID-19 pandemic. </w:t>
      </w:r>
      <w:r w:rsidRPr="005D2610">
        <w:rPr>
          <w:rFonts w:ascii="Arial" w:hAnsi="Arial" w:cs="Arial"/>
          <w:i/>
          <w:iCs/>
          <w:sz w:val="22"/>
        </w:rPr>
        <w:t>Disability and Health Journal</w:t>
      </w:r>
      <w:r w:rsidRPr="005D2610">
        <w:rPr>
          <w:rFonts w:ascii="Arial" w:hAnsi="Arial" w:cs="Arial"/>
          <w:sz w:val="22"/>
        </w:rPr>
        <w:t>, </w:t>
      </w:r>
      <w:r w:rsidRPr="005D2610">
        <w:rPr>
          <w:rFonts w:ascii="Arial" w:hAnsi="Arial" w:cs="Arial"/>
          <w:i/>
          <w:iCs/>
          <w:sz w:val="22"/>
        </w:rPr>
        <w:t>15</w:t>
      </w:r>
      <w:r w:rsidRPr="005D2610">
        <w:rPr>
          <w:rFonts w:ascii="Arial" w:hAnsi="Arial" w:cs="Arial"/>
          <w:sz w:val="22"/>
        </w:rPr>
        <w:t>(1), p.101171.</w:t>
      </w:r>
    </w:p>
    <w:p w14:paraId="187EA194" w14:textId="1FCAB494" w:rsidR="00EA0975" w:rsidRPr="005D2610" w:rsidRDefault="00E42F2C" w:rsidP="005D2610">
      <w:pPr>
        <w:spacing w:line="360" w:lineRule="auto"/>
        <w:ind w:left="720" w:hanging="720"/>
        <w:rPr>
          <w:rFonts w:ascii="Arial" w:hAnsi="Arial" w:cs="Arial"/>
          <w:sz w:val="22"/>
          <w:lang w:val="en-US"/>
        </w:rPr>
      </w:pPr>
      <w:r w:rsidRPr="005D2610">
        <w:rPr>
          <w:rFonts w:ascii="Arial" w:hAnsi="Arial" w:cs="Arial"/>
          <w:sz w:val="22"/>
          <w:lang w:val="en-US"/>
        </w:rPr>
        <w:t xml:space="preserve">Kirk-Wade, E., Wong, H. and </w:t>
      </w:r>
      <w:proofErr w:type="spellStart"/>
      <w:r w:rsidRPr="005D2610">
        <w:rPr>
          <w:rFonts w:ascii="Arial" w:hAnsi="Arial" w:cs="Arial"/>
          <w:sz w:val="22"/>
          <w:lang w:val="en-US"/>
        </w:rPr>
        <w:t>Stiebahl</w:t>
      </w:r>
      <w:proofErr w:type="spellEnd"/>
      <w:r w:rsidRPr="005D2610">
        <w:rPr>
          <w:rFonts w:ascii="Arial" w:hAnsi="Arial" w:cs="Arial"/>
          <w:sz w:val="22"/>
          <w:lang w:val="en-US"/>
        </w:rPr>
        <w:t xml:space="preserve">, S. (2024). </w:t>
      </w:r>
      <w:r w:rsidRPr="005D2610">
        <w:rPr>
          <w:rFonts w:ascii="Arial" w:hAnsi="Arial" w:cs="Arial"/>
          <w:i/>
          <w:iCs/>
          <w:sz w:val="22"/>
          <w:lang w:val="en-US"/>
        </w:rPr>
        <w:t>UK Disability statistics: Prevalence and Life Experiences</w:t>
      </w:r>
      <w:r w:rsidRPr="005D2610">
        <w:rPr>
          <w:rFonts w:ascii="Arial" w:hAnsi="Arial" w:cs="Arial"/>
          <w:sz w:val="22"/>
          <w:lang w:val="en-US"/>
        </w:rPr>
        <w:t xml:space="preserve">. [online] House of Commons Library. Available at: </w:t>
      </w:r>
      <w:hyperlink r:id="rId11" w:history="1">
        <w:r w:rsidR="00754FBF" w:rsidRPr="005D2610">
          <w:rPr>
            <w:rStyle w:val="Hyperlink"/>
            <w:rFonts w:ascii="Arial" w:hAnsi="Arial" w:cs="Arial"/>
            <w:sz w:val="22"/>
            <w:lang w:val="en-US"/>
          </w:rPr>
          <w:t>https://commonslibrary.parliament.uk/research-briefings/cbp-9602/</w:t>
        </w:r>
      </w:hyperlink>
      <w:r w:rsidR="00754FBF" w:rsidRPr="005D2610">
        <w:rPr>
          <w:rFonts w:ascii="Arial" w:hAnsi="Arial" w:cs="Arial"/>
          <w:sz w:val="22"/>
          <w:lang w:val="en-US"/>
        </w:rPr>
        <w:t xml:space="preserve"> </w:t>
      </w:r>
      <w:r w:rsidRPr="005D2610">
        <w:rPr>
          <w:rFonts w:ascii="Arial" w:hAnsi="Arial" w:cs="Arial"/>
          <w:sz w:val="22"/>
          <w:lang w:val="en-US"/>
        </w:rPr>
        <w:t>[Accessed 25 Sep. 2025].</w:t>
      </w:r>
    </w:p>
    <w:p w14:paraId="4D096955" w14:textId="73E156FD" w:rsidR="00EA0975"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Mitra, S. and Gao, Q., </w:t>
      </w:r>
      <w:r w:rsidR="00BF3797" w:rsidRPr="005D2610">
        <w:rPr>
          <w:rFonts w:ascii="Arial" w:hAnsi="Arial" w:cs="Arial"/>
          <w:sz w:val="22"/>
        </w:rPr>
        <w:t>(</w:t>
      </w:r>
      <w:r w:rsidRPr="005D2610">
        <w:rPr>
          <w:rFonts w:ascii="Arial" w:hAnsi="Arial" w:cs="Arial"/>
          <w:sz w:val="22"/>
        </w:rPr>
        <w:t>2023</w:t>
      </w:r>
      <w:r w:rsidR="00BF3797" w:rsidRPr="005D2610">
        <w:rPr>
          <w:rFonts w:ascii="Arial" w:hAnsi="Arial" w:cs="Arial"/>
          <w:sz w:val="22"/>
        </w:rPr>
        <w:t>)</w:t>
      </w:r>
      <w:r w:rsidRPr="005D2610">
        <w:rPr>
          <w:rFonts w:ascii="Arial" w:hAnsi="Arial" w:cs="Arial"/>
          <w:sz w:val="22"/>
        </w:rPr>
        <w:t>. Disability and social policy: Global evidence and perspectives. </w:t>
      </w:r>
      <w:r w:rsidRPr="005D2610">
        <w:rPr>
          <w:rFonts w:ascii="Arial" w:hAnsi="Arial" w:cs="Arial"/>
          <w:i/>
          <w:iCs/>
          <w:sz w:val="22"/>
        </w:rPr>
        <w:t>Global Social Policy</w:t>
      </w:r>
      <w:r w:rsidRPr="005D2610">
        <w:rPr>
          <w:rFonts w:ascii="Arial" w:hAnsi="Arial" w:cs="Arial"/>
          <w:sz w:val="22"/>
        </w:rPr>
        <w:t>, </w:t>
      </w:r>
      <w:r w:rsidRPr="005D2610">
        <w:rPr>
          <w:rFonts w:ascii="Arial" w:hAnsi="Arial" w:cs="Arial"/>
          <w:i/>
          <w:iCs/>
          <w:sz w:val="22"/>
        </w:rPr>
        <w:t>23</w:t>
      </w:r>
      <w:r w:rsidRPr="005D2610">
        <w:rPr>
          <w:rFonts w:ascii="Arial" w:hAnsi="Arial" w:cs="Arial"/>
          <w:sz w:val="22"/>
        </w:rPr>
        <w:t>(1), pp.3-10.</w:t>
      </w:r>
    </w:p>
    <w:p w14:paraId="7D1AAF0D" w14:textId="56C65FEB" w:rsidR="00EA0975" w:rsidRPr="005D2610" w:rsidRDefault="00E42F2C" w:rsidP="005D2610">
      <w:pPr>
        <w:spacing w:line="360" w:lineRule="auto"/>
        <w:ind w:left="720" w:hanging="720"/>
        <w:rPr>
          <w:rFonts w:ascii="Arial" w:hAnsi="Arial" w:cs="Arial"/>
          <w:sz w:val="22"/>
          <w:lang w:val="en-US"/>
        </w:rPr>
      </w:pPr>
      <w:r w:rsidRPr="005D2610">
        <w:rPr>
          <w:rFonts w:ascii="Arial" w:hAnsi="Arial" w:cs="Arial"/>
          <w:sz w:val="22"/>
          <w:lang w:val="en-US"/>
        </w:rPr>
        <w:t xml:space="preserve">ONS (2022). </w:t>
      </w:r>
      <w:r w:rsidRPr="005D2610">
        <w:rPr>
          <w:rFonts w:ascii="Arial" w:hAnsi="Arial" w:cs="Arial"/>
          <w:i/>
          <w:iCs/>
          <w:sz w:val="22"/>
          <w:lang w:val="en-US"/>
        </w:rPr>
        <w:t>Outcomes for disabled people in the UK - Office for National Statistics</w:t>
      </w:r>
      <w:r w:rsidRPr="005D2610">
        <w:rPr>
          <w:rFonts w:ascii="Arial" w:hAnsi="Arial" w:cs="Arial"/>
          <w:sz w:val="22"/>
          <w:lang w:val="en-US"/>
        </w:rPr>
        <w:t xml:space="preserve">. [online] www.ons.gov.uk. Available at: </w:t>
      </w:r>
      <w:hyperlink r:id="rId12" w:history="1">
        <w:r w:rsidR="00754FBF" w:rsidRPr="005D2610">
          <w:rPr>
            <w:rStyle w:val="Hyperlink"/>
            <w:rFonts w:ascii="Arial" w:hAnsi="Arial" w:cs="Arial"/>
            <w:sz w:val="22"/>
            <w:lang w:val="en-US"/>
          </w:rPr>
          <w:t>https://www.ons.gov.uk/peoplepopulationandcommunity/healthandsocialcare/disability/articles/outcomesfordisabledpeopleintheuk/2021/previous/v1</w:t>
        </w:r>
      </w:hyperlink>
      <w:r w:rsidR="00754FBF" w:rsidRPr="005D2610">
        <w:rPr>
          <w:rFonts w:ascii="Arial" w:hAnsi="Arial" w:cs="Arial"/>
          <w:sz w:val="22"/>
          <w:lang w:val="en-US"/>
        </w:rPr>
        <w:t xml:space="preserve"> </w:t>
      </w:r>
      <w:r w:rsidRPr="005D2610">
        <w:rPr>
          <w:rFonts w:ascii="Arial" w:hAnsi="Arial" w:cs="Arial"/>
          <w:sz w:val="22"/>
          <w:lang w:val="en-US"/>
        </w:rPr>
        <w:t>[Accessed 25 Sep. 2025].</w:t>
      </w:r>
    </w:p>
    <w:p w14:paraId="03BA8960" w14:textId="68CDEA31" w:rsidR="00EA0975" w:rsidRPr="005D2610" w:rsidRDefault="00E42F2C" w:rsidP="005D2610">
      <w:pPr>
        <w:spacing w:line="360" w:lineRule="auto"/>
        <w:ind w:left="720" w:hanging="720"/>
        <w:rPr>
          <w:rFonts w:ascii="Arial" w:hAnsi="Arial" w:cs="Arial"/>
          <w:sz w:val="22"/>
          <w:lang w:val="en-US"/>
        </w:rPr>
      </w:pPr>
      <w:r w:rsidRPr="005D2610">
        <w:rPr>
          <w:rFonts w:ascii="Arial" w:hAnsi="Arial" w:cs="Arial"/>
          <w:sz w:val="22"/>
          <w:lang w:val="en-US"/>
        </w:rPr>
        <w:t xml:space="preserve">ONS (2022a). </w:t>
      </w:r>
      <w:r w:rsidRPr="005D2610">
        <w:rPr>
          <w:rFonts w:ascii="Arial" w:hAnsi="Arial" w:cs="Arial"/>
          <w:i/>
          <w:iCs/>
          <w:sz w:val="22"/>
          <w:lang w:val="en-US"/>
        </w:rPr>
        <w:t>Disabled people’s access to products and services, Great Britain - Office for National Statistics</w:t>
      </w:r>
      <w:r w:rsidRPr="005D2610">
        <w:rPr>
          <w:rFonts w:ascii="Arial" w:hAnsi="Arial" w:cs="Arial"/>
          <w:sz w:val="22"/>
          <w:lang w:val="en-US"/>
        </w:rPr>
        <w:t xml:space="preserve">. [online] www.ons.gov.uk. Available at: </w:t>
      </w:r>
      <w:hyperlink r:id="rId13" w:history="1">
        <w:r w:rsidR="00754FBF" w:rsidRPr="005D2610">
          <w:rPr>
            <w:rStyle w:val="Hyperlink"/>
            <w:rFonts w:ascii="Arial" w:hAnsi="Arial" w:cs="Arial"/>
            <w:sz w:val="22"/>
            <w:lang w:val="en-US"/>
          </w:rPr>
          <w:t>https://www.ons.gov.uk/peoplepopulationandcommunity/healthandsocialcare/disability/articles/disabledpeoplesaccesstoproductsandservicesgreatbritain/februarytomarch2022</w:t>
        </w:r>
      </w:hyperlink>
      <w:r w:rsidR="00754FBF" w:rsidRPr="005D2610">
        <w:rPr>
          <w:rFonts w:ascii="Arial" w:hAnsi="Arial" w:cs="Arial"/>
          <w:sz w:val="22"/>
          <w:lang w:val="en-US"/>
        </w:rPr>
        <w:t xml:space="preserve"> </w:t>
      </w:r>
      <w:r w:rsidRPr="005D2610">
        <w:rPr>
          <w:rFonts w:ascii="Arial" w:hAnsi="Arial" w:cs="Arial"/>
          <w:sz w:val="22"/>
          <w:lang w:val="en-US"/>
        </w:rPr>
        <w:t>[Accessed 25 Sep. 2025].</w:t>
      </w:r>
    </w:p>
    <w:p w14:paraId="2634E0E6" w14:textId="59A863EB" w:rsidR="00EA0975" w:rsidRPr="005D2610" w:rsidRDefault="00E42F2C" w:rsidP="005D2610">
      <w:pPr>
        <w:spacing w:line="360" w:lineRule="auto"/>
        <w:ind w:left="720" w:hanging="720"/>
        <w:rPr>
          <w:rFonts w:ascii="Arial" w:hAnsi="Arial" w:cs="Arial"/>
          <w:sz w:val="22"/>
          <w:lang w:val="en-US"/>
        </w:rPr>
      </w:pPr>
      <w:r w:rsidRPr="005D2610">
        <w:rPr>
          <w:rFonts w:ascii="Arial" w:hAnsi="Arial" w:cs="Arial"/>
          <w:sz w:val="22"/>
          <w:lang w:val="en-US"/>
        </w:rPr>
        <w:t xml:space="preserve">Public Health England (2019). </w:t>
      </w:r>
      <w:r w:rsidRPr="005D2610">
        <w:rPr>
          <w:rFonts w:ascii="Arial" w:hAnsi="Arial" w:cs="Arial"/>
          <w:i/>
          <w:iCs/>
          <w:sz w:val="22"/>
          <w:lang w:val="en-US"/>
        </w:rPr>
        <w:t>Health matters: preventing cardiovascular disease</w:t>
      </w:r>
      <w:r w:rsidRPr="005D2610">
        <w:rPr>
          <w:rFonts w:ascii="Arial" w:hAnsi="Arial" w:cs="Arial"/>
          <w:sz w:val="22"/>
          <w:lang w:val="en-US"/>
        </w:rPr>
        <w:t xml:space="preserve">. [online] GOV.UK. Available at: </w:t>
      </w:r>
      <w:hyperlink r:id="rId14" w:history="1">
        <w:r w:rsidR="00754FBF" w:rsidRPr="005D2610">
          <w:rPr>
            <w:rStyle w:val="Hyperlink"/>
            <w:rFonts w:ascii="Arial" w:hAnsi="Arial" w:cs="Arial"/>
            <w:sz w:val="22"/>
            <w:lang w:val="en-US"/>
          </w:rPr>
          <w:t>https://www.gov.uk/government/publications/health-matters-preventing-cardiovascular-disease/health-matters-preventing-cardiovascular-disease</w:t>
        </w:r>
      </w:hyperlink>
      <w:r w:rsidR="00754FBF" w:rsidRPr="005D2610">
        <w:rPr>
          <w:rFonts w:ascii="Arial" w:hAnsi="Arial" w:cs="Arial"/>
          <w:sz w:val="22"/>
          <w:lang w:val="en-US"/>
        </w:rPr>
        <w:t xml:space="preserve"> </w:t>
      </w:r>
      <w:r w:rsidRPr="005D2610">
        <w:rPr>
          <w:rFonts w:ascii="Arial" w:hAnsi="Arial" w:cs="Arial"/>
          <w:sz w:val="22"/>
          <w:lang w:val="en-US"/>
        </w:rPr>
        <w:t>[Accessed 25 Sep. 2025].</w:t>
      </w:r>
    </w:p>
    <w:p w14:paraId="55A493CC" w14:textId="032185A3" w:rsidR="00EA0975"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Sanders, R., </w:t>
      </w:r>
      <w:r w:rsidR="00BF3797" w:rsidRPr="005D2610">
        <w:rPr>
          <w:rFonts w:ascii="Arial" w:hAnsi="Arial" w:cs="Arial"/>
          <w:sz w:val="22"/>
        </w:rPr>
        <w:t>(</w:t>
      </w:r>
      <w:r w:rsidRPr="005D2610">
        <w:rPr>
          <w:rFonts w:ascii="Arial" w:hAnsi="Arial" w:cs="Arial"/>
          <w:sz w:val="22"/>
        </w:rPr>
        <w:t>2022</w:t>
      </w:r>
      <w:r w:rsidR="00BF3797" w:rsidRPr="005D2610">
        <w:rPr>
          <w:rFonts w:ascii="Arial" w:hAnsi="Arial" w:cs="Arial"/>
          <w:sz w:val="22"/>
        </w:rPr>
        <w:t>)</w:t>
      </w:r>
      <w:r w:rsidRPr="005D2610">
        <w:rPr>
          <w:rFonts w:ascii="Arial" w:hAnsi="Arial" w:cs="Arial"/>
          <w:sz w:val="22"/>
        </w:rPr>
        <w:t>. Disability and extra living costs.</w:t>
      </w:r>
    </w:p>
    <w:p w14:paraId="1F0DD584" w14:textId="0C3BF19B" w:rsidR="001B6154" w:rsidRPr="00006EB9" w:rsidRDefault="00E42F2C" w:rsidP="00006EB9">
      <w:pPr>
        <w:spacing w:line="360" w:lineRule="auto"/>
        <w:ind w:left="720" w:hanging="720"/>
        <w:rPr>
          <w:rFonts w:ascii="Arial" w:hAnsi="Arial" w:cs="Arial"/>
          <w:sz w:val="22"/>
        </w:rPr>
      </w:pPr>
      <w:r w:rsidRPr="005D2610">
        <w:rPr>
          <w:rFonts w:ascii="Arial" w:hAnsi="Arial" w:cs="Arial"/>
          <w:sz w:val="22"/>
        </w:rPr>
        <w:t xml:space="preserve">Tomic, D., Shaw, J.E. and Magliano, D.J., </w:t>
      </w:r>
      <w:r w:rsidR="00BF3797" w:rsidRPr="005D2610">
        <w:rPr>
          <w:rFonts w:ascii="Arial" w:hAnsi="Arial" w:cs="Arial"/>
          <w:sz w:val="22"/>
        </w:rPr>
        <w:t>(</w:t>
      </w:r>
      <w:r w:rsidRPr="005D2610">
        <w:rPr>
          <w:rFonts w:ascii="Arial" w:hAnsi="Arial" w:cs="Arial"/>
          <w:sz w:val="22"/>
        </w:rPr>
        <w:t>2022</w:t>
      </w:r>
      <w:r w:rsidR="00BF3797" w:rsidRPr="005D2610">
        <w:rPr>
          <w:rFonts w:ascii="Arial" w:hAnsi="Arial" w:cs="Arial"/>
          <w:sz w:val="22"/>
        </w:rPr>
        <w:t>)</w:t>
      </w:r>
      <w:r w:rsidRPr="005D2610">
        <w:rPr>
          <w:rFonts w:ascii="Arial" w:hAnsi="Arial" w:cs="Arial"/>
          <w:sz w:val="22"/>
        </w:rPr>
        <w:t>. The burden and risks of emerging complications of diabetes mellitus. </w:t>
      </w:r>
      <w:r w:rsidRPr="005D2610">
        <w:rPr>
          <w:rFonts w:ascii="Arial" w:hAnsi="Arial" w:cs="Arial"/>
          <w:i/>
          <w:iCs/>
          <w:sz w:val="22"/>
        </w:rPr>
        <w:t>Nature Reviews Endocrinology</w:t>
      </w:r>
      <w:r w:rsidRPr="005D2610">
        <w:rPr>
          <w:rFonts w:ascii="Arial" w:hAnsi="Arial" w:cs="Arial"/>
          <w:sz w:val="22"/>
        </w:rPr>
        <w:t>, </w:t>
      </w:r>
      <w:r w:rsidRPr="005D2610">
        <w:rPr>
          <w:rFonts w:ascii="Arial" w:hAnsi="Arial" w:cs="Arial"/>
          <w:i/>
          <w:iCs/>
          <w:sz w:val="22"/>
        </w:rPr>
        <w:t>18</w:t>
      </w:r>
      <w:r w:rsidRPr="005D2610">
        <w:rPr>
          <w:rFonts w:ascii="Arial" w:hAnsi="Arial" w:cs="Arial"/>
          <w:sz w:val="22"/>
        </w:rPr>
        <w:t>(9), pp.525-539.</w:t>
      </w:r>
    </w:p>
    <w:p w14:paraId="4CADA999" w14:textId="3D501FD5" w:rsidR="001B6154" w:rsidRPr="005D2610" w:rsidRDefault="00E42F2C" w:rsidP="005D2610">
      <w:pPr>
        <w:spacing w:line="360" w:lineRule="auto"/>
        <w:rPr>
          <w:rFonts w:ascii="Arial" w:hAnsi="Arial" w:cs="Arial"/>
          <w:sz w:val="22"/>
          <w:lang w:val="en-US"/>
        </w:rPr>
      </w:pPr>
      <w:r w:rsidRPr="005D2610">
        <w:rPr>
          <w:rFonts w:ascii="Arial" w:hAnsi="Arial" w:cs="Arial"/>
          <w:sz w:val="22"/>
          <w:lang w:val="en-US"/>
        </w:rPr>
        <w:br w:type="page"/>
      </w:r>
    </w:p>
    <w:p w14:paraId="45E212A2" w14:textId="4B3512C9" w:rsidR="001B6154" w:rsidRPr="005D2610" w:rsidRDefault="00E42F2C" w:rsidP="005D2610">
      <w:pPr>
        <w:pStyle w:val="Heading1"/>
        <w:spacing w:line="360" w:lineRule="auto"/>
        <w:rPr>
          <w:rFonts w:ascii="Arial" w:hAnsi="Arial" w:cs="Arial"/>
          <w:sz w:val="22"/>
          <w:szCs w:val="22"/>
          <w:lang w:val="en-US"/>
        </w:rPr>
      </w:pPr>
      <w:bookmarkStart w:id="9" w:name="_Toc209673775"/>
      <w:r w:rsidRPr="005D2610">
        <w:rPr>
          <w:rFonts w:ascii="Arial" w:hAnsi="Arial" w:cs="Arial"/>
          <w:sz w:val="22"/>
          <w:szCs w:val="22"/>
          <w:lang w:val="en-US"/>
        </w:rPr>
        <w:lastRenderedPageBreak/>
        <w:t>Task 2</w:t>
      </w:r>
      <w:r w:rsidR="00A04A1E" w:rsidRPr="005D2610">
        <w:rPr>
          <w:rFonts w:ascii="Arial" w:hAnsi="Arial" w:cs="Arial"/>
          <w:sz w:val="22"/>
          <w:szCs w:val="22"/>
          <w:lang w:val="en-US"/>
        </w:rPr>
        <w:t>: Epidemiological Analysis</w:t>
      </w:r>
      <w:bookmarkEnd w:id="9"/>
    </w:p>
    <w:p w14:paraId="0702C020" w14:textId="77777777" w:rsidR="00A54267" w:rsidRPr="005D2610" w:rsidRDefault="00E42F2C" w:rsidP="005D2610">
      <w:pPr>
        <w:spacing w:line="360" w:lineRule="auto"/>
        <w:rPr>
          <w:rFonts w:ascii="Arial" w:hAnsi="Arial" w:cs="Arial"/>
          <w:b/>
          <w:bCs/>
          <w:sz w:val="22"/>
          <w:lang w:val="en-US"/>
        </w:rPr>
      </w:pPr>
      <w:r w:rsidRPr="005D2610">
        <w:rPr>
          <w:rFonts w:ascii="Arial" w:hAnsi="Arial" w:cs="Arial"/>
          <w:b/>
          <w:bCs/>
          <w:sz w:val="22"/>
          <w:lang w:val="en-US"/>
        </w:rPr>
        <w:t>Title:</w:t>
      </w:r>
    </w:p>
    <w:p w14:paraId="0F91488C" w14:textId="77777777" w:rsidR="00A54267" w:rsidRPr="005D2610" w:rsidRDefault="00E42F2C" w:rsidP="005D2610">
      <w:pPr>
        <w:spacing w:line="360" w:lineRule="auto"/>
        <w:rPr>
          <w:rFonts w:ascii="Arial" w:hAnsi="Arial" w:cs="Arial"/>
          <w:sz w:val="22"/>
          <w:lang w:val="en-US"/>
        </w:rPr>
      </w:pPr>
      <w:r w:rsidRPr="005D2610">
        <w:rPr>
          <w:rFonts w:ascii="Arial" w:hAnsi="Arial" w:cs="Arial"/>
          <w:sz w:val="22"/>
          <w:lang w:val="en-US"/>
        </w:rPr>
        <w:t>Epidemiological Analysis of Type 2 Diabetes Mellitus in Tower Hamlets, London</w:t>
      </w:r>
    </w:p>
    <w:p w14:paraId="5398C9D2" w14:textId="48C52CA1" w:rsidR="00A54267" w:rsidRPr="005D2610" w:rsidRDefault="00A54267" w:rsidP="005D2610">
      <w:pPr>
        <w:spacing w:line="360" w:lineRule="auto"/>
        <w:rPr>
          <w:rFonts w:ascii="Arial" w:hAnsi="Arial" w:cs="Arial"/>
          <w:sz w:val="22"/>
          <w:lang w:val="en-US"/>
        </w:rPr>
      </w:pPr>
    </w:p>
    <w:p w14:paraId="5CB0CE81" w14:textId="453FBA93" w:rsidR="00A54267" w:rsidRPr="005D2610" w:rsidRDefault="00E42F2C" w:rsidP="005D2610">
      <w:pPr>
        <w:pStyle w:val="Heading2"/>
        <w:spacing w:line="360" w:lineRule="auto"/>
        <w:rPr>
          <w:rFonts w:ascii="Arial" w:hAnsi="Arial" w:cs="Arial"/>
          <w:sz w:val="22"/>
          <w:szCs w:val="22"/>
          <w:lang w:val="en-US"/>
        </w:rPr>
      </w:pPr>
      <w:bookmarkStart w:id="10" w:name="_Toc209673776"/>
      <w:r w:rsidRPr="005D2610">
        <w:rPr>
          <w:rFonts w:ascii="Arial" w:hAnsi="Arial" w:cs="Arial"/>
          <w:sz w:val="22"/>
          <w:szCs w:val="22"/>
          <w:lang w:val="en-US"/>
        </w:rPr>
        <w:t>Introduction</w:t>
      </w:r>
      <w:bookmarkEnd w:id="10"/>
    </w:p>
    <w:p w14:paraId="77A37554" w14:textId="690C6A5B" w:rsidR="00593E29" w:rsidRPr="005D2610" w:rsidRDefault="00E42F2C" w:rsidP="00006EB9">
      <w:pPr>
        <w:spacing w:line="360" w:lineRule="auto"/>
        <w:jc w:val="both"/>
        <w:rPr>
          <w:rFonts w:ascii="Arial" w:hAnsi="Arial" w:cs="Arial"/>
          <w:sz w:val="22"/>
          <w:lang w:val="en-US"/>
        </w:rPr>
      </w:pPr>
      <w:r w:rsidRPr="005D2610">
        <w:rPr>
          <w:rFonts w:ascii="Arial" w:hAnsi="Arial" w:cs="Arial"/>
          <w:sz w:val="22"/>
          <w:lang w:val="en-US"/>
        </w:rPr>
        <w:t>Type 2 Diabetes Mellitus (T2DM) is a long-term metabolic disease with insulin resistance and compromised glucose regulation, being one of the most important international public health issues. It is linked with serious health complications, such as cardiovascular illness, renal failure, blindness, amputations of the lower limbs, and shorter life expectancy, with a further contribution to stigma and diminished quality of life (Chew et al., 2024). The World Health Organization (2024) approximates that more than 422 million adults globally live with diabetes, with 1.5 million related deaths each year. In the UK, approximately 4.9 million are diagnosed with diabetes, 90% being T2DM, and prevalence increases because of ageing populations, obesity, and lifestyle (Diabetes UK, 2023). Locally, Tower Hamlets has one of the highest rates of prevalence in London, with 8–9% residents compared with the 6% London average (Chowdhury and Huda, 2016). This paper considers critically the epidemiological processes behind the identification, assessment, and management of T2DM in Tower Hamlets.</w:t>
      </w:r>
    </w:p>
    <w:p w14:paraId="05EF0FA5" w14:textId="4F3F419E" w:rsidR="00A54267" w:rsidRPr="005D2610" w:rsidRDefault="00A54267" w:rsidP="005D2610">
      <w:pPr>
        <w:spacing w:line="360" w:lineRule="auto"/>
        <w:rPr>
          <w:rFonts w:ascii="Arial" w:hAnsi="Arial" w:cs="Arial"/>
          <w:sz w:val="22"/>
          <w:lang w:val="en-US"/>
        </w:rPr>
      </w:pPr>
    </w:p>
    <w:p w14:paraId="15EFBAF3" w14:textId="60EB1C78" w:rsidR="00A54267" w:rsidRPr="005D2610" w:rsidRDefault="00E42F2C" w:rsidP="005D2610">
      <w:pPr>
        <w:pStyle w:val="Heading2"/>
        <w:spacing w:line="360" w:lineRule="auto"/>
        <w:rPr>
          <w:rFonts w:ascii="Arial" w:hAnsi="Arial" w:cs="Arial"/>
          <w:sz w:val="22"/>
          <w:szCs w:val="22"/>
          <w:lang w:val="en-US"/>
        </w:rPr>
      </w:pPr>
      <w:bookmarkStart w:id="11" w:name="_Toc209673777"/>
      <w:r w:rsidRPr="005D2610">
        <w:rPr>
          <w:rFonts w:ascii="Arial" w:hAnsi="Arial" w:cs="Arial"/>
          <w:sz w:val="22"/>
          <w:szCs w:val="22"/>
          <w:lang w:val="en-US"/>
        </w:rPr>
        <w:t>Determinants and Risk Factors</w:t>
      </w:r>
      <w:bookmarkEnd w:id="11"/>
    </w:p>
    <w:p w14:paraId="28E3A81D" w14:textId="7DE835E5" w:rsidR="00A54267" w:rsidRPr="005D2610" w:rsidRDefault="00E42F2C" w:rsidP="00006EB9">
      <w:pPr>
        <w:spacing w:line="360" w:lineRule="auto"/>
        <w:jc w:val="both"/>
        <w:rPr>
          <w:rFonts w:ascii="Arial" w:hAnsi="Arial" w:cs="Arial"/>
          <w:sz w:val="22"/>
          <w:lang w:val="en-US"/>
        </w:rPr>
      </w:pPr>
      <w:r w:rsidRPr="005D2610">
        <w:rPr>
          <w:rFonts w:ascii="Arial" w:hAnsi="Arial" w:cs="Arial"/>
          <w:sz w:val="22"/>
          <w:lang w:val="en-US"/>
        </w:rPr>
        <w:t xml:space="preserve">Determinants of T2DM are multifactorial, influenced by biological, </w:t>
      </w:r>
      <w:proofErr w:type="spellStart"/>
      <w:r w:rsidRPr="005D2610">
        <w:rPr>
          <w:rFonts w:ascii="Arial" w:hAnsi="Arial" w:cs="Arial"/>
          <w:sz w:val="22"/>
          <w:lang w:val="en-US"/>
        </w:rPr>
        <w:t>behavioural</w:t>
      </w:r>
      <w:proofErr w:type="spellEnd"/>
      <w:r w:rsidRPr="005D2610">
        <w:rPr>
          <w:rFonts w:ascii="Arial" w:hAnsi="Arial" w:cs="Arial"/>
          <w:sz w:val="22"/>
          <w:lang w:val="en-US"/>
        </w:rPr>
        <w:t xml:space="preserve">, social, cultural, and environmental factors which interact to increase risk. Biologically, older age, genetic predisposition, family history, and obesity predict T2DM development strongly (Wang et al., 2021). Diets rich in sugar and saturated fats, physical inactivity, smoking, and heavy alcohol drinking further increase this risk (Laakso and Fernandes, 2022). In Tower Hamlets, elevated deprivation, unemployment, and lower educational achievement have profound effects on health </w:t>
      </w:r>
      <w:proofErr w:type="spellStart"/>
      <w:r w:rsidRPr="005D2610">
        <w:rPr>
          <w:rFonts w:ascii="Arial" w:hAnsi="Arial" w:cs="Arial"/>
          <w:sz w:val="22"/>
          <w:lang w:val="en-US"/>
        </w:rPr>
        <w:t>behaviours</w:t>
      </w:r>
      <w:proofErr w:type="spellEnd"/>
      <w:r w:rsidRPr="005D2610">
        <w:rPr>
          <w:rFonts w:ascii="Arial" w:hAnsi="Arial" w:cs="Arial"/>
          <w:sz w:val="22"/>
          <w:lang w:val="en-US"/>
        </w:rPr>
        <w:t xml:space="preserve"> and access to care and correlate with evidence that socioeconomic disadvantage has a strong association with diabetes incidence (Sharpe et al., 2024). </w:t>
      </w:r>
      <w:r w:rsidR="004B4936" w:rsidRPr="004B4936">
        <w:rPr>
          <w:rFonts w:ascii="Arial" w:hAnsi="Arial" w:cs="Arial"/>
          <w:sz w:val="22"/>
          <w:lang w:val="en-US"/>
        </w:rPr>
        <w:t xml:space="preserve">Cultural aspects also play an important role. Ethnic groups of South Asian and the Black communities (Refer to Bangladeshi community in Tower Hamlets) are prone to develop diabetes more than others because of genetic conditions and a mix of food habits (Quin et al., 2023). Unhealthy lifestyles are also comprising of inadequate </w:t>
      </w:r>
      <w:r w:rsidR="004B4936" w:rsidRPr="004B4936">
        <w:rPr>
          <w:rFonts w:ascii="Arial" w:hAnsi="Arial" w:cs="Arial"/>
          <w:sz w:val="22"/>
          <w:lang w:val="en-US"/>
        </w:rPr>
        <w:lastRenderedPageBreak/>
        <w:t>environmental conditions such as inaccessibility of green spaces and the increasing number of fast-food restaurants. Individual risk factors present in conjunction with the social determinants of health predisposes individuals and make diabetes more difficult to control or prevent.</w:t>
      </w:r>
      <w:r w:rsidR="004B4936">
        <w:rPr>
          <w:rFonts w:ascii="Arial" w:hAnsi="Arial" w:cs="Arial"/>
          <w:sz w:val="22"/>
          <w:lang w:val="en-US"/>
        </w:rPr>
        <w:t xml:space="preserve"> </w:t>
      </w:r>
    </w:p>
    <w:p w14:paraId="6BA73C4E" w14:textId="77777777" w:rsidR="00AB3405" w:rsidRPr="005D2610" w:rsidRDefault="00AB3405" w:rsidP="005D2610">
      <w:pPr>
        <w:spacing w:line="360" w:lineRule="auto"/>
        <w:rPr>
          <w:rFonts w:ascii="Arial" w:hAnsi="Arial" w:cs="Arial"/>
          <w:sz w:val="22"/>
          <w:lang w:val="en-US"/>
        </w:rPr>
      </w:pPr>
    </w:p>
    <w:p w14:paraId="1669461F" w14:textId="42C70AF5" w:rsidR="00A54267" w:rsidRPr="005D2610" w:rsidRDefault="00E42F2C" w:rsidP="005D2610">
      <w:pPr>
        <w:pStyle w:val="Heading2"/>
        <w:spacing w:line="360" w:lineRule="auto"/>
        <w:rPr>
          <w:rFonts w:ascii="Arial" w:hAnsi="Arial" w:cs="Arial"/>
          <w:sz w:val="22"/>
          <w:szCs w:val="22"/>
          <w:lang w:val="en-US"/>
        </w:rPr>
      </w:pPr>
      <w:bookmarkStart w:id="12" w:name="_Toc209673778"/>
      <w:r w:rsidRPr="005D2610">
        <w:rPr>
          <w:rFonts w:ascii="Arial" w:hAnsi="Arial" w:cs="Arial"/>
          <w:sz w:val="22"/>
          <w:szCs w:val="22"/>
          <w:lang w:val="en-US"/>
        </w:rPr>
        <w:t>Epidemiological Evidence in Tower Hamlets</w:t>
      </w:r>
      <w:bookmarkEnd w:id="12"/>
    </w:p>
    <w:p w14:paraId="60C72E39" w14:textId="109F2FC6" w:rsidR="000E3EAD" w:rsidRPr="005D2610" w:rsidRDefault="00710E68" w:rsidP="00006EB9">
      <w:pPr>
        <w:spacing w:line="360" w:lineRule="auto"/>
        <w:jc w:val="both"/>
        <w:rPr>
          <w:rFonts w:ascii="Arial" w:hAnsi="Arial" w:cs="Arial"/>
          <w:sz w:val="22"/>
          <w:lang w:val="en-US"/>
        </w:rPr>
      </w:pPr>
      <w:r w:rsidRPr="00710E68">
        <w:rPr>
          <w:rFonts w:ascii="Arial" w:hAnsi="Arial" w:cs="Arial"/>
          <w:sz w:val="22"/>
          <w:lang w:val="en-US"/>
        </w:rPr>
        <w:t>According to epidemiological statistics, T2DM is over-represented in Tower Hamlets, and more common, not to mention more complicated when compared to the rest of London.</w:t>
      </w:r>
      <w:r>
        <w:rPr>
          <w:rFonts w:ascii="Arial" w:hAnsi="Arial" w:cs="Arial"/>
          <w:sz w:val="22"/>
          <w:lang w:val="en-US"/>
        </w:rPr>
        <w:t xml:space="preserve"> </w:t>
      </w:r>
      <w:r w:rsidR="000E3EAD" w:rsidRPr="000E3EAD">
        <w:rPr>
          <w:rFonts w:ascii="Arial" w:hAnsi="Arial" w:cs="Arial"/>
          <w:sz w:val="22"/>
          <w:lang w:val="en-US"/>
        </w:rPr>
        <w:t xml:space="preserve">The frequent Health Needs Assessment (HNA) reveals that the onset of the disease is earlier, especially among the majority of the Bangladeshi residents of the borough, who puts ethnicity at a risk of the socioeconomic disadvantage (Quin et al., 2023). It is also noted that the prevalence rate is high according to GP registers, and the extent of complications associated with diabetic retinopathy and cardiovascular disease is above that of </w:t>
      </w:r>
      <w:proofErr w:type="spellStart"/>
      <w:r w:rsidR="000E3EAD" w:rsidRPr="000E3EAD">
        <w:rPr>
          <w:rFonts w:ascii="Arial" w:hAnsi="Arial" w:cs="Arial"/>
          <w:sz w:val="22"/>
          <w:lang w:val="en-US"/>
        </w:rPr>
        <w:t>neighbouring</w:t>
      </w:r>
      <w:proofErr w:type="spellEnd"/>
      <w:r w:rsidR="000E3EAD" w:rsidRPr="000E3EAD">
        <w:rPr>
          <w:rFonts w:ascii="Arial" w:hAnsi="Arial" w:cs="Arial"/>
          <w:sz w:val="22"/>
          <w:lang w:val="en-US"/>
        </w:rPr>
        <w:t xml:space="preserve"> boroughs (Sharpe et al., 2022). Multimorbidity is common and most of the patients are experiencing hypertension and obesity along with mental conditions in addition to diabetes, which makes them hard to treat in addition to diabetes, confirmed by cross-sectional survey, cohort study, and </w:t>
      </w:r>
      <w:proofErr w:type="spellStart"/>
      <w:r w:rsidR="000E3EAD" w:rsidRPr="000E3EAD">
        <w:rPr>
          <w:rFonts w:ascii="Arial" w:hAnsi="Arial" w:cs="Arial"/>
          <w:sz w:val="22"/>
          <w:lang w:val="en-US"/>
        </w:rPr>
        <w:t>practise</w:t>
      </w:r>
      <w:proofErr w:type="spellEnd"/>
      <w:r w:rsidR="000E3EAD" w:rsidRPr="000E3EAD">
        <w:rPr>
          <w:rFonts w:ascii="Arial" w:hAnsi="Arial" w:cs="Arial"/>
          <w:sz w:val="22"/>
          <w:lang w:val="en-US"/>
        </w:rPr>
        <w:t>-level audit (</w:t>
      </w:r>
      <w:proofErr w:type="spellStart"/>
      <w:r w:rsidR="000E3EAD" w:rsidRPr="000E3EAD">
        <w:rPr>
          <w:rFonts w:ascii="Arial" w:hAnsi="Arial" w:cs="Arial"/>
          <w:sz w:val="22"/>
          <w:lang w:val="en-US"/>
        </w:rPr>
        <w:t>Shamsutdinova</w:t>
      </w:r>
      <w:proofErr w:type="spellEnd"/>
      <w:r w:rsidR="000E3EAD" w:rsidRPr="000E3EAD">
        <w:rPr>
          <w:rFonts w:ascii="Arial" w:hAnsi="Arial" w:cs="Arial"/>
          <w:sz w:val="22"/>
          <w:lang w:val="en-US"/>
        </w:rPr>
        <w:t xml:space="preserve"> et al., 2023). The premature death caused by T2DM has been established by Public Health England Fingertips and Tower Hamlets Joint Strategic Needs Assessment (JSNA), where the life expectancy of the affected individuals is many years shorter. These reports point to the unequal distribution of the disease burden of the borough and the need to have targeted epidemiological interventions.</w:t>
      </w:r>
    </w:p>
    <w:p w14:paraId="7EF0ACDD" w14:textId="77777777" w:rsidR="00EB4030" w:rsidRPr="005D2610" w:rsidRDefault="00EB4030" w:rsidP="005D2610">
      <w:pPr>
        <w:spacing w:line="360" w:lineRule="auto"/>
        <w:rPr>
          <w:rFonts w:ascii="Arial" w:hAnsi="Arial" w:cs="Arial"/>
          <w:sz w:val="22"/>
          <w:lang w:val="en-US"/>
        </w:rPr>
      </w:pPr>
    </w:p>
    <w:p w14:paraId="6FF2AD8C" w14:textId="6365FFD0" w:rsidR="00A54267" w:rsidRPr="005D2610" w:rsidRDefault="00E42F2C" w:rsidP="005D2610">
      <w:pPr>
        <w:pStyle w:val="Heading2"/>
        <w:spacing w:line="360" w:lineRule="auto"/>
        <w:rPr>
          <w:rFonts w:ascii="Arial" w:hAnsi="Arial" w:cs="Arial"/>
          <w:sz w:val="22"/>
          <w:szCs w:val="22"/>
          <w:lang w:val="en-US"/>
        </w:rPr>
      </w:pPr>
      <w:bookmarkStart w:id="13" w:name="_Toc209673779"/>
      <w:r w:rsidRPr="005D2610">
        <w:rPr>
          <w:rFonts w:ascii="Arial" w:hAnsi="Arial" w:cs="Arial"/>
          <w:sz w:val="22"/>
          <w:szCs w:val="22"/>
          <w:lang w:val="en-US"/>
        </w:rPr>
        <w:t>Surveillance and Monitoring Systems</w:t>
      </w:r>
      <w:bookmarkEnd w:id="13"/>
    </w:p>
    <w:p w14:paraId="77FEFA26" w14:textId="2E27CD7F" w:rsidR="009B6FB9" w:rsidRPr="005D2610" w:rsidRDefault="000E3EAD" w:rsidP="00006EB9">
      <w:pPr>
        <w:spacing w:line="360" w:lineRule="auto"/>
        <w:jc w:val="both"/>
        <w:rPr>
          <w:rFonts w:ascii="Arial" w:hAnsi="Arial" w:cs="Arial"/>
          <w:sz w:val="22"/>
          <w:lang w:val="en-US"/>
        </w:rPr>
      </w:pPr>
      <w:r w:rsidRPr="000E3EAD">
        <w:rPr>
          <w:rFonts w:ascii="Arial" w:hAnsi="Arial" w:cs="Arial"/>
          <w:sz w:val="22"/>
          <w:lang w:val="en-US"/>
        </w:rPr>
        <w:t xml:space="preserve">The T2DM surveillance and monitoring systems are critical to understanding and managing T2DM in Tower Hamlets. Local GP registers and Quality and Outcomes Framework (QOF) provide periodic data on the management, diagnosis, outcomes, and enables the comparison of </w:t>
      </w:r>
      <w:r w:rsidR="006E18E8" w:rsidRPr="000E3EAD">
        <w:rPr>
          <w:rFonts w:ascii="Arial" w:hAnsi="Arial" w:cs="Arial"/>
          <w:sz w:val="22"/>
          <w:lang w:val="en-US"/>
        </w:rPr>
        <w:t>practice</w:t>
      </w:r>
      <w:r w:rsidRPr="000E3EAD">
        <w:rPr>
          <w:rFonts w:ascii="Arial" w:hAnsi="Arial" w:cs="Arial"/>
          <w:sz w:val="22"/>
          <w:lang w:val="en-US"/>
        </w:rPr>
        <w:t xml:space="preserve"> and performance to be monitored (Mathur et al., 2022).</w:t>
      </w:r>
      <w:r>
        <w:rPr>
          <w:rFonts w:ascii="Arial" w:hAnsi="Arial" w:cs="Arial"/>
          <w:sz w:val="22"/>
          <w:lang w:val="en-US"/>
        </w:rPr>
        <w:t xml:space="preserve"> </w:t>
      </w:r>
      <w:r w:rsidR="00E42F2C" w:rsidRPr="005D2610">
        <w:rPr>
          <w:rFonts w:ascii="Arial" w:hAnsi="Arial" w:cs="Arial"/>
          <w:sz w:val="22"/>
          <w:lang w:val="en-US"/>
        </w:rPr>
        <w:t xml:space="preserve">At a national level, the National Diabetes Audit and Public Health England's Diabetes Prevalence Model provide advanced insights into trends, complications, and service quality, with modelling of undiagnosed cases (Holman et al., 2021). Screening </w:t>
      </w:r>
      <w:r w:rsidR="006E18E8" w:rsidRPr="005D2610">
        <w:rPr>
          <w:rFonts w:ascii="Arial" w:hAnsi="Arial" w:cs="Arial"/>
          <w:sz w:val="22"/>
          <w:lang w:val="en-US"/>
        </w:rPr>
        <w:t>programmers</w:t>
      </w:r>
      <w:r w:rsidR="00E42F2C" w:rsidRPr="005D2610">
        <w:rPr>
          <w:rFonts w:ascii="Arial" w:hAnsi="Arial" w:cs="Arial"/>
          <w:sz w:val="22"/>
          <w:lang w:val="en-US"/>
        </w:rPr>
        <w:t xml:space="preserve">, such as NHS Health Checks in adults aged 40–74 and the national diabetic retinopathy screening </w:t>
      </w:r>
      <w:proofErr w:type="spellStart"/>
      <w:r w:rsidR="00E42F2C" w:rsidRPr="005D2610">
        <w:rPr>
          <w:rFonts w:ascii="Arial" w:hAnsi="Arial" w:cs="Arial"/>
          <w:sz w:val="22"/>
          <w:lang w:val="en-US"/>
        </w:rPr>
        <w:t>programme</w:t>
      </w:r>
      <w:proofErr w:type="spellEnd"/>
      <w:r w:rsidR="00E42F2C" w:rsidRPr="005D2610">
        <w:rPr>
          <w:rFonts w:ascii="Arial" w:hAnsi="Arial" w:cs="Arial"/>
          <w:sz w:val="22"/>
          <w:lang w:val="en-US"/>
        </w:rPr>
        <w:t xml:space="preserve">, are essential for early diagnosis and prevention of complications (Scanlon, 2021). Strengths of such systems are the capacity for </w:t>
      </w:r>
      <w:r w:rsidR="00E42F2C" w:rsidRPr="005D2610">
        <w:rPr>
          <w:rFonts w:ascii="Arial" w:hAnsi="Arial" w:cs="Arial"/>
          <w:sz w:val="22"/>
          <w:lang w:val="en-US"/>
        </w:rPr>
        <w:lastRenderedPageBreak/>
        <w:t>strong longitudinal data and allowing benchmarking between boroughs. Weaknesses are underdiagnosis, estimated at 20–30% of cases, and a lack of integration with broader social determinant indicators, limiting the ability to act on structural drivers for diabetes inequalities.</w:t>
      </w:r>
    </w:p>
    <w:p w14:paraId="5B5610A6" w14:textId="77777777" w:rsidR="00186C19" w:rsidRPr="005D2610" w:rsidRDefault="00186C19" w:rsidP="005D2610">
      <w:pPr>
        <w:spacing w:line="360" w:lineRule="auto"/>
        <w:rPr>
          <w:rFonts w:ascii="Arial" w:hAnsi="Arial" w:cs="Arial"/>
          <w:sz w:val="22"/>
          <w:lang w:val="en-US"/>
        </w:rPr>
      </w:pPr>
    </w:p>
    <w:p w14:paraId="3CD86742" w14:textId="5929F014" w:rsidR="00A54267" w:rsidRPr="005D2610" w:rsidRDefault="00E42F2C" w:rsidP="005D2610">
      <w:pPr>
        <w:pStyle w:val="Heading2"/>
        <w:spacing w:line="360" w:lineRule="auto"/>
        <w:rPr>
          <w:rFonts w:ascii="Arial" w:hAnsi="Arial" w:cs="Arial"/>
          <w:sz w:val="22"/>
          <w:szCs w:val="22"/>
          <w:lang w:val="en-US"/>
        </w:rPr>
      </w:pPr>
      <w:bookmarkStart w:id="14" w:name="_Toc209673780"/>
      <w:r w:rsidRPr="005D2610">
        <w:rPr>
          <w:rFonts w:ascii="Arial" w:hAnsi="Arial" w:cs="Arial"/>
          <w:sz w:val="22"/>
          <w:szCs w:val="22"/>
          <w:lang w:val="en-US"/>
        </w:rPr>
        <w:t>Public Health Measures and Interventions</w:t>
      </w:r>
      <w:bookmarkEnd w:id="14"/>
    </w:p>
    <w:p w14:paraId="54FE20B9" w14:textId="6CC31A45" w:rsidR="00A54267" w:rsidRPr="005D2610" w:rsidRDefault="00E42F2C" w:rsidP="00006EB9">
      <w:pPr>
        <w:spacing w:line="360" w:lineRule="auto"/>
        <w:jc w:val="both"/>
        <w:rPr>
          <w:rFonts w:ascii="Arial" w:hAnsi="Arial" w:cs="Arial"/>
          <w:sz w:val="22"/>
          <w:lang w:val="en-US"/>
        </w:rPr>
      </w:pPr>
      <w:r w:rsidRPr="005D2610">
        <w:rPr>
          <w:rFonts w:ascii="Arial" w:hAnsi="Arial" w:cs="Arial"/>
          <w:sz w:val="22"/>
          <w:lang w:val="en-US"/>
        </w:rPr>
        <w:t xml:space="preserve">Public health interventions in Tower Hamlets for T2DM utilize a tiered prevention approach targeting risk reduction, early detection, and disease management. Primary prevention involves health promotion campaigns for healthy eating and physical activity, NHS Health Checks, and obesity prevention </w:t>
      </w:r>
      <w:r w:rsidR="006E18E8" w:rsidRPr="005D2610">
        <w:rPr>
          <w:rFonts w:ascii="Arial" w:hAnsi="Arial" w:cs="Arial"/>
          <w:sz w:val="22"/>
          <w:lang w:val="en-US"/>
        </w:rPr>
        <w:t>programmers</w:t>
      </w:r>
      <w:r w:rsidRPr="005D2610">
        <w:rPr>
          <w:rFonts w:ascii="Arial" w:hAnsi="Arial" w:cs="Arial"/>
          <w:sz w:val="22"/>
          <w:lang w:val="en-US"/>
        </w:rPr>
        <w:t xml:space="preserve">, especially important in a deprived borough with high obesity rates (Prothero et al., 2021). Secondary prevention is based on early diagnosis, through GP screening, HbA1c testing, and referral to the NHS Diabetes Prevention </w:t>
      </w:r>
      <w:proofErr w:type="spellStart"/>
      <w:r w:rsidRPr="005D2610">
        <w:rPr>
          <w:rFonts w:ascii="Arial" w:hAnsi="Arial" w:cs="Arial"/>
          <w:sz w:val="22"/>
          <w:lang w:val="en-US"/>
        </w:rPr>
        <w:t>Programme</w:t>
      </w:r>
      <w:proofErr w:type="spellEnd"/>
      <w:r w:rsidRPr="005D2610">
        <w:rPr>
          <w:rFonts w:ascii="Arial" w:hAnsi="Arial" w:cs="Arial"/>
          <w:sz w:val="22"/>
          <w:lang w:val="en-US"/>
        </w:rPr>
        <w:t xml:space="preserve"> (NDPP). National reviews demonstrate NDPP lowers diabetes incidence by approximately 26% within three years, with take-up still lower in disadvantaged areas, restricting local effect (</w:t>
      </w:r>
      <w:proofErr w:type="spellStart"/>
      <w:r w:rsidRPr="005D2610">
        <w:rPr>
          <w:rFonts w:ascii="Arial" w:hAnsi="Arial" w:cs="Arial"/>
          <w:sz w:val="22"/>
          <w:lang w:val="en-US"/>
        </w:rPr>
        <w:t>Ravindrarajah</w:t>
      </w:r>
      <w:proofErr w:type="spellEnd"/>
      <w:r w:rsidRPr="005D2610">
        <w:rPr>
          <w:rFonts w:ascii="Arial" w:hAnsi="Arial" w:cs="Arial"/>
          <w:sz w:val="22"/>
          <w:lang w:val="en-US"/>
        </w:rPr>
        <w:t xml:space="preserve"> et al., 2023). Tertiary prevention focuses on organized education like DESMOND and X-PERT, medication, and community interventions specifically designed for Tower Hamlets' Bangladeshi population, which are at increased genetic and lifestyle risk (Calderón-Larrañaga et al., 2021). These interventions fit the 3 P's framework: promotion through culturally sensitive engagement, prevention through weight management and NDPP, and protection through effective monitoring and complication management. Effective frameworks do exist, but challenges in accessibility, cultural appropriateness, and long-term engagement remain, which underlines the use of locally adapted interventions to maximize long-term gains in population health.</w:t>
      </w:r>
    </w:p>
    <w:p w14:paraId="109F28AB" w14:textId="77777777" w:rsidR="00B14565" w:rsidRPr="005D2610" w:rsidRDefault="00B14565" w:rsidP="005D2610">
      <w:pPr>
        <w:spacing w:line="360" w:lineRule="auto"/>
        <w:rPr>
          <w:rFonts w:ascii="Arial" w:hAnsi="Arial" w:cs="Arial"/>
          <w:sz w:val="22"/>
          <w:lang w:val="en-US"/>
        </w:rPr>
      </w:pPr>
    </w:p>
    <w:p w14:paraId="768B0098" w14:textId="0BDBE2D2" w:rsidR="00A54267" w:rsidRPr="005D2610" w:rsidRDefault="00E42F2C" w:rsidP="005D2610">
      <w:pPr>
        <w:pStyle w:val="Heading2"/>
        <w:spacing w:line="360" w:lineRule="auto"/>
        <w:rPr>
          <w:rFonts w:ascii="Arial" w:hAnsi="Arial" w:cs="Arial"/>
          <w:sz w:val="22"/>
          <w:szCs w:val="22"/>
          <w:lang w:val="en-US"/>
        </w:rPr>
      </w:pPr>
      <w:bookmarkStart w:id="15" w:name="_Toc209673781"/>
      <w:r w:rsidRPr="005D2610">
        <w:rPr>
          <w:rFonts w:ascii="Arial" w:hAnsi="Arial" w:cs="Arial"/>
          <w:sz w:val="22"/>
          <w:szCs w:val="22"/>
          <w:lang w:val="en-US"/>
        </w:rPr>
        <w:t>Public Health Impact and Consequences</w:t>
      </w:r>
      <w:bookmarkEnd w:id="15"/>
    </w:p>
    <w:p w14:paraId="4DA2C3F9" w14:textId="27446D49" w:rsidR="00A54267" w:rsidRPr="005D2610" w:rsidRDefault="00E42F2C" w:rsidP="00006EB9">
      <w:pPr>
        <w:spacing w:line="360" w:lineRule="auto"/>
        <w:jc w:val="both"/>
        <w:rPr>
          <w:rFonts w:ascii="Arial" w:hAnsi="Arial" w:cs="Arial"/>
          <w:sz w:val="22"/>
          <w:lang w:val="en-US"/>
        </w:rPr>
      </w:pPr>
      <w:r w:rsidRPr="005D2610">
        <w:rPr>
          <w:rFonts w:ascii="Arial" w:hAnsi="Arial" w:cs="Arial"/>
          <w:sz w:val="22"/>
          <w:lang w:val="en-US"/>
        </w:rPr>
        <w:t xml:space="preserve">The public health burden of T2DM in Tower Hamlets is tremendous, with big short- and long-term effects. In the short term, patients suffer decreased quality of life, loss of productivity, and increased healthcare use, which puts pressure on both primary care and inpatient services (Shah et al., 2025). Long-term effects are debilitating complications like renal failure, blindness, and amputations of lower limbs, and uncontrolled diabetes lowers life expectancy by as much as ten years (Han et al., 2022). Nationally, T2DM costs the NHS about 10% of its budget—some £10 billion per year—following the high expense of treatment and managing complications (NHS England, 2024). Within Tower Hamlets, where prevalence is significantly higher than the London </w:t>
      </w:r>
      <w:r w:rsidRPr="005D2610">
        <w:rPr>
          <w:rFonts w:ascii="Arial" w:hAnsi="Arial" w:cs="Arial"/>
          <w:sz w:val="22"/>
          <w:lang w:val="en-US"/>
        </w:rPr>
        <w:lastRenderedPageBreak/>
        <w:t>average, the cost is disproportionally weighted among deprived and ethnically diverse groups, increasing pressure on local health services and widening health inequalities (Das-Munshi et al., 2021). These effects illustrate the necessity for effective, locally adapted interventions in decreasing both economic and clinical burdens.</w:t>
      </w:r>
    </w:p>
    <w:p w14:paraId="2E3E9B2E" w14:textId="77777777" w:rsidR="0023754A" w:rsidRPr="005D2610" w:rsidRDefault="0023754A" w:rsidP="005D2610">
      <w:pPr>
        <w:spacing w:line="360" w:lineRule="auto"/>
        <w:rPr>
          <w:rFonts w:ascii="Arial" w:hAnsi="Arial" w:cs="Arial"/>
          <w:sz w:val="22"/>
          <w:lang w:val="en-US"/>
        </w:rPr>
      </w:pPr>
    </w:p>
    <w:p w14:paraId="6C97B191" w14:textId="376E97B4" w:rsidR="00A54267" w:rsidRPr="005D2610" w:rsidRDefault="00E42F2C" w:rsidP="005D2610">
      <w:pPr>
        <w:pStyle w:val="Heading2"/>
        <w:spacing w:line="360" w:lineRule="auto"/>
        <w:rPr>
          <w:rFonts w:ascii="Arial" w:hAnsi="Arial" w:cs="Arial"/>
          <w:sz w:val="22"/>
          <w:szCs w:val="22"/>
          <w:lang w:val="en-US"/>
        </w:rPr>
      </w:pPr>
      <w:bookmarkStart w:id="16" w:name="_Toc209673782"/>
      <w:r w:rsidRPr="005D2610">
        <w:rPr>
          <w:rFonts w:ascii="Arial" w:hAnsi="Arial" w:cs="Arial"/>
          <w:sz w:val="22"/>
          <w:szCs w:val="22"/>
          <w:lang w:val="en-US"/>
        </w:rPr>
        <w:t xml:space="preserve">Designing an Intervention </w:t>
      </w:r>
      <w:bookmarkEnd w:id="16"/>
      <w:r w:rsidR="006E18E8" w:rsidRPr="005D2610">
        <w:rPr>
          <w:rFonts w:ascii="Arial" w:hAnsi="Arial" w:cs="Arial"/>
          <w:sz w:val="22"/>
          <w:szCs w:val="22"/>
          <w:lang w:val="en-US"/>
        </w:rPr>
        <w:t>program me</w:t>
      </w:r>
    </w:p>
    <w:p w14:paraId="116A0EA5" w14:textId="3F67CCCD" w:rsidR="000E3EAD" w:rsidRDefault="00E42F2C" w:rsidP="000E3EAD">
      <w:pPr>
        <w:spacing w:line="360" w:lineRule="auto"/>
        <w:jc w:val="both"/>
        <w:rPr>
          <w:rFonts w:ascii="Arial" w:hAnsi="Arial" w:cs="Arial"/>
          <w:sz w:val="22"/>
          <w:lang w:val="en-US"/>
        </w:rPr>
      </w:pPr>
      <w:r w:rsidRPr="005D2610">
        <w:rPr>
          <w:rFonts w:ascii="Arial" w:hAnsi="Arial" w:cs="Arial"/>
          <w:sz w:val="22"/>
          <w:lang w:val="en-US"/>
        </w:rPr>
        <w:t xml:space="preserve">The culturally adapted community-based intervention in Tower Hamlets among the Bangladeshi community may address the increased risk of T2DM by peer-led and locally grounded approaches. Peer educators from the community would provide group-based physical activity classes in mosques and community </w:t>
      </w:r>
      <w:r w:rsidR="006E18E8" w:rsidRPr="005D2610">
        <w:rPr>
          <w:rFonts w:ascii="Arial" w:hAnsi="Arial" w:cs="Arial"/>
          <w:sz w:val="22"/>
          <w:lang w:val="en-US"/>
        </w:rPr>
        <w:t>centers</w:t>
      </w:r>
      <w:r w:rsidRPr="005D2610">
        <w:rPr>
          <w:rFonts w:ascii="Arial" w:hAnsi="Arial" w:cs="Arial"/>
          <w:sz w:val="22"/>
          <w:lang w:val="en-US"/>
        </w:rPr>
        <w:t xml:space="preserve"> to promote cultural acceptance and long-term participation (Vivian and Flanagan, 2022). Nutrition education would address transitioning to traditional South Asian diets to more healthful versions, and digital technologies like glucose-monitoring apps would enhance self-management (Katula et al., 2022). </w:t>
      </w:r>
      <w:r w:rsidR="000E3EAD" w:rsidRPr="000E3EAD">
        <w:rPr>
          <w:rFonts w:ascii="Arial" w:hAnsi="Arial" w:cs="Arial"/>
          <w:sz w:val="22"/>
          <w:lang w:val="en-US"/>
        </w:rPr>
        <w:t>The measure of impact will be pre and post intervention HbA1c, BMI, treatment uptake, and quality of life.</w:t>
      </w:r>
    </w:p>
    <w:p w14:paraId="53FE452D" w14:textId="77777777" w:rsidR="000E3EAD" w:rsidRPr="005D2610" w:rsidRDefault="000E3EAD" w:rsidP="000E3EAD">
      <w:pPr>
        <w:spacing w:line="360" w:lineRule="auto"/>
        <w:jc w:val="both"/>
        <w:rPr>
          <w:rFonts w:ascii="Arial" w:hAnsi="Arial" w:cs="Arial"/>
          <w:sz w:val="22"/>
          <w:lang w:val="en-US"/>
        </w:rPr>
      </w:pPr>
    </w:p>
    <w:p w14:paraId="75BC743E" w14:textId="503FF69E" w:rsidR="00A54267" w:rsidRPr="005D2610" w:rsidRDefault="00E42F2C" w:rsidP="005D2610">
      <w:pPr>
        <w:pStyle w:val="Heading2"/>
        <w:spacing w:line="360" w:lineRule="auto"/>
        <w:rPr>
          <w:rFonts w:ascii="Arial" w:hAnsi="Arial" w:cs="Arial"/>
          <w:sz w:val="22"/>
          <w:szCs w:val="22"/>
          <w:lang w:val="en-US"/>
        </w:rPr>
      </w:pPr>
      <w:bookmarkStart w:id="17" w:name="_Toc209673783"/>
      <w:r w:rsidRPr="005D2610">
        <w:rPr>
          <w:rFonts w:ascii="Arial" w:hAnsi="Arial" w:cs="Arial"/>
          <w:sz w:val="22"/>
          <w:szCs w:val="22"/>
          <w:lang w:val="en-US"/>
        </w:rPr>
        <w:t>Strengths and Weaknesses of Epidemiological Approach</w:t>
      </w:r>
      <w:bookmarkEnd w:id="17"/>
    </w:p>
    <w:p w14:paraId="030C28F2" w14:textId="660B88D3" w:rsidR="000E3EAD" w:rsidRPr="005D2610" w:rsidRDefault="000E3EAD" w:rsidP="00006EB9">
      <w:pPr>
        <w:spacing w:line="360" w:lineRule="auto"/>
        <w:jc w:val="both"/>
        <w:rPr>
          <w:rFonts w:ascii="Arial" w:hAnsi="Arial" w:cs="Arial"/>
          <w:sz w:val="22"/>
          <w:lang w:val="en-US"/>
        </w:rPr>
      </w:pPr>
      <w:r w:rsidRPr="000E3EAD">
        <w:rPr>
          <w:rFonts w:ascii="Arial" w:hAnsi="Arial" w:cs="Arial"/>
          <w:sz w:val="22"/>
          <w:lang w:val="en-US"/>
        </w:rPr>
        <w:t xml:space="preserve">The Tower Hamlets T2DM epidemiological strategy possesses several strengths. It relies on regular statistics, including QOF and the National Diabetes Prevention </w:t>
      </w:r>
      <w:proofErr w:type="spellStart"/>
      <w:r w:rsidRPr="000E3EAD">
        <w:rPr>
          <w:rFonts w:ascii="Arial" w:hAnsi="Arial" w:cs="Arial"/>
          <w:sz w:val="22"/>
          <w:lang w:val="en-US"/>
        </w:rPr>
        <w:t>Programme</w:t>
      </w:r>
      <w:proofErr w:type="spellEnd"/>
      <w:r w:rsidRPr="000E3EAD">
        <w:rPr>
          <w:rFonts w:ascii="Arial" w:hAnsi="Arial" w:cs="Arial"/>
          <w:sz w:val="22"/>
          <w:lang w:val="en-US"/>
        </w:rPr>
        <w:t xml:space="preserve"> (NDPP), that provide powerful pre-epidemiology and control statistics. The Local sources involve the use of the JSNA that are compared between inter-borough and offer evidence-based interventions (Assessment, 2022). However, the shortcomings include inadequate reporting of undiagnosed cases, which is estimated to be 30</w:t>
      </w:r>
      <w:r>
        <w:rPr>
          <w:rFonts w:ascii="Arial" w:hAnsi="Arial" w:cs="Arial"/>
          <w:sz w:val="22"/>
          <w:lang w:val="en-US"/>
        </w:rPr>
        <w:t xml:space="preserve">% </w:t>
      </w:r>
      <w:r w:rsidRPr="000E3EAD">
        <w:rPr>
          <w:rFonts w:ascii="Arial" w:hAnsi="Arial" w:cs="Arial"/>
          <w:sz w:val="22"/>
          <w:lang w:val="en-US"/>
        </w:rPr>
        <w:t>nationwide (Asmar et al., 2024) and the lack of the consideration of lifestyle and cultural factors in the dataset. The fact of ethnic variations is imprecisely portrayed and cause and effect supposition can decrease socioeconomic determinants.</w:t>
      </w:r>
    </w:p>
    <w:p w14:paraId="22D3E5A2" w14:textId="77777777" w:rsidR="00207FE4" w:rsidRPr="005D2610" w:rsidRDefault="00207FE4" w:rsidP="005D2610">
      <w:pPr>
        <w:spacing w:line="360" w:lineRule="auto"/>
        <w:rPr>
          <w:rFonts w:ascii="Arial" w:hAnsi="Arial" w:cs="Arial"/>
          <w:sz w:val="22"/>
          <w:lang w:val="en-US"/>
        </w:rPr>
      </w:pPr>
    </w:p>
    <w:p w14:paraId="4E1E839B" w14:textId="1250A453" w:rsidR="00E52AD8" w:rsidRPr="005D2610" w:rsidRDefault="00E42F2C" w:rsidP="005D2610">
      <w:pPr>
        <w:pStyle w:val="Heading2"/>
        <w:spacing w:line="360" w:lineRule="auto"/>
        <w:rPr>
          <w:rFonts w:ascii="Arial" w:hAnsi="Arial" w:cs="Arial"/>
          <w:sz w:val="22"/>
          <w:szCs w:val="22"/>
          <w:lang w:val="en-US"/>
        </w:rPr>
      </w:pPr>
      <w:bookmarkStart w:id="18" w:name="_Toc209673784"/>
      <w:r w:rsidRPr="005D2610">
        <w:rPr>
          <w:rFonts w:ascii="Arial" w:hAnsi="Arial" w:cs="Arial"/>
          <w:sz w:val="22"/>
          <w:szCs w:val="22"/>
          <w:lang w:val="en-US"/>
        </w:rPr>
        <w:t>Conclusion</w:t>
      </w:r>
      <w:bookmarkEnd w:id="18"/>
    </w:p>
    <w:p w14:paraId="3939B22C" w14:textId="1CD2566E" w:rsidR="00802976" w:rsidRPr="005D2610" w:rsidRDefault="000E3EAD" w:rsidP="00006EB9">
      <w:pPr>
        <w:spacing w:line="360" w:lineRule="auto"/>
        <w:jc w:val="both"/>
        <w:rPr>
          <w:rFonts w:ascii="Arial" w:hAnsi="Arial" w:cs="Arial"/>
          <w:sz w:val="22"/>
          <w:lang w:val="en-US"/>
        </w:rPr>
      </w:pPr>
      <w:r w:rsidRPr="000E3EAD">
        <w:rPr>
          <w:rFonts w:ascii="Arial" w:hAnsi="Arial" w:cs="Arial"/>
          <w:sz w:val="22"/>
          <w:lang w:val="en-US"/>
        </w:rPr>
        <w:t xml:space="preserve">Type 2 diabetes mellitus has become one of the biggest health problems in Tower Hamlets with high rates of prevalence and rampant rates of deprivation as well as ethnic inequalities that go hand in hand to increase risk and disease burden. It is demonstrated with the usage of </w:t>
      </w:r>
      <w:r w:rsidRPr="000E3EAD">
        <w:rPr>
          <w:rFonts w:ascii="Arial" w:hAnsi="Arial" w:cs="Arial"/>
          <w:sz w:val="22"/>
          <w:lang w:val="en-US"/>
        </w:rPr>
        <w:lastRenderedPageBreak/>
        <w:t>epidemiological analysis that it is imperative to identify the determinants, to trace the trends and to evaluate the interventions and culturally specific and locally sensitive interventions should be taken.</w:t>
      </w:r>
      <w:r w:rsidR="00E27903">
        <w:rPr>
          <w:rFonts w:ascii="Arial" w:hAnsi="Arial" w:cs="Arial"/>
          <w:sz w:val="22"/>
          <w:lang w:val="en-US"/>
        </w:rPr>
        <w:t xml:space="preserve"> </w:t>
      </w:r>
      <w:r w:rsidR="00E42F2C" w:rsidRPr="005D2610">
        <w:rPr>
          <w:rFonts w:ascii="Arial" w:hAnsi="Arial" w:cs="Arial"/>
          <w:sz w:val="22"/>
          <w:lang w:val="en-US"/>
        </w:rPr>
        <w:t>Improved systems of surveillance and investment in prevention at community level are still necessary to control complications and long-term healthcare needs. While data collection and interpretation limitations still exist, systematic epidemiological methods allow more efficient use of resources and facilitate continued population health improvements throughout the borough.</w:t>
      </w:r>
    </w:p>
    <w:p w14:paraId="24C28CFA" w14:textId="56A72936" w:rsidR="00802976" w:rsidRPr="005D2610" w:rsidRDefault="00E42F2C" w:rsidP="005D2610">
      <w:pPr>
        <w:spacing w:line="360" w:lineRule="auto"/>
        <w:rPr>
          <w:rFonts w:ascii="Arial" w:hAnsi="Arial" w:cs="Arial"/>
          <w:sz w:val="22"/>
          <w:lang w:val="en-US"/>
        </w:rPr>
      </w:pPr>
      <w:r w:rsidRPr="005D2610">
        <w:rPr>
          <w:rFonts w:ascii="Arial" w:hAnsi="Arial" w:cs="Arial"/>
          <w:sz w:val="22"/>
          <w:lang w:val="en-US"/>
        </w:rPr>
        <w:br w:type="page"/>
      </w:r>
    </w:p>
    <w:p w14:paraId="65E4E703" w14:textId="501BA3ED" w:rsidR="00802976" w:rsidRPr="005D2610" w:rsidRDefault="00E42F2C" w:rsidP="005D2610">
      <w:pPr>
        <w:pStyle w:val="Heading2"/>
        <w:spacing w:line="360" w:lineRule="auto"/>
        <w:rPr>
          <w:rFonts w:ascii="Arial" w:hAnsi="Arial" w:cs="Arial"/>
          <w:sz w:val="22"/>
          <w:szCs w:val="22"/>
          <w:lang w:val="en-US"/>
        </w:rPr>
      </w:pPr>
      <w:bookmarkStart w:id="19" w:name="_Toc209673785"/>
      <w:r w:rsidRPr="005D2610">
        <w:rPr>
          <w:rFonts w:ascii="Arial" w:hAnsi="Arial" w:cs="Arial"/>
          <w:sz w:val="22"/>
          <w:szCs w:val="22"/>
          <w:lang w:val="en-US"/>
        </w:rPr>
        <w:lastRenderedPageBreak/>
        <w:t>References</w:t>
      </w:r>
      <w:bookmarkEnd w:id="19"/>
    </w:p>
    <w:p w14:paraId="3C9D5072" w14:textId="2938DB1F"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Asmar, M.L.E., Karki, M., Mall, B., Riboli-</w:t>
      </w:r>
      <w:proofErr w:type="spellStart"/>
      <w:r w:rsidRPr="005D2610">
        <w:rPr>
          <w:rFonts w:ascii="Arial" w:hAnsi="Arial" w:cs="Arial"/>
          <w:sz w:val="22"/>
        </w:rPr>
        <w:t>Sasco</w:t>
      </w:r>
      <w:proofErr w:type="spellEnd"/>
      <w:r w:rsidRPr="005D2610">
        <w:rPr>
          <w:rFonts w:ascii="Arial" w:hAnsi="Arial" w:cs="Arial"/>
          <w:sz w:val="22"/>
        </w:rPr>
        <w:t xml:space="preserve">, E. and El-Osta, </w:t>
      </w:r>
      <w:proofErr w:type="gramStart"/>
      <w:r w:rsidRPr="005D2610">
        <w:rPr>
          <w:rFonts w:ascii="Arial" w:hAnsi="Arial" w:cs="Arial"/>
          <w:sz w:val="22"/>
        </w:rPr>
        <w:t>A.,</w:t>
      </w:r>
      <w:r w:rsidR="006E18E8">
        <w:rPr>
          <w:rFonts w:ascii="Arial" w:hAnsi="Arial" w:cs="Arial"/>
          <w:sz w:val="22"/>
        </w:rPr>
        <w:t>(</w:t>
      </w:r>
      <w:proofErr w:type="gramEnd"/>
      <w:r w:rsidRPr="005D2610">
        <w:rPr>
          <w:rFonts w:ascii="Arial" w:hAnsi="Arial" w:cs="Arial"/>
          <w:sz w:val="22"/>
        </w:rPr>
        <w:t xml:space="preserve"> 2024</w:t>
      </w:r>
      <w:r w:rsidR="006E18E8">
        <w:rPr>
          <w:rFonts w:ascii="Arial" w:hAnsi="Arial" w:cs="Arial"/>
          <w:sz w:val="22"/>
        </w:rPr>
        <w:t>)</w:t>
      </w:r>
      <w:r w:rsidRPr="005D2610">
        <w:rPr>
          <w:rFonts w:ascii="Arial" w:hAnsi="Arial" w:cs="Arial"/>
          <w:sz w:val="22"/>
        </w:rPr>
        <w:t>. Components of joint health and wellbeing strategies: a pan-London review of all 33 local authorities. </w:t>
      </w:r>
      <w:r w:rsidRPr="005D2610">
        <w:rPr>
          <w:rFonts w:ascii="Arial" w:hAnsi="Arial" w:cs="Arial"/>
          <w:i/>
          <w:iCs/>
          <w:sz w:val="22"/>
        </w:rPr>
        <w:t>BMC Public Health</w:t>
      </w:r>
      <w:r w:rsidRPr="005D2610">
        <w:rPr>
          <w:rFonts w:ascii="Arial" w:hAnsi="Arial" w:cs="Arial"/>
          <w:sz w:val="22"/>
        </w:rPr>
        <w:t>, </w:t>
      </w:r>
      <w:r w:rsidRPr="005D2610">
        <w:rPr>
          <w:rFonts w:ascii="Arial" w:hAnsi="Arial" w:cs="Arial"/>
          <w:i/>
          <w:iCs/>
          <w:sz w:val="22"/>
        </w:rPr>
        <w:t>24</w:t>
      </w:r>
      <w:r w:rsidRPr="005D2610">
        <w:rPr>
          <w:rFonts w:ascii="Arial" w:hAnsi="Arial" w:cs="Arial"/>
          <w:sz w:val="22"/>
        </w:rPr>
        <w:t>(1), p.3432.</w:t>
      </w:r>
    </w:p>
    <w:p w14:paraId="7A23EA1F" w14:textId="07BC4033"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Assessment, </w:t>
      </w:r>
      <w:r w:rsidR="006E18E8" w:rsidRPr="005D2610">
        <w:rPr>
          <w:rFonts w:ascii="Arial" w:hAnsi="Arial" w:cs="Arial"/>
          <w:sz w:val="22"/>
        </w:rPr>
        <w:t>J.S.N.,</w:t>
      </w:r>
      <w:r w:rsidR="006E18E8">
        <w:rPr>
          <w:rFonts w:ascii="Arial" w:hAnsi="Arial" w:cs="Arial"/>
          <w:sz w:val="22"/>
        </w:rPr>
        <w:t xml:space="preserve"> (</w:t>
      </w:r>
      <w:r w:rsidR="006E18E8" w:rsidRPr="005D2610">
        <w:rPr>
          <w:rFonts w:ascii="Arial" w:hAnsi="Arial" w:cs="Arial"/>
          <w:sz w:val="22"/>
        </w:rPr>
        <w:t>2022</w:t>
      </w:r>
      <w:r w:rsidR="006E18E8">
        <w:rPr>
          <w:rFonts w:ascii="Arial" w:hAnsi="Arial" w:cs="Arial"/>
          <w:sz w:val="22"/>
        </w:rPr>
        <w:t>)</w:t>
      </w:r>
      <w:r w:rsidRPr="005D2610">
        <w:rPr>
          <w:rFonts w:ascii="Arial" w:hAnsi="Arial" w:cs="Arial"/>
          <w:sz w:val="22"/>
        </w:rPr>
        <w:t>. Ageing Well Joint Strategic Needs Assessment. </w:t>
      </w:r>
      <w:r w:rsidRPr="005D2610">
        <w:rPr>
          <w:rFonts w:ascii="Arial" w:hAnsi="Arial" w:cs="Arial"/>
          <w:i/>
          <w:iCs/>
          <w:sz w:val="22"/>
        </w:rPr>
        <w:t>Public Health</w:t>
      </w:r>
      <w:r w:rsidRPr="005D2610">
        <w:rPr>
          <w:rFonts w:ascii="Arial" w:hAnsi="Arial" w:cs="Arial"/>
          <w:sz w:val="22"/>
        </w:rPr>
        <w:t>, </w:t>
      </w:r>
      <w:r w:rsidRPr="005D2610">
        <w:rPr>
          <w:rFonts w:ascii="Arial" w:hAnsi="Arial" w:cs="Arial"/>
          <w:i/>
          <w:iCs/>
          <w:sz w:val="22"/>
        </w:rPr>
        <w:t>19</w:t>
      </w:r>
      <w:r w:rsidRPr="005D2610">
        <w:rPr>
          <w:rFonts w:ascii="Arial" w:hAnsi="Arial" w:cs="Arial"/>
          <w:sz w:val="22"/>
        </w:rPr>
        <w:t>, p.12.</w:t>
      </w:r>
    </w:p>
    <w:p w14:paraId="4ED996C1" w14:textId="6730BB52"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Calderón-Larrañaga, S., Clinch, M., Greenhalgh, T. and Finer, S., </w:t>
      </w:r>
      <w:r w:rsidR="006E18E8">
        <w:rPr>
          <w:rFonts w:ascii="Arial" w:hAnsi="Arial" w:cs="Arial"/>
          <w:sz w:val="22"/>
        </w:rPr>
        <w:t>(</w:t>
      </w:r>
      <w:r w:rsidRPr="005D2610">
        <w:rPr>
          <w:rFonts w:ascii="Arial" w:hAnsi="Arial" w:cs="Arial"/>
          <w:sz w:val="22"/>
        </w:rPr>
        <w:t>2021</w:t>
      </w:r>
      <w:r w:rsidR="006E18E8">
        <w:rPr>
          <w:rFonts w:ascii="Arial" w:hAnsi="Arial" w:cs="Arial"/>
          <w:sz w:val="22"/>
        </w:rPr>
        <w:t>)</w:t>
      </w:r>
      <w:r w:rsidRPr="005D2610">
        <w:rPr>
          <w:rFonts w:ascii="Arial" w:hAnsi="Arial" w:cs="Arial"/>
          <w:sz w:val="22"/>
        </w:rPr>
        <w:t>. Could social prescribing contribute to type 2 diabetes prevention in people at high risk? Protocol for a realist, multilevel, mixed methods review and evaluation. </w:t>
      </w:r>
      <w:r w:rsidRPr="005D2610">
        <w:rPr>
          <w:rFonts w:ascii="Arial" w:hAnsi="Arial" w:cs="Arial"/>
          <w:i/>
          <w:iCs/>
          <w:sz w:val="22"/>
        </w:rPr>
        <w:t>BMJ open</w:t>
      </w:r>
      <w:r w:rsidRPr="005D2610">
        <w:rPr>
          <w:rFonts w:ascii="Arial" w:hAnsi="Arial" w:cs="Arial"/>
          <w:sz w:val="22"/>
        </w:rPr>
        <w:t>, </w:t>
      </w:r>
      <w:r w:rsidRPr="005D2610">
        <w:rPr>
          <w:rFonts w:ascii="Arial" w:hAnsi="Arial" w:cs="Arial"/>
          <w:i/>
          <w:iCs/>
          <w:sz w:val="22"/>
        </w:rPr>
        <w:t>11</w:t>
      </w:r>
      <w:r w:rsidRPr="005D2610">
        <w:rPr>
          <w:rFonts w:ascii="Arial" w:hAnsi="Arial" w:cs="Arial"/>
          <w:sz w:val="22"/>
        </w:rPr>
        <w:t>(4), p.e042303.</w:t>
      </w:r>
    </w:p>
    <w:p w14:paraId="0C794EBF" w14:textId="77777777"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Chew, N.W., Pan, X.H., Chong, B., Chandramouli, C., Muthiah, M. and Lam, C.S., 2024. Type 2 diabetes mellitus and cardiometabolic outcomes in metabolic dysfunction-associated </w:t>
      </w:r>
      <w:proofErr w:type="spellStart"/>
      <w:r w:rsidRPr="005D2610">
        <w:rPr>
          <w:rFonts w:ascii="Arial" w:hAnsi="Arial" w:cs="Arial"/>
          <w:sz w:val="22"/>
        </w:rPr>
        <w:t>steatotic</w:t>
      </w:r>
      <w:proofErr w:type="spellEnd"/>
      <w:r w:rsidRPr="005D2610">
        <w:rPr>
          <w:rFonts w:ascii="Arial" w:hAnsi="Arial" w:cs="Arial"/>
          <w:sz w:val="22"/>
        </w:rPr>
        <w:t xml:space="preserve"> liver disease population. </w:t>
      </w:r>
      <w:r w:rsidRPr="005D2610">
        <w:rPr>
          <w:rFonts w:ascii="Arial" w:hAnsi="Arial" w:cs="Arial"/>
          <w:i/>
          <w:iCs/>
          <w:sz w:val="22"/>
        </w:rPr>
        <w:t>Diabetes Research and Clinical Practice</w:t>
      </w:r>
      <w:r w:rsidRPr="005D2610">
        <w:rPr>
          <w:rFonts w:ascii="Arial" w:hAnsi="Arial" w:cs="Arial"/>
          <w:sz w:val="22"/>
        </w:rPr>
        <w:t>, </w:t>
      </w:r>
      <w:r w:rsidRPr="005D2610">
        <w:rPr>
          <w:rFonts w:ascii="Arial" w:hAnsi="Arial" w:cs="Arial"/>
          <w:i/>
          <w:iCs/>
          <w:sz w:val="22"/>
        </w:rPr>
        <w:t>211</w:t>
      </w:r>
      <w:r w:rsidRPr="005D2610">
        <w:rPr>
          <w:rFonts w:ascii="Arial" w:hAnsi="Arial" w:cs="Arial"/>
          <w:sz w:val="22"/>
        </w:rPr>
        <w:t>, p.111652.</w:t>
      </w:r>
    </w:p>
    <w:p w14:paraId="24CEA6B1" w14:textId="77777777"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Chowdhury, T.A. and Huda, B., 2016. A decade of change in diabetes services in a deprived multiethnic inner city area: diabetes in Tower Hamlets. </w:t>
      </w:r>
      <w:r w:rsidRPr="005D2610">
        <w:rPr>
          <w:rFonts w:ascii="Arial" w:hAnsi="Arial" w:cs="Arial"/>
          <w:i/>
          <w:iCs/>
          <w:sz w:val="22"/>
        </w:rPr>
        <w:t>British Journal of Diabetes</w:t>
      </w:r>
      <w:r w:rsidRPr="005D2610">
        <w:rPr>
          <w:rFonts w:ascii="Arial" w:hAnsi="Arial" w:cs="Arial"/>
          <w:sz w:val="22"/>
        </w:rPr>
        <w:t>, </w:t>
      </w:r>
      <w:r w:rsidRPr="005D2610">
        <w:rPr>
          <w:rFonts w:ascii="Arial" w:hAnsi="Arial" w:cs="Arial"/>
          <w:i/>
          <w:iCs/>
          <w:sz w:val="22"/>
        </w:rPr>
        <w:t>16</w:t>
      </w:r>
      <w:r w:rsidRPr="005D2610">
        <w:rPr>
          <w:rFonts w:ascii="Arial" w:hAnsi="Arial" w:cs="Arial"/>
          <w:sz w:val="22"/>
        </w:rPr>
        <w:t>(4), pp.188-192.</w:t>
      </w:r>
    </w:p>
    <w:p w14:paraId="26DD9BB6" w14:textId="5CF1262F"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Das-Munshi, J., Schofield, P., Ashworth, M., Gaughran, F., Hull, S., Ismail, K., Robson, J., Stewart, R. and Mathur, </w:t>
      </w:r>
      <w:r w:rsidR="006E18E8" w:rsidRPr="005D2610">
        <w:rPr>
          <w:rFonts w:ascii="Arial" w:hAnsi="Arial" w:cs="Arial"/>
          <w:sz w:val="22"/>
        </w:rPr>
        <w:t>R.,</w:t>
      </w:r>
      <w:r w:rsidR="006E18E8">
        <w:rPr>
          <w:rFonts w:ascii="Arial" w:hAnsi="Arial" w:cs="Arial"/>
          <w:sz w:val="22"/>
        </w:rPr>
        <w:t xml:space="preserve"> (</w:t>
      </w:r>
      <w:r w:rsidR="006E18E8" w:rsidRPr="005D2610">
        <w:rPr>
          <w:rFonts w:ascii="Arial" w:hAnsi="Arial" w:cs="Arial"/>
          <w:sz w:val="22"/>
        </w:rPr>
        <w:t>2021</w:t>
      </w:r>
      <w:r w:rsidR="006E18E8">
        <w:rPr>
          <w:rFonts w:ascii="Arial" w:hAnsi="Arial" w:cs="Arial"/>
          <w:sz w:val="22"/>
        </w:rPr>
        <w:t>)</w:t>
      </w:r>
      <w:r w:rsidRPr="005D2610">
        <w:rPr>
          <w:rFonts w:ascii="Arial" w:hAnsi="Arial" w:cs="Arial"/>
          <w:sz w:val="22"/>
        </w:rPr>
        <w:t xml:space="preserve">. Inequalities in </w:t>
      </w:r>
      <w:proofErr w:type="spellStart"/>
      <w:r w:rsidRPr="005D2610">
        <w:rPr>
          <w:rFonts w:ascii="Arial" w:hAnsi="Arial" w:cs="Arial"/>
          <w:sz w:val="22"/>
        </w:rPr>
        <w:t>glycemic</w:t>
      </w:r>
      <w:proofErr w:type="spellEnd"/>
      <w:r w:rsidRPr="005D2610">
        <w:rPr>
          <w:rFonts w:ascii="Arial" w:hAnsi="Arial" w:cs="Arial"/>
          <w:sz w:val="22"/>
        </w:rPr>
        <w:t xml:space="preserve"> management in people living with type 2 diabetes mellitus and severe mental illnesses: cohort study from the UK over 10 years. </w:t>
      </w:r>
      <w:r w:rsidRPr="005D2610">
        <w:rPr>
          <w:rFonts w:ascii="Arial" w:hAnsi="Arial" w:cs="Arial"/>
          <w:i/>
          <w:iCs/>
          <w:sz w:val="22"/>
        </w:rPr>
        <w:t>BMJ Open Diabetes Research and Care</w:t>
      </w:r>
      <w:r w:rsidRPr="005D2610">
        <w:rPr>
          <w:rFonts w:ascii="Arial" w:hAnsi="Arial" w:cs="Arial"/>
          <w:sz w:val="22"/>
        </w:rPr>
        <w:t>, </w:t>
      </w:r>
      <w:r w:rsidRPr="005D2610">
        <w:rPr>
          <w:rFonts w:ascii="Arial" w:hAnsi="Arial" w:cs="Arial"/>
          <w:i/>
          <w:iCs/>
          <w:sz w:val="22"/>
        </w:rPr>
        <w:t>9</w:t>
      </w:r>
      <w:r w:rsidRPr="005D2610">
        <w:rPr>
          <w:rFonts w:ascii="Arial" w:hAnsi="Arial" w:cs="Arial"/>
          <w:sz w:val="22"/>
        </w:rPr>
        <w:t>(1), p.e002118.</w:t>
      </w:r>
    </w:p>
    <w:p w14:paraId="1EAB4C91" w14:textId="77777777" w:rsidR="00D618FF" w:rsidRPr="005D2610" w:rsidRDefault="00E42F2C" w:rsidP="005D2610">
      <w:pPr>
        <w:spacing w:line="360" w:lineRule="auto"/>
        <w:ind w:left="720" w:hanging="720"/>
        <w:rPr>
          <w:rFonts w:ascii="Arial" w:hAnsi="Arial" w:cs="Arial"/>
          <w:sz w:val="22"/>
          <w:lang w:val="en-US"/>
        </w:rPr>
      </w:pPr>
      <w:r w:rsidRPr="005D2610">
        <w:rPr>
          <w:rFonts w:ascii="Arial" w:hAnsi="Arial" w:cs="Arial"/>
          <w:sz w:val="22"/>
          <w:lang w:val="en-US"/>
        </w:rPr>
        <w:t xml:space="preserve">Diabetes UK (2023). </w:t>
      </w:r>
      <w:r w:rsidRPr="005D2610">
        <w:rPr>
          <w:rFonts w:ascii="Arial" w:hAnsi="Arial" w:cs="Arial"/>
          <w:i/>
          <w:iCs/>
          <w:sz w:val="22"/>
          <w:lang w:val="en-US"/>
        </w:rPr>
        <w:t>How Many People in the UK Have diabetes?</w:t>
      </w:r>
      <w:r w:rsidRPr="005D2610">
        <w:rPr>
          <w:rFonts w:ascii="Arial" w:hAnsi="Arial" w:cs="Arial"/>
          <w:sz w:val="22"/>
          <w:lang w:val="en-US"/>
        </w:rPr>
        <w:t xml:space="preserve"> [online] Diabetes UK. Available at: https://www.diabetes.org.uk/about-us/about-the-charity/our-strategy/statistics [Accessed 25 Sep. 2025].</w:t>
      </w:r>
    </w:p>
    <w:p w14:paraId="2CA51A0A" w14:textId="77777777"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Han, H., Cao, Y., Feng, C., Zheng, Y., Dhana, K., Zhu, S., Shang, C., Yuan, C. and Zong, G., 2022. Association of a healthy lifestyle with all-cause and cause-specific mortality among individuals with type 2 diabetes: a prospective study in UK Biobank. </w:t>
      </w:r>
      <w:r w:rsidRPr="005D2610">
        <w:rPr>
          <w:rFonts w:ascii="Arial" w:hAnsi="Arial" w:cs="Arial"/>
          <w:i/>
          <w:iCs/>
          <w:sz w:val="22"/>
        </w:rPr>
        <w:t>Diabetes care</w:t>
      </w:r>
      <w:r w:rsidRPr="005D2610">
        <w:rPr>
          <w:rFonts w:ascii="Arial" w:hAnsi="Arial" w:cs="Arial"/>
          <w:sz w:val="22"/>
        </w:rPr>
        <w:t>, </w:t>
      </w:r>
      <w:r w:rsidRPr="005D2610">
        <w:rPr>
          <w:rFonts w:ascii="Arial" w:hAnsi="Arial" w:cs="Arial"/>
          <w:i/>
          <w:iCs/>
          <w:sz w:val="22"/>
        </w:rPr>
        <w:t>45</w:t>
      </w:r>
      <w:r w:rsidRPr="005D2610">
        <w:rPr>
          <w:rFonts w:ascii="Arial" w:hAnsi="Arial" w:cs="Arial"/>
          <w:sz w:val="22"/>
        </w:rPr>
        <w:t>(2), pp.319-329.</w:t>
      </w:r>
    </w:p>
    <w:p w14:paraId="54E4B06C" w14:textId="77777777"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Holman, N., Knighton, P., Wild, S.H., Sattar, N., Dew, C., Gregg, E.W., </w:t>
      </w:r>
      <w:proofErr w:type="spellStart"/>
      <w:r w:rsidRPr="005D2610">
        <w:rPr>
          <w:rFonts w:ascii="Arial" w:hAnsi="Arial" w:cs="Arial"/>
          <w:sz w:val="22"/>
        </w:rPr>
        <w:t>Khunti</w:t>
      </w:r>
      <w:proofErr w:type="spellEnd"/>
      <w:r w:rsidRPr="005D2610">
        <w:rPr>
          <w:rFonts w:ascii="Arial" w:hAnsi="Arial" w:cs="Arial"/>
          <w:sz w:val="22"/>
        </w:rPr>
        <w:t xml:space="preserve">, K., </w:t>
      </w:r>
      <w:proofErr w:type="spellStart"/>
      <w:r w:rsidRPr="005D2610">
        <w:rPr>
          <w:rFonts w:ascii="Arial" w:hAnsi="Arial" w:cs="Arial"/>
          <w:sz w:val="22"/>
        </w:rPr>
        <w:t>Valabhji</w:t>
      </w:r>
      <w:proofErr w:type="spellEnd"/>
      <w:r w:rsidRPr="005D2610">
        <w:rPr>
          <w:rFonts w:ascii="Arial" w:hAnsi="Arial" w:cs="Arial"/>
          <w:sz w:val="22"/>
        </w:rPr>
        <w:t>, J. and Young, B., 2021. Cohort profile: national diabetes audit for England and Wales. </w:t>
      </w:r>
      <w:r w:rsidRPr="005D2610">
        <w:rPr>
          <w:rFonts w:ascii="Arial" w:hAnsi="Arial" w:cs="Arial"/>
          <w:i/>
          <w:iCs/>
          <w:sz w:val="22"/>
        </w:rPr>
        <w:t>Diabetic Medicine</w:t>
      </w:r>
      <w:r w:rsidRPr="005D2610">
        <w:rPr>
          <w:rFonts w:ascii="Arial" w:hAnsi="Arial" w:cs="Arial"/>
          <w:sz w:val="22"/>
        </w:rPr>
        <w:t>, </w:t>
      </w:r>
      <w:r w:rsidRPr="005D2610">
        <w:rPr>
          <w:rFonts w:ascii="Arial" w:hAnsi="Arial" w:cs="Arial"/>
          <w:i/>
          <w:iCs/>
          <w:sz w:val="22"/>
        </w:rPr>
        <w:t>38</w:t>
      </w:r>
      <w:r w:rsidRPr="005D2610">
        <w:rPr>
          <w:rFonts w:ascii="Arial" w:hAnsi="Arial" w:cs="Arial"/>
          <w:sz w:val="22"/>
        </w:rPr>
        <w:t>(9), p.e14616.</w:t>
      </w:r>
    </w:p>
    <w:p w14:paraId="64510150" w14:textId="39ED4073"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lastRenderedPageBreak/>
        <w:t xml:space="preserve">Katula, J.A., Dressler, E.V., Kittel, C.A., Harvin, L.N., Almeida, F.A., Wilson, K.E., Michaud, T.L., Porter, G.C., Brito, F.A., Goessl, C.L. and Jasik, C.B., </w:t>
      </w:r>
      <w:r w:rsidR="006E18E8">
        <w:rPr>
          <w:rFonts w:ascii="Arial" w:hAnsi="Arial" w:cs="Arial"/>
          <w:sz w:val="22"/>
        </w:rPr>
        <w:t>(</w:t>
      </w:r>
      <w:r w:rsidRPr="005D2610">
        <w:rPr>
          <w:rFonts w:ascii="Arial" w:hAnsi="Arial" w:cs="Arial"/>
          <w:sz w:val="22"/>
        </w:rPr>
        <w:t>2022</w:t>
      </w:r>
      <w:r w:rsidR="006E18E8">
        <w:rPr>
          <w:rFonts w:ascii="Arial" w:hAnsi="Arial" w:cs="Arial"/>
          <w:sz w:val="22"/>
        </w:rPr>
        <w:t>)</w:t>
      </w:r>
      <w:r w:rsidRPr="005D2610">
        <w:rPr>
          <w:rFonts w:ascii="Arial" w:hAnsi="Arial" w:cs="Arial"/>
          <w:sz w:val="22"/>
        </w:rPr>
        <w:t>. Effects of a digital diabetes prevention program: an RCT. </w:t>
      </w:r>
      <w:r w:rsidRPr="005D2610">
        <w:rPr>
          <w:rFonts w:ascii="Arial" w:hAnsi="Arial" w:cs="Arial"/>
          <w:i/>
          <w:iCs/>
          <w:sz w:val="22"/>
        </w:rPr>
        <w:t>American journal of preventive medicine</w:t>
      </w:r>
      <w:r w:rsidRPr="005D2610">
        <w:rPr>
          <w:rFonts w:ascii="Arial" w:hAnsi="Arial" w:cs="Arial"/>
          <w:sz w:val="22"/>
        </w:rPr>
        <w:t>, </w:t>
      </w:r>
      <w:r w:rsidRPr="005D2610">
        <w:rPr>
          <w:rFonts w:ascii="Arial" w:hAnsi="Arial" w:cs="Arial"/>
          <w:i/>
          <w:iCs/>
          <w:sz w:val="22"/>
        </w:rPr>
        <w:t>62</w:t>
      </w:r>
      <w:r w:rsidRPr="005D2610">
        <w:rPr>
          <w:rFonts w:ascii="Arial" w:hAnsi="Arial" w:cs="Arial"/>
          <w:sz w:val="22"/>
        </w:rPr>
        <w:t>(4), pp.567-577.</w:t>
      </w:r>
    </w:p>
    <w:p w14:paraId="12AC515A" w14:textId="5177CBE5"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Laakso, M. and Fernandes Silva, L., </w:t>
      </w:r>
      <w:r w:rsidR="006E18E8">
        <w:rPr>
          <w:rFonts w:ascii="Arial" w:hAnsi="Arial" w:cs="Arial"/>
          <w:sz w:val="22"/>
        </w:rPr>
        <w:t>(</w:t>
      </w:r>
      <w:r w:rsidRPr="005D2610">
        <w:rPr>
          <w:rFonts w:ascii="Arial" w:hAnsi="Arial" w:cs="Arial"/>
          <w:sz w:val="22"/>
        </w:rPr>
        <w:t>2022</w:t>
      </w:r>
      <w:r w:rsidR="006E18E8">
        <w:rPr>
          <w:rFonts w:ascii="Arial" w:hAnsi="Arial" w:cs="Arial"/>
          <w:sz w:val="22"/>
        </w:rPr>
        <w:t>)</w:t>
      </w:r>
      <w:r w:rsidRPr="005D2610">
        <w:rPr>
          <w:rFonts w:ascii="Arial" w:hAnsi="Arial" w:cs="Arial"/>
          <w:sz w:val="22"/>
        </w:rPr>
        <w:t>. Genetics of type 2 diabetes: past, present, and future. </w:t>
      </w:r>
      <w:r w:rsidRPr="005D2610">
        <w:rPr>
          <w:rFonts w:ascii="Arial" w:hAnsi="Arial" w:cs="Arial"/>
          <w:i/>
          <w:iCs/>
          <w:sz w:val="22"/>
        </w:rPr>
        <w:t>Nutrients</w:t>
      </w:r>
      <w:r w:rsidRPr="005D2610">
        <w:rPr>
          <w:rFonts w:ascii="Arial" w:hAnsi="Arial" w:cs="Arial"/>
          <w:sz w:val="22"/>
        </w:rPr>
        <w:t>, </w:t>
      </w:r>
      <w:r w:rsidRPr="005D2610">
        <w:rPr>
          <w:rFonts w:ascii="Arial" w:hAnsi="Arial" w:cs="Arial"/>
          <w:i/>
          <w:iCs/>
          <w:sz w:val="22"/>
        </w:rPr>
        <w:t>14</w:t>
      </w:r>
      <w:r w:rsidRPr="005D2610">
        <w:rPr>
          <w:rFonts w:ascii="Arial" w:hAnsi="Arial" w:cs="Arial"/>
          <w:sz w:val="22"/>
        </w:rPr>
        <w:t>(15), p.3201.</w:t>
      </w:r>
    </w:p>
    <w:p w14:paraId="77B9A3C3" w14:textId="69447EBB"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Mathur, R., Hull, S., Hodgson, S. and Finer, </w:t>
      </w:r>
      <w:r w:rsidR="006E18E8" w:rsidRPr="005D2610">
        <w:rPr>
          <w:rFonts w:ascii="Arial" w:hAnsi="Arial" w:cs="Arial"/>
          <w:sz w:val="22"/>
        </w:rPr>
        <w:t>S.,</w:t>
      </w:r>
      <w:r w:rsidR="006E18E8">
        <w:rPr>
          <w:rFonts w:ascii="Arial" w:hAnsi="Arial" w:cs="Arial"/>
          <w:sz w:val="22"/>
        </w:rPr>
        <w:t xml:space="preserve"> (</w:t>
      </w:r>
      <w:r w:rsidR="006E18E8" w:rsidRPr="005D2610">
        <w:rPr>
          <w:rFonts w:ascii="Arial" w:hAnsi="Arial" w:cs="Arial"/>
          <w:sz w:val="22"/>
        </w:rPr>
        <w:t>2022</w:t>
      </w:r>
      <w:r w:rsidR="006E18E8">
        <w:rPr>
          <w:rFonts w:ascii="Arial" w:hAnsi="Arial" w:cs="Arial"/>
          <w:sz w:val="22"/>
        </w:rPr>
        <w:t>)</w:t>
      </w:r>
      <w:r w:rsidRPr="005D2610">
        <w:rPr>
          <w:rFonts w:ascii="Arial" w:hAnsi="Arial" w:cs="Arial"/>
          <w:sz w:val="22"/>
        </w:rPr>
        <w:t>. Characterisation of type 2 diabetes subgroups and their association with ethnicity and clinical outcomes: a UK real-world data study using the East London Database. </w:t>
      </w:r>
      <w:r w:rsidRPr="005D2610">
        <w:rPr>
          <w:rFonts w:ascii="Arial" w:hAnsi="Arial" w:cs="Arial"/>
          <w:i/>
          <w:iCs/>
          <w:sz w:val="22"/>
        </w:rPr>
        <w:t>British Journal of General Practice</w:t>
      </w:r>
      <w:r w:rsidRPr="005D2610">
        <w:rPr>
          <w:rFonts w:ascii="Arial" w:hAnsi="Arial" w:cs="Arial"/>
          <w:sz w:val="22"/>
        </w:rPr>
        <w:t>.</w:t>
      </w:r>
    </w:p>
    <w:p w14:paraId="27CC6747" w14:textId="0892DCED" w:rsidR="00D618FF" w:rsidRPr="005D2610" w:rsidRDefault="00E42F2C" w:rsidP="005D2610">
      <w:pPr>
        <w:spacing w:line="360" w:lineRule="auto"/>
        <w:ind w:left="720" w:hanging="720"/>
        <w:rPr>
          <w:rFonts w:ascii="Arial" w:hAnsi="Arial" w:cs="Arial"/>
          <w:sz w:val="22"/>
          <w:lang w:val="en-US"/>
        </w:rPr>
      </w:pPr>
      <w:r w:rsidRPr="005D2610">
        <w:rPr>
          <w:rFonts w:ascii="Arial" w:hAnsi="Arial" w:cs="Arial"/>
          <w:sz w:val="22"/>
          <w:lang w:val="en-US"/>
        </w:rPr>
        <w:t xml:space="preserve">NHS England (2024). </w:t>
      </w:r>
      <w:r w:rsidRPr="005D2610">
        <w:rPr>
          <w:rFonts w:ascii="Arial" w:hAnsi="Arial" w:cs="Arial"/>
          <w:i/>
          <w:iCs/>
          <w:sz w:val="22"/>
          <w:lang w:val="en-US"/>
        </w:rPr>
        <w:t>NHS Identifies over Half a Million More People at Risk of Type 2 Diabetes in a Year</w:t>
      </w:r>
      <w:r w:rsidRPr="005D2610">
        <w:rPr>
          <w:rFonts w:ascii="Arial" w:hAnsi="Arial" w:cs="Arial"/>
          <w:sz w:val="22"/>
          <w:lang w:val="en-US"/>
        </w:rPr>
        <w:t xml:space="preserve">. [online] www.england.nhs.uk. Available at: </w:t>
      </w:r>
      <w:hyperlink r:id="rId15" w:history="1">
        <w:r w:rsidR="005F5BEF" w:rsidRPr="005D2610">
          <w:rPr>
            <w:rStyle w:val="Hyperlink"/>
            <w:rFonts w:ascii="Arial" w:hAnsi="Arial" w:cs="Arial"/>
            <w:sz w:val="22"/>
            <w:lang w:val="en-US"/>
          </w:rPr>
          <w:t>https://www.england.nhs.uk/2024/06/nhs-identifies-over-half-a-million-more-people-at-risk-of-type-2-diabetes-in-a-year/</w:t>
        </w:r>
      </w:hyperlink>
      <w:r w:rsidR="005F5BEF" w:rsidRPr="005D2610">
        <w:rPr>
          <w:rFonts w:ascii="Arial" w:hAnsi="Arial" w:cs="Arial"/>
          <w:sz w:val="22"/>
          <w:lang w:val="en-US"/>
        </w:rPr>
        <w:t xml:space="preserve"> </w:t>
      </w:r>
      <w:r w:rsidRPr="005D2610">
        <w:rPr>
          <w:rFonts w:ascii="Arial" w:hAnsi="Arial" w:cs="Arial"/>
          <w:sz w:val="22"/>
          <w:lang w:val="en-US"/>
        </w:rPr>
        <w:t>[Accessed 25 Sep. 2025].</w:t>
      </w:r>
    </w:p>
    <w:p w14:paraId="67A2D6F2" w14:textId="32277325"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Prothero, L., </w:t>
      </w:r>
      <w:proofErr w:type="spellStart"/>
      <w:r w:rsidRPr="005D2610">
        <w:rPr>
          <w:rFonts w:ascii="Arial" w:hAnsi="Arial" w:cs="Arial"/>
          <w:sz w:val="22"/>
        </w:rPr>
        <w:t>Lorencatto</w:t>
      </w:r>
      <w:proofErr w:type="spellEnd"/>
      <w:r w:rsidRPr="005D2610">
        <w:rPr>
          <w:rFonts w:ascii="Arial" w:hAnsi="Arial" w:cs="Arial"/>
          <w:sz w:val="22"/>
        </w:rPr>
        <w:t xml:space="preserve">, F., Cartwright, M., Burr, J.M., Gardner, P., Anderson, J., </w:t>
      </w:r>
      <w:proofErr w:type="spellStart"/>
      <w:r w:rsidRPr="005D2610">
        <w:rPr>
          <w:rFonts w:ascii="Arial" w:hAnsi="Arial" w:cs="Arial"/>
          <w:sz w:val="22"/>
        </w:rPr>
        <w:t>Presseau</w:t>
      </w:r>
      <w:proofErr w:type="spellEnd"/>
      <w:r w:rsidRPr="005D2610">
        <w:rPr>
          <w:rFonts w:ascii="Arial" w:hAnsi="Arial" w:cs="Arial"/>
          <w:sz w:val="22"/>
        </w:rPr>
        <w:t xml:space="preserve">, J., Ivers, N., Grimshaw, J.M. and Lawrenson, </w:t>
      </w:r>
      <w:r w:rsidR="006E18E8" w:rsidRPr="005D2610">
        <w:rPr>
          <w:rFonts w:ascii="Arial" w:hAnsi="Arial" w:cs="Arial"/>
          <w:sz w:val="22"/>
        </w:rPr>
        <w:t>J.G.,</w:t>
      </w:r>
      <w:r w:rsidR="006E18E8">
        <w:rPr>
          <w:rFonts w:ascii="Arial" w:hAnsi="Arial" w:cs="Arial"/>
          <w:sz w:val="22"/>
        </w:rPr>
        <w:t xml:space="preserve"> (</w:t>
      </w:r>
      <w:r w:rsidR="006E18E8" w:rsidRPr="005D2610">
        <w:rPr>
          <w:rFonts w:ascii="Arial" w:hAnsi="Arial" w:cs="Arial"/>
          <w:sz w:val="22"/>
        </w:rPr>
        <w:t>2021</w:t>
      </w:r>
      <w:r w:rsidR="006E18E8">
        <w:rPr>
          <w:rFonts w:ascii="Arial" w:hAnsi="Arial" w:cs="Arial"/>
          <w:sz w:val="22"/>
        </w:rPr>
        <w:t>)</w:t>
      </w:r>
      <w:r w:rsidRPr="005D2610">
        <w:rPr>
          <w:rFonts w:ascii="Arial" w:hAnsi="Arial" w:cs="Arial"/>
          <w:sz w:val="22"/>
        </w:rPr>
        <w:t>. Perceived barriers and enablers to the provision of diabetic retinopathy screening for young adults: a cross-sectional survey of healthcare professionals working in the UK National Diabetic Eye Screening Programme. </w:t>
      </w:r>
      <w:r w:rsidRPr="005D2610">
        <w:rPr>
          <w:rFonts w:ascii="Arial" w:hAnsi="Arial" w:cs="Arial"/>
          <w:i/>
          <w:iCs/>
          <w:sz w:val="22"/>
        </w:rPr>
        <w:t>BMJ Open Diabetes Research &amp; Care</w:t>
      </w:r>
      <w:r w:rsidRPr="005D2610">
        <w:rPr>
          <w:rFonts w:ascii="Arial" w:hAnsi="Arial" w:cs="Arial"/>
          <w:sz w:val="22"/>
        </w:rPr>
        <w:t>, </w:t>
      </w:r>
      <w:r w:rsidRPr="005D2610">
        <w:rPr>
          <w:rFonts w:ascii="Arial" w:hAnsi="Arial" w:cs="Arial"/>
          <w:i/>
          <w:iCs/>
          <w:sz w:val="22"/>
        </w:rPr>
        <w:t>9</w:t>
      </w:r>
      <w:r w:rsidRPr="005D2610">
        <w:rPr>
          <w:rFonts w:ascii="Arial" w:hAnsi="Arial" w:cs="Arial"/>
          <w:sz w:val="22"/>
        </w:rPr>
        <w:t>(2).</w:t>
      </w:r>
    </w:p>
    <w:p w14:paraId="6D1CFF0B" w14:textId="5197ED14"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Quin, M., Carmichael, L. and Hopper, </w:t>
      </w:r>
      <w:r w:rsidR="006E18E8" w:rsidRPr="005D2610">
        <w:rPr>
          <w:rFonts w:ascii="Arial" w:hAnsi="Arial" w:cs="Arial"/>
          <w:sz w:val="22"/>
        </w:rPr>
        <w:t>C.,</w:t>
      </w:r>
      <w:r w:rsidR="006E18E8">
        <w:rPr>
          <w:rFonts w:ascii="Arial" w:hAnsi="Arial" w:cs="Arial"/>
          <w:sz w:val="22"/>
        </w:rPr>
        <w:t xml:space="preserve"> (</w:t>
      </w:r>
      <w:r w:rsidR="006E18E8" w:rsidRPr="005D2610">
        <w:rPr>
          <w:rFonts w:ascii="Arial" w:hAnsi="Arial" w:cs="Arial"/>
          <w:sz w:val="22"/>
        </w:rPr>
        <w:t>2023</w:t>
      </w:r>
      <w:r w:rsidR="006E18E8">
        <w:rPr>
          <w:rFonts w:ascii="Arial" w:hAnsi="Arial" w:cs="Arial"/>
          <w:sz w:val="22"/>
        </w:rPr>
        <w:t>)</w:t>
      </w:r>
      <w:r w:rsidRPr="005D2610">
        <w:rPr>
          <w:rFonts w:ascii="Arial" w:hAnsi="Arial" w:cs="Arial"/>
          <w:sz w:val="22"/>
        </w:rPr>
        <w:t>. Implementing health impact assessment policy on infrastructure development in the London borough of tower hamlets. </w:t>
      </w:r>
      <w:r w:rsidRPr="005D2610">
        <w:rPr>
          <w:rFonts w:ascii="Arial" w:hAnsi="Arial" w:cs="Arial"/>
          <w:i/>
          <w:iCs/>
          <w:sz w:val="22"/>
        </w:rPr>
        <w:t>Cities &amp; health</w:t>
      </w:r>
      <w:r w:rsidRPr="005D2610">
        <w:rPr>
          <w:rFonts w:ascii="Arial" w:hAnsi="Arial" w:cs="Arial"/>
          <w:sz w:val="22"/>
        </w:rPr>
        <w:t>, </w:t>
      </w:r>
      <w:r w:rsidRPr="005D2610">
        <w:rPr>
          <w:rFonts w:ascii="Arial" w:hAnsi="Arial" w:cs="Arial"/>
          <w:i/>
          <w:iCs/>
          <w:sz w:val="22"/>
        </w:rPr>
        <w:t>7</w:t>
      </w:r>
      <w:r w:rsidRPr="005D2610">
        <w:rPr>
          <w:rFonts w:ascii="Arial" w:hAnsi="Arial" w:cs="Arial"/>
          <w:sz w:val="22"/>
        </w:rPr>
        <w:t>(3), pp.303-311.</w:t>
      </w:r>
    </w:p>
    <w:p w14:paraId="0C712FE0" w14:textId="36512C2B" w:rsidR="00D618FF" w:rsidRPr="005D2610" w:rsidRDefault="00E42F2C" w:rsidP="005D2610">
      <w:pPr>
        <w:spacing w:line="360" w:lineRule="auto"/>
        <w:ind w:left="720" w:hanging="720"/>
        <w:rPr>
          <w:rFonts w:ascii="Arial" w:hAnsi="Arial" w:cs="Arial"/>
          <w:sz w:val="22"/>
        </w:rPr>
      </w:pPr>
      <w:proofErr w:type="spellStart"/>
      <w:r w:rsidRPr="005D2610">
        <w:rPr>
          <w:rFonts w:ascii="Arial" w:hAnsi="Arial" w:cs="Arial"/>
          <w:sz w:val="22"/>
        </w:rPr>
        <w:t>Ravindrarajah</w:t>
      </w:r>
      <w:proofErr w:type="spellEnd"/>
      <w:r w:rsidRPr="005D2610">
        <w:rPr>
          <w:rFonts w:ascii="Arial" w:hAnsi="Arial" w:cs="Arial"/>
          <w:sz w:val="22"/>
        </w:rPr>
        <w:t xml:space="preserve">, R., Sutton, M., Reeves, D., Cotterill, S., </w:t>
      </w:r>
      <w:proofErr w:type="spellStart"/>
      <w:r w:rsidRPr="005D2610">
        <w:rPr>
          <w:rFonts w:ascii="Arial" w:hAnsi="Arial" w:cs="Arial"/>
          <w:sz w:val="22"/>
        </w:rPr>
        <w:t>Mcmanus</w:t>
      </w:r>
      <w:proofErr w:type="spellEnd"/>
      <w:r w:rsidRPr="005D2610">
        <w:rPr>
          <w:rFonts w:ascii="Arial" w:hAnsi="Arial" w:cs="Arial"/>
          <w:sz w:val="22"/>
        </w:rPr>
        <w:t xml:space="preserve">, E., Meacock, R., Whittaker, W., </w:t>
      </w:r>
      <w:proofErr w:type="spellStart"/>
      <w:r w:rsidRPr="005D2610">
        <w:rPr>
          <w:rFonts w:ascii="Arial" w:hAnsi="Arial" w:cs="Arial"/>
          <w:sz w:val="22"/>
        </w:rPr>
        <w:t>Soiland</w:t>
      </w:r>
      <w:proofErr w:type="spellEnd"/>
      <w:r w:rsidRPr="005D2610">
        <w:rPr>
          <w:rFonts w:ascii="Arial" w:hAnsi="Arial" w:cs="Arial"/>
          <w:sz w:val="22"/>
        </w:rPr>
        <w:t xml:space="preserve">-Reyes, C., Heller, S., Bower, P. and </w:t>
      </w:r>
      <w:proofErr w:type="spellStart"/>
      <w:r w:rsidRPr="005D2610">
        <w:rPr>
          <w:rFonts w:ascii="Arial" w:hAnsi="Arial" w:cs="Arial"/>
          <w:sz w:val="22"/>
        </w:rPr>
        <w:t>Kontopantelis</w:t>
      </w:r>
      <w:proofErr w:type="spellEnd"/>
      <w:r w:rsidRPr="005D2610">
        <w:rPr>
          <w:rFonts w:ascii="Arial" w:hAnsi="Arial" w:cs="Arial"/>
          <w:sz w:val="22"/>
        </w:rPr>
        <w:t xml:space="preserve">, </w:t>
      </w:r>
      <w:r w:rsidR="006E18E8" w:rsidRPr="005D2610">
        <w:rPr>
          <w:rFonts w:ascii="Arial" w:hAnsi="Arial" w:cs="Arial"/>
          <w:sz w:val="22"/>
        </w:rPr>
        <w:t>E.,</w:t>
      </w:r>
      <w:r w:rsidR="006E18E8">
        <w:rPr>
          <w:rFonts w:ascii="Arial" w:hAnsi="Arial" w:cs="Arial"/>
          <w:sz w:val="22"/>
        </w:rPr>
        <w:t xml:space="preserve"> (</w:t>
      </w:r>
      <w:r w:rsidR="006E18E8" w:rsidRPr="005D2610">
        <w:rPr>
          <w:rFonts w:ascii="Arial" w:hAnsi="Arial" w:cs="Arial"/>
          <w:sz w:val="22"/>
        </w:rPr>
        <w:t>2023</w:t>
      </w:r>
      <w:r w:rsidR="006E18E8">
        <w:rPr>
          <w:rFonts w:ascii="Arial" w:hAnsi="Arial" w:cs="Arial"/>
          <w:sz w:val="22"/>
        </w:rPr>
        <w:t>)</w:t>
      </w:r>
      <w:r w:rsidRPr="005D2610">
        <w:rPr>
          <w:rFonts w:ascii="Arial" w:hAnsi="Arial" w:cs="Arial"/>
          <w:sz w:val="22"/>
        </w:rPr>
        <w:t>. Referral to the NHS Diabetes Prevention Programme and conversion from nondiabetic hyperglycaemia to type 2 diabetes mellitus in England: A matched cohort analysis. </w:t>
      </w:r>
      <w:proofErr w:type="spellStart"/>
      <w:r w:rsidRPr="005D2610">
        <w:rPr>
          <w:rFonts w:ascii="Arial" w:hAnsi="Arial" w:cs="Arial"/>
          <w:i/>
          <w:iCs/>
          <w:sz w:val="22"/>
        </w:rPr>
        <w:t>PLoS</w:t>
      </w:r>
      <w:proofErr w:type="spellEnd"/>
      <w:r w:rsidRPr="005D2610">
        <w:rPr>
          <w:rFonts w:ascii="Arial" w:hAnsi="Arial" w:cs="Arial"/>
          <w:i/>
          <w:iCs/>
          <w:sz w:val="22"/>
        </w:rPr>
        <w:t xml:space="preserve"> medicine</w:t>
      </w:r>
      <w:r w:rsidRPr="005D2610">
        <w:rPr>
          <w:rFonts w:ascii="Arial" w:hAnsi="Arial" w:cs="Arial"/>
          <w:sz w:val="22"/>
        </w:rPr>
        <w:t>, </w:t>
      </w:r>
      <w:r w:rsidRPr="005D2610">
        <w:rPr>
          <w:rFonts w:ascii="Arial" w:hAnsi="Arial" w:cs="Arial"/>
          <w:i/>
          <w:iCs/>
          <w:sz w:val="22"/>
        </w:rPr>
        <w:t>20</w:t>
      </w:r>
      <w:r w:rsidRPr="005D2610">
        <w:rPr>
          <w:rFonts w:ascii="Arial" w:hAnsi="Arial" w:cs="Arial"/>
          <w:sz w:val="22"/>
        </w:rPr>
        <w:t>(2), p.e1004177.</w:t>
      </w:r>
    </w:p>
    <w:p w14:paraId="6D4666FC" w14:textId="3F9EECE3"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Scanlon, </w:t>
      </w:r>
      <w:r w:rsidR="006E18E8" w:rsidRPr="005D2610">
        <w:rPr>
          <w:rFonts w:ascii="Arial" w:hAnsi="Arial" w:cs="Arial"/>
          <w:sz w:val="22"/>
        </w:rPr>
        <w:t>P.H.,</w:t>
      </w:r>
      <w:r w:rsidR="006E18E8">
        <w:rPr>
          <w:rFonts w:ascii="Arial" w:hAnsi="Arial" w:cs="Arial"/>
          <w:sz w:val="22"/>
        </w:rPr>
        <w:t xml:space="preserve"> (</w:t>
      </w:r>
      <w:r w:rsidR="006E18E8" w:rsidRPr="005D2610">
        <w:rPr>
          <w:rFonts w:ascii="Arial" w:hAnsi="Arial" w:cs="Arial"/>
          <w:sz w:val="22"/>
        </w:rPr>
        <w:t>2021</w:t>
      </w:r>
      <w:r w:rsidR="006E18E8">
        <w:rPr>
          <w:rFonts w:ascii="Arial" w:hAnsi="Arial" w:cs="Arial"/>
          <w:sz w:val="22"/>
        </w:rPr>
        <w:t>)</w:t>
      </w:r>
      <w:r w:rsidRPr="005D2610">
        <w:rPr>
          <w:rFonts w:ascii="Arial" w:hAnsi="Arial" w:cs="Arial"/>
          <w:sz w:val="22"/>
        </w:rPr>
        <w:t>. The contribution of the English NHS Diabetic Eye Screening Programme to reductions in diabetes-related blindness, comparisons within Europe, and future challenges. </w:t>
      </w:r>
      <w:r w:rsidRPr="005D2610">
        <w:rPr>
          <w:rFonts w:ascii="Arial" w:hAnsi="Arial" w:cs="Arial"/>
          <w:i/>
          <w:iCs/>
          <w:sz w:val="22"/>
        </w:rPr>
        <w:t xml:space="preserve">Acta </w:t>
      </w:r>
      <w:proofErr w:type="spellStart"/>
      <w:r w:rsidRPr="005D2610">
        <w:rPr>
          <w:rFonts w:ascii="Arial" w:hAnsi="Arial" w:cs="Arial"/>
          <w:i/>
          <w:iCs/>
          <w:sz w:val="22"/>
        </w:rPr>
        <w:t>diabetologica</w:t>
      </w:r>
      <w:proofErr w:type="spellEnd"/>
      <w:r w:rsidRPr="005D2610">
        <w:rPr>
          <w:rFonts w:ascii="Arial" w:hAnsi="Arial" w:cs="Arial"/>
          <w:sz w:val="22"/>
        </w:rPr>
        <w:t>, </w:t>
      </w:r>
      <w:r w:rsidRPr="005D2610">
        <w:rPr>
          <w:rFonts w:ascii="Arial" w:hAnsi="Arial" w:cs="Arial"/>
          <w:i/>
          <w:iCs/>
          <w:sz w:val="22"/>
        </w:rPr>
        <w:t>58</w:t>
      </w:r>
      <w:r w:rsidRPr="005D2610">
        <w:rPr>
          <w:rFonts w:ascii="Arial" w:hAnsi="Arial" w:cs="Arial"/>
          <w:sz w:val="22"/>
        </w:rPr>
        <w:t>(4), pp.521-530.</w:t>
      </w:r>
    </w:p>
    <w:p w14:paraId="40E9BDBE" w14:textId="0D1B23D7"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Shah, R., Finlay, A.Y., Ali, F.M., </w:t>
      </w:r>
      <w:proofErr w:type="spellStart"/>
      <w:r w:rsidRPr="005D2610">
        <w:rPr>
          <w:rFonts w:ascii="Arial" w:hAnsi="Arial" w:cs="Arial"/>
          <w:sz w:val="22"/>
        </w:rPr>
        <w:t>Otwombe</w:t>
      </w:r>
      <w:proofErr w:type="spellEnd"/>
      <w:r w:rsidRPr="005D2610">
        <w:rPr>
          <w:rFonts w:ascii="Arial" w:hAnsi="Arial" w:cs="Arial"/>
          <w:sz w:val="22"/>
        </w:rPr>
        <w:t xml:space="preserve">, K., Nixon, S.J., George, L., Evans, M., Ingram, J.R. and Salek, S., </w:t>
      </w:r>
      <w:r w:rsidR="006E18E8">
        <w:rPr>
          <w:rFonts w:ascii="Arial" w:hAnsi="Arial" w:cs="Arial"/>
          <w:sz w:val="22"/>
        </w:rPr>
        <w:t>(</w:t>
      </w:r>
      <w:r w:rsidRPr="005D2610">
        <w:rPr>
          <w:rFonts w:ascii="Arial" w:hAnsi="Arial" w:cs="Arial"/>
          <w:sz w:val="22"/>
        </w:rPr>
        <w:t>2025</w:t>
      </w:r>
      <w:r w:rsidR="006E18E8">
        <w:rPr>
          <w:rFonts w:ascii="Arial" w:hAnsi="Arial" w:cs="Arial"/>
          <w:sz w:val="22"/>
        </w:rPr>
        <w:t>)</w:t>
      </w:r>
      <w:r w:rsidRPr="005D2610">
        <w:rPr>
          <w:rFonts w:ascii="Arial" w:hAnsi="Arial" w:cs="Arial"/>
          <w:sz w:val="22"/>
        </w:rPr>
        <w:t xml:space="preserve">. Comparison of the impact of type 1 and type 2 diabetes on quality </w:t>
      </w:r>
      <w:r w:rsidRPr="005D2610">
        <w:rPr>
          <w:rFonts w:ascii="Arial" w:hAnsi="Arial" w:cs="Arial"/>
          <w:sz w:val="22"/>
        </w:rPr>
        <w:lastRenderedPageBreak/>
        <w:t>of life of families of patients: A UK cross</w:t>
      </w:r>
      <w:r w:rsidRPr="005D2610">
        <w:rPr>
          <w:rFonts w:ascii="Cambria Math" w:hAnsi="Cambria Math" w:cs="Cambria Math"/>
          <w:sz w:val="22"/>
        </w:rPr>
        <w:t>‐</w:t>
      </w:r>
      <w:r w:rsidRPr="005D2610">
        <w:rPr>
          <w:rFonts w:ascii="Arial" w:hAnsi="Arial" w:cs="Arial"/>
          <w:sz w:val="22"/>
        </w:rPr>
        <w:t>sectional study. </w:t>
      </w:r>
      <w:r w:rsidRPr="005D2610">
        <w:rPr>
          <w:rFonts w:ascii="Arial" w:hAnsi="Arial" w:cs="Arial"/>
          <w:i/>
          <w:iCs/>
          <w:sz w:val="22"/>
        </w:rPr>
        <w:t>Diabetes, Obesity and Metabolism</w:t>
      </w:r>
      <w:r w:rsidRPr="005D2610">
        <w:rPr>
          <w:rFonts w:ascii="Arial" w:hAnsi="Arial" w:cs="Arial"/>
          <w:sz w:val="22"/>
        </w:rPr>
        <w:t>, </w:t>
      </w:r>
      <w:r w:rsidRPr="005D2610">
        <w:rPr>
          <w:rFonts w:ascii="Arial" w:hAnsi="Arial" w:cs="Arial"/>
          <w:i/>
          <w:iCs/>
          <w:sz w:val="22"/>
        </w:rPr>
        <w:t>27</w:t>
      </w:r>
      <w:r w:rsidRPr="005D2610">
        <w:rPr>
          <w:rFonts w:ascii="Arial" w:hAnsi="Arial" w:cs="Arial"/>
          <w:sz w:val="22"/>
        </w:rPr>
        <w:t>(2), pp.652-662.</w:t>
      </w:r>
    </w:p>
    <w:p w14:paraId="622106F3" w14:textId="7CD25991" w:rsidR="00D618FF" w:rsidRPr="005D2610" w:rsidRDefault="00E42F2C" w:rsidP="005D2610">
      <w:pPr>
        <w:spacing w:line="360" w:lineRule="auto"/>
        <w:ind w:left="720" w:hanging="720"/>
        <w:rPr>
          <w:rFonts w:ascii="Arial" w:hAnsi="Arial" w:cs="Arial"/>
          <w:sz w:val="22"/>
        </w:rPr>
      </w:pPr>
      <w:proofErr w:type="spellStart"/>
      <w:r w:rsidRPr="005D2610">
        <w:rPr>
          <w:rFonts w:ascii="Arial" w:hAnsi="Arial" w:cs="Arial"/>
          <w:sz w:val="22"/>
        </w:rPr>
        <w:t>Shamsutdinova</w:t>
      </w:r>
      <w:proofErr w:type="spellEnd"/>
      <w:r w:rsidRPr="005D2610">
        <w:rPr>
          <w:rFonts w:ascii="Arial" w:hAnsi="Arial" w:cs="Arial"/>
          <w:sz w:val="22"/>
        </w:rPr>
        <w:t xml:space="preserve">, D., Das-Munshi, J., Ashworth, M., Roberts, A. and Stahl, </w:t>
      </w:r>
      <w:r w:rsidR="006E18E8" w:rsidRPr="005D2610">
        <w:rPr>
          <w:rFonts w:ascii="Arial" w:hAnsi="Arial" w:cs="Arial"/>
          <w:sz w:val="22"/>
        </w:rPr>
        <w:t>D.,</w:t>
      </w:r>
      <w:r w:rsidR="006E18E8">
        <w:rPr>
          <w:rFonts w:ascii="Arial" w:hAnsi="Arial" w:cs="Arial"/>
          <w:sz w:val="22"/>
        </w:rPr>
        <w:t xml:space="preserve"> (</w:t>
      </w:r>
      <w:r w:rsidR="006E18E8" w:rsidRPr="005D2610">
        <w:rPr>
          <w:rFonts w:ascii="Arial" w:hAnsi="Arial" w:cs="Arial"/>
          <w:sz w:val="22"/>
        </w:rPr>
        <w:t>2023</w:t>
      </w:r>
      <w:r w:rsidRPr="005D2610">
        <w:rPr>
          <w:rFonts w:ascii="Arial" w:hAnsi="Arial" w:cs="Arial"/>
          <w:sz w:val="22"/>
        </w:rPr>
        <w:t>.</w:t>
      </w:r>
      <w:r w:rsidR="006E18E8">
        <w:rPr>
          <w:rFonts w:ascii="Arial" w:hAnsi="Arial" w:cs="Arial"/>
          <w:sz w:val="22"/>
        </w:rPr>
        <w:t>)</w:t>
      </w:r>
      <w:r w:rsidRPr="005D2610">
        <w:rPr>
          <w:rFonts w:ascii="Arial" w:hAnsi="Arial" w:cs="Arial"/>
          <w:sz w:val="22"/>
        </w:rPr>
        <w:t xml:space="preserve"> Predicting type 2 diabetes prevalence for people with severe mental illness in a multi-ethnic East London population. </w:t>
      </w:r>
      <w:r w:rsidRPr="005D2610">
        <w:rPr>
          <w:rFonts w:ascii="Arial" w:hAnsi="Arial" w:cs="Arial"/>
          <w:i/>
          <w:iCs/>
          <w:sz w:val="22"/>
        </w:rPr>
        <w:t>International Journal of Medical Informatics</w:t>
      </w:r>
      <w:r w:rsidRPr="005D2610">
        <w:rPr>
          <w:rFonts w:ascii="Arial" w:hAnsi="Arial" w:cs="Arial"/>
          <w:sz w:val="22"/>
        </w:rPr>
        <w:t>, </w:t>
      </w:r>
      <w:r w:rsidRPr="005D2610">
        <w:rPr>
          <w:rFonts w:ascii="Arial" w:hAnsi="Arial" w:cs="Arial"/>
          <w:i/>
          <w:iCs/>
          <w:sz w:val="22"/>
        </w:rPr>
        <w:t>172</w:t>
      </w:r>
      <w:r w:rsidRPr="005D2610">
        <w:rPr>
          <w:rFonts w:ascii="Arial" w:hAnsi="Arial" w:cs="Arial"/>
          <w:sz w:val="22"/>
        </w:rPr>
        <w:t>, p.105019.</w:t>
      </w:r>
    </w:p>
    <w:p w14:paraId="28148BD2" w14:textId="03FAF43A"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Sharpe, D., Barnfield, A., </w:t>
      </w:r>
      <w:proofErr w:type="spellStart"/>
      <w:r w:rsidRPr="005D2610">
        <w:rPr>
          <w:rFonts w:ascii="Arial" w:hAnsi="Arial" w:cs="Arial"/>
          <w:sz w:val="22"/>
        </w:rPr>
        <w:t>Morocza</w:t>
      </w:r>
      <w:proofErr w:type="spellEnd"/>
      <w:r w:rsidRPr="005D2610">
        <w:rPr>
          <w:rFonts w:ascii="Arial" w:hAnsi="Arial" w:cs="Arial"/>
          <w:sz w:val="22"/>
        </w:rPr>
        <w:t xml:space="preserve">, N., Keenan, O. and Galicia Mesa, </w:t>
      </w:r>
      <w:r w:rsidR="006E18E8" w:rsidRPr="005D2610">
        <w:rPr>
          <w:rFonts w:ascii="Arial" w:hAnsi="Arial" w:cs="Arial"/>
          <w:sz w:val="22"/>
        </w:rPr>
        <w:t>L.,</w:t>
      </w:r>
      <w:r w:rsidR="006E18E8">
        <w:rPr>
          <w:rFonts w:ascii="Arial" w:hAnsi="Arial" w:cs="Arial"/>
          <w:sz w:val="22"/>
        </w:rPr>
        <w:t xml:space="preserve"> (</w:t>
      </w:r>
      <w:r w:rsidR="006E18E8" w:rsidRPr="005D2610">
        <w:rPr>
          <w:rFonts w:ascii="Arial" w:hAnsi="Arial" w:cs="Arial"/>
          <w:sz w:val="22"/>
        </w:rPr>
        <w:t>2024</w:t>
      </w:r>
      <w:r w:rsidR="006E18E8">
        <w:rPr>
          <w:rFonts w:ascii="Arial" w:hAnsi="Arial" w:cs="Arial"/>
          <w:sz w:val="22"/>
        </w:rPr>
        <w:t>)</w:t>
      </w:r>
      <w:r w:rsidRPr="005D2610">
        <w:rPr>
          <w:rFonts w:ascii="Arial" w:hAnsi="Arial" w:cs="Arial"/>
          <w:sz w:val="22"/>
        </w:rPr>
        <w:t>. Tower Hamlets Council Healthy Lives Programme Evaluation.</w:t>
      </w:r>
    </w:p>
    <w:p w14:paraId="3744AE36" w14:textId="1728E542"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Sharpe, D., </w:t>
      </w:r>
      <w:proofErr w:type="spellStart"/>
      <w:r w:rsidRPr="005D2610">
        <w:rPr>
          <w:rFonts w:ascii="Arial" w:hAnsi="Arial" w:cs="Arial"/>
          <w:sz w:val="22"/>
        </w:rPr>
        <w:t>Morocza</w:t>
      </w:r>
      <w:proofErr w:type="spellEnd"/>
      <w:r w:rsidRPr="005D2610">
        <w:rPr>
          <w:rFonts w:ascii="Arial" w:hAnsi="Arial" w:cs="Arial"/>
          <w:sz w:val="22"/>
        </w:rPr>
        <w:t xml:space="preserve">, N., Syed, A., </w:t>
      </w:r>
      <w:proofErr w:type="spellStart"/>
      <w:r w:rsidRPr="005D2610">
        <w:rPr>
          <w:rFonts w:ascii="Arial" w:hAnsi="Arial" w:cs="Arial"/>
          <w:sz w:val="22"/>
        </w:rPr>
        <w:t>Canitrot</w:t>
      </w:r>
      <w:proofErr w:type="spellEnd"/>
      <w:r w:rsidRPr="005D2610">
        <w:rPr>
          <w:rFonts w:ascii="Arial" w:hAnsi="Arial" w:cs="Arial"/>
          <w:sz w:val="22"/>
        </w:rPr>
        <w:t xml:space="preserve">, D., Narayan, V., </w:t>
      </w:r>
      <w:proofErr w:type="spellStart"/>
      <w:r w:rsidRPr="005D2610">
        <w:rPr>
          <w:rFonts w:ascii="Arial" w:hAnsi="Arial" w:cs="Arial"/>
          <w:sz w:val="22"/>
        </w:rPr>
        <w:t>Alloh</w:t>
      </w:r>
      <w:proofErr w:type="spellEnd"/>
      <w:r w:rsidRPr="005D2610">
        <w:rPr>
          <w:rFonts w:ascii="Arial" w:hAnsi="Arial" w:cs="Arial"/>
          <w:sz w:val="22"/>
        </w:rPr>
        <w:t xml:space="preserve">, F., Galicia Mesa, L.P. and </w:t>
      </w:r>
      <w:proofErr w:type="spellStart"/>
      <w:r w:rsidRPr="005D2610">
        <w:rPr>
          <w:rFonts w:ascii="Arial" w:hAnsi="Arial" w:cs="Arial"/>
          <w:sz w:val="22"/>
        </w:rPr>
        <w:t>Hanafiah</w:t>
      </w:r>
      <w:proofErr w:type="spellEnd"/>
      <w:r w:rsidRPr="005D2610">
        <w:rPr>
          <w:rFonts w:ascii="Arial" w:hAnsi="Arial" w:cs="Arial"/>
          <w:sz w:val="22"/>
        </w:rPr>
        <w:t xml:space="preserve">, A., </w:t>
      </w:r>
      <w:r w:rsidR="006E18E8">
        <w:rPr>
          <w:rFonts w:ascii="Arial" w:hAnsi="Arial" w:cs="Arial"/>
          <w:sz w:val="22"/>
        </w:rPr>
        <w:t>(</w:t>
      </w:r>
      <w:r w:rsidRPr="005D2610">
        <w:rPr>
          <w:rFonts w:ascii="Arial" w:hAnsi="Arial" w:cs="Arial"/>
          <w:sz w:val="22"/>
        </w:rPr>
        <w:t>2022</w:t>
      </w:r>
      <w:r w:rsidR="006E18E8">
        <w:rPr>
          <w:rFonts w:ascii="Arial" w:hAnsi="Arial" w:cs="Arial"/>
          <w:sz w:val="22"/>
        </w:rPr>
        <w:t>)</w:t>
      </w:r>
      <w:r w:rsidRPr="005D2610">
        <w:rPr>
          <w:rFonts w:ascii="Arial" w:hAnsi="Arial" w:cs="Arial"/>
          <w:sz w:val="22"/>
        </w:rPr>
        <w:t>. Prevention and Promotion for Better Mental Health Fund: Evaluation of Projects to Support a Borough-Wide Trauma-Informed Initiative in Tower Hamlets.</w:t>
      </w:r>
    </w:p>
    <w:p w14:paraId="60DC2CED" w14:textId="3D01204D"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Vivian, E. and Flanagan, </w:t>
      </w:r>
      <w:r w:rsidR="006E18E8" w:rsidRPr="005D2610">
        <w:rPr>
          <w:rFonts w:ascii="Arial" w:hAnsi="Arial" w:cs="Arial"/>
          <w:sz w:val="22"/>
        </w:rPr>
        <w:t>C.,</w:t>
      </w:r>
      <w:r w:rsidR="006E18E8">
        <w:rPr>
          <w:rFonts w:ascii="Arial" w:hAnsi="Arial" w:cs="Arial"/>
          <w:sz w:val="22"/>
        </w:rPr>
        <w:t xml:space="preserve"> (</w:t>
      </w:r>
      <w:r w:rsidR="006E18E8" w:rsidRPr="005D2610">
        <w:rPr>
          <w:rFonts w:ascii="Arial" w:hAnsi="Arial" w:cs="Arial"/>
          <w:sz w:val="22"/>
        </w:rPr>
        <w:t>2022</w:t>
      </w:r>
      <w:r w:rsidR="006E18E8">
        <w:rPr>
          <w:rFonts w:ascii="Arial" w:hAnsi="Arial" w:cs="Arial"/>
          <w:sz w:val="22"/>
        </w:rPr>
        <w:t>)</w:t>
      </w:r>
      <w:r w:rsidRPr="005D2610">
        <w:rPr>
          <w:rFonts w:ascii="Arial" w:hAnsi="Arial" w:cs="Arial"/>
          <w:sz w:val="22"/>
        </w:rPr>
        <w:t>. Peers empowering peers-feasibility of a peer educator training program to prevent diabetes. </w:t>
      </w:r>
      <w:r w:rsidRPr="005D2610">
        <w:rPr>
          <w:rFonts w:ascii="Arial" w:hAnsi="Arial" w:cs="Arial"/>
          <w:i/>
          <w:iCs/>
          <w:sz w:val="22"/>
        </w:rPr>
        <w:t>BMC Women's Health</w:t>
      </w:r>
      <w:r w:rsidRPr="005D2610">
        <w:rPr>
          <w:rFonts w:ascii="Arial" w:hAnsi="Arial" w:cs="Arial"/>
          <w:sz w:val="22"/>
        </w:rPr>
        <w:t>, </w:t>
      </w:r>
      <w:r w:rsidRPr="005D2610">
        <w:rPr>
          <w:rFonts w:ascii="Arial" w:hAnsi="Arial" w:cs="Arial"/>
          <w:i/>
          <w:iCs/>
          <w:sz w:val="22"/>
        </w:rPr>
        <w:t>22</w:t>
      </w:r>
      <w:r w:rsidRPr="005D2610">
        <w:rPr>
          <w:rFonts w:ascii="Arial" w:hAnsi="Arial" w:cs="Arial"/>
          <w:sz w:val="22"/>
        </w:rPr>
        <w:t>(1), p.65.</w:t>
      </w:r>
    </w:p>
    <w:p w14:paraId="79B45BBB" w14:textId="77777777" w:rsidR="00D618FF" w:rsidRPr="005D2610" w:rsidRDefault="00E42F2C" w:rsidP="005D2610">
      <w:pPr>
        <w:spacing w:line="360" w:lineRule="auto"/>
        <w:ind w:left="720" w:hanging="720"/>
        <w:rPr>
          <w:rFonts w:ascii="Arial" w:hAnsi="Arial" w:cs="Arial"/>
          <w:sz w:val="22"/>
        </w:rPr>
      </w:pPr>
      <w:r w:rsidRPr="005D2610">
        <w:rPr>
          <w:rFonts w:ascii="Arial" w:hAnsi="Arial" w:cs="Arial"/>
          <w:sz w:val="22"/>
        </w:rPr>
        <w:t xml:space="preserve">Wang, K., </w:t>
      </w:r>
      <w:proofErr w:type="spellStart"/>
      <w:r w:rsidRPr="005D2610">
        <w:rPr>
          <w:rFonts w:ascii="Arial" w:hAnsi="Arial" w:cs="Arial"/>
          <w:sz w:val="22"/>
        </w:rPr>
        <w:t>Kavousi</w:t>
      </w:r>
      <w:proofErr w:type="spellEnd"/>
      <w:r w:rsidRPr="005D2610">
        <w:rPr>
          <w:rFonts w:ascii="Arial" w:hAnsi="Arial" w:cs="Arial"/>
          <w:sz w:val="22"/>
        </w:rPr>
        <w:t xml:space="preserve">, M., Voortman, T., Ikram, M.A., Ghanbari, M. and </w:t>
      </w:r>
      <w:proofErr w:type="spellStart"/>
      <w:r w:rsidRPr="005D2610">
        <w:rPr>
          <w:rFonts w:ascii="Arial" w:hAnsi="Arial" w:cs="Arial"/>
          <w:sz w:val="22"/>
        </w:rPr>
        <w:t>Ahmadizar</w:t>
      </w:r>
      <w:proofErr w:type="spellEnd"/>
      <w:r w:rsidRPr="005D2610">
        <w:rPr>
          <w:rFonts w:ascii="Arial" w:hAnsi="Arial" w:cs="Arial"/>
          <w:sz w:val="22"/>
        </w:rPr>
        <w:t>, F., 2021. Cardiovascular health, genetic predisposition, and lifetime risk of type 2 diabetes. </w:t>
      </w:r>
      <w:r w:rsidRPr="005D2610">
        <w:rPr>
          <w:rFonts w:ascii="Arial" w:hAnsi="Arial" w:cs="Arial"/>
          <w:i/>
          <w:iCs/>
          <w:sz w:val="22"/>
        </w:rPr>
        <w:t>European Journal of Preventive Cardiology</w:t>
      </w:r>
      <w:r w:rsidRPr="005D2610">
        <w:rPr>
          <w:rFonts w:ascii="Arial" w:hAnsi="Arial" w:cs="Arial"/>
          <w:sz w:val="22"/>
        </w:rPr>
        <w:t>, </w:t>
      </w:r>
      <w:r w:rsidRPr="005D2610">
        <w:rPr>
          <w:rFonts w:ascii="Arial" w:hAnsi="Arial" w:cs="Arial"/>
          <w:i/>
          <w:iCs/>
          <w:sz w:val="22"/>
        </w:rPr>
        <w:t>28</w:t>
      </w:r>
      <w:r w:rsidRPr="005D2610">
        <w:rPr>
          <w:rFonts w:ascii="Arial" w:hAnsi="Arial" w:cs="Arial"/>
          <w:sz w:val="22"/>
        </w:rPr>
        <w:t>(16), pp.1850-1857.</w:t>
      </w:r>
    </w:p>
    <w:p w14:paraId="30320007" w14:textId="0CA5C546" w:rsidR="00C233E8" w:rsidRPr="00E57D10" w:rsidRDefault="00E42F2C" w:rsidP="00E57D10">
      <w:pPr>
        <w:spacing w:line="360" w:lineRule="auto"/>
        <w:ind w:left="720" w:hanging="720"/>
        <w:rPr>
          <w:rFonts w:ascii="Arial" w:hAnsi="Arial" w:cs="Arial"/>
          <w:sz w:val="22"/>
          <w:lang w:val="en-US"/>
        </w:rPr>
      </w:pPr>
      <w:r w:rsidRPr="005D2610">
        <w:rPr>
          <w:rFonts w:ascii="Arial" w:hAnsi="Arial" w:cs="Arial"/>
          <w:sz w:val="22"/>
          <w:lang w:val="en-US"/>
        </w:rPr>
        <w:t xml:space="preserve">World Health Organization (2024). </w:t>
      </w:r>
      <w:r w:rsidRPr="005D2610">
        <w:rPr>
          <w:rFonts w:ascii="Arial" w:hAnsi="Arial" w:cs="Arial"/>
          <w:i/>
          <w:iCs/>
          <w:sz w:val="22"/>
          <w:lang w:val="en-US"/>
        </w:rPr>
        <w:t>Diabetes</w:t>
      </w:r>
      <w:r w:rsidRPr="005D2610">
        <w:rPr>
          <w:rFonts w:ascii="Arial" w:hAnsi="Arial" w:cs="Arial"/>
          <w:sz w:val="22"/>
          <w:lang w:val="en-US"/>
        </w:rPr>
        <w:t xml:space="preserve">. [online] World Health Organization. Available at: </w:t>
      </w:r>
      <w:hyperlink r:id="rId16" w:history="1">
        <w:r w:rsidR="005F5BEF" w:rsidRPr="005D2610">
          <w:rPr>
            <w:rStyle w:val="Hyperlink"/>
            <w:rFonts w:ascii="Arial" w:hAnsi="Arial" w:cs="Arial"/>
            <w:sz w:val="22"/>
            <w:lang w:val="en-US"/>
          </w:rPr>
          <w:t>https://www.who.int/news-room/fact-sheets/detail/diabetes</w:t>
        </w:r>
      </w:hyperlink>
      <w:r w:rsidR="005F5BEF" w:rsidRPr="005D2610">
        <w:rPr>
          <w:rFonts w:ascii="Arial" w:hAnsi="Arial" w:cs="Arial"/>
          <w:sz w:val="22"/>
          <w:lang w:val="en-US"/>
        </w:rPr>
        <w:t xml:space="preserve"> </w:t>
      </w:r>
      <w:r w:rsidRPr="005D2610">
        <w:rPr>
          <w:rFonts w:ascii="Arial" w:hAnsi="Arial" w:cs="Arial"/>
          <w:sz w:val="22"/>
          <w:lang w:val="en-US"/>
        </w:rPr>
        <w:t>[Accessed 25 Sep. 2025].</w:t>
      </w:r>
    </w:p>
    <w:sectPr w:rsidR="00C233E8" w:rsidRPr="00E57D10">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3D022" w14:textId="77777777" w:rsidR="0018711F" w:rsidRDefault="0018711F">
      <w:pPr>
        <w:spacing w:after="0" w:line="240" w:lineRule="auto"/>
      </w:pPr>
      <w:r>
        <w:separator/>
      </w:r>
    </w:p>
  </w:endnote>
  <w:endnote w:type="continuationSeparator" w:id="0">
    <w:p w14:paraId="3182B12F" w14:textId="77777777" w:rsidR="0018711F" w:rsidRDefault="00187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0E847" w14:textId="77777777" w:rsidR="0018711F" w:rsidRDefault="0018711F">
      <w:pPr>
        <w:spacing w:after="0" w:line="240" w:lineRule="auto"/>
      </w:pPr>
      <w:r>
        <w:separator/>
      </w:r>
    </w:p>
  </w:footnote>
  <w:footnote w:type="continuationSeparator" w:id="0">
    <w:p w14:paraId="62B9B5D3" w14:textId="77777777" w:rsidR="0018711F" w:rsidRDefault="001871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E42F2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73A1B"/>
    <w:multiLevelType w:val="multilevel"/>
    <w:tmpl w:val="E1283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261DF"/>
    <w:multiLevelType w:val="multilevel"/>
    <w:tmpl w:val="C39A7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11F25"/>
    <w:multiLevelType w:val="hybridMultilevel"/>
    <w:tmpl w:val="25F0AD82"/>
    <w:lvl w:ilvl="0" w:tplc="735CF64C">
      <w:start w:val="1"/>
      <w:numFmt w:val="bullet"/>
      <w:lvlText w:val=""/>
      <w:lvlJc w:val="left"/>
      <w:pPr>
        <w:ind w:left="720" w:hanging="360"/>
      </w:pPr>
      <w:rPr>
        <w:rFonts w:ascii="Symbol" w:hAnsi="Symbol" w:hint="default"/>
      </w:rPr>
    </w:lvl>
    <w:lvl w:ilvl="1" w:tplc="63DEC5A0" w:tentative="1">
      <w:start w:val="1"/>
      <w:numFmt w:val="bullet"/>
      <w:lvlText w:val="o"/>
      <w:lvlJc w:val="left"/>
      <w:pPr>
        <w:ind w:left="1440" w:hanging="360"/>
      </w:pPr>
      <w:rPr>
        <w:rFonts w:ascii="Courier New" w:hAnsi="Courier New" w:cs="Courier New" w:hint="default"/>
      </w:rPr>
    </w:lvl>
    <w:lvl w:ilvl="2" w:tplc="37EA7486" w:tentative="1">
      <w:start w:val="1"/>
      <w:numFmt w:val="bullet"/>
      <w:lvlText w:val=""/>
      <w:lvlJc w:val="left"/>
      <w:pPr>
        <w:ind w:left="2160" w:hanging="360"/>
      </w:pPr>
      <w:rPr>
        <w:rFonts w:ascii="Wingdings" w:hAnsi="Wingdings" w:hint="default"/>
      </w:rPr>
    </w:lvl>
    <w:lvl w:ilvl="3" w:tplc="AAD66324" w:tentative="1">
      <w:start w:val="1"/>
      <w:numFmt w:val="bullet"/>
      <w:lvlText w:val=""/>
      <w:lvlJc w:val="left"/>
      <w:pPr>
        <w:ind w:left="2880" w:hanging="360"/>
      </w:pPr>
      <w:rPr>
        <w:rFonts w:ascii="Symbol" w:hAnsi="Symbol" w:hint="default"/>
      </w:rPr>
    </w:lvl>
    <w:lvl w:ilvl="4" w:tplc="F24C0FA6" w:tentative="1">
      <w:start w:val="1"/>
      <w:numFmt w:val="bullet"/>
      <w:lvlText w:val="o"/>
      <w:lvlJc w:val="left"/>
      <w:pPr>
        <w:ind w:left="3600" w:hanging="360"/>
      </w:pPr>
      <w:rPr>
        <w:rFonts w:ascii="Courier New" w:hAnsi="Courier New" w:cs="Courier New" w:hint="default"/>
      </w:rPr>
    </w:lvl>
    <w:lvl w:ilvl="5" w:tplc="BCC21572" w:tentative="1">
      <w:start w:val="1"/>
      <w:numFmt w:val="bullet"/>
      <w:lvlText w:val=""/>
      <w:lvlJc w:val="left"/>
      <w:pPr>
        <w:ind w:left="4320" w:hanging="360"/>
      </w:pPr>
      <w:rPr>
        <w:rFonts w:ascii="Wingdings" w:hAnsi="Wingdings" w:hint="default"/>
      </w:rPr>
    </w:lvl>
    <w:lvl w:ilvl="6" w:tplc="129EADC8" w:tentative="1">
      <w:start w:val="1"/>
      <w:numFmt w:val="bullet"/>
      <w:lvlText w:val=""/>
      <w:lvlJc w:val="left"/>
      <w:pPr>
        <w:ind w:left="5040" w:hanging="360"/>
      </w:pPr>
      <w:rPr>
        <w:rFonts w:ascii="Symbol" w:hAnsi="Symbol" w:hint="default"/>
      </w:rPr>
    </w:lvl>
    <w:lvl w:ilvl="7" w:tplc="53869B82" w:tentative="1">
      <w:start w:val="1"/>
      <w:numFmt w:val="bullet"/>
      <w:lvlText w:val="o"/>
      <w:lvlJc w:val="left"/>
      <w:pPr>
        <w:ind w:left="5760" w:hanging="360"/>
      </w:pPr>
      <w:rPr>
        <w:rFonts w:ascii="Courier New" w:hAnsi="Courier New" w:cs="Courier New" w:hint="default"/>
      </w:rPr>
    </w:lvl>
    <w:lvl w:ilvl="8" w:tplc="5E0A1C14" w:tentative="1">
      <w:start w:val="1"/>
      <w:numFmt w:val="bullet"/>
      <w:lvlText w:val=""/>
      <w:lvlJc w:val="left"/>
      <w:pPr>
        <w:ind w:left="6480" w:hanging="360"/>
      </w:pPr>
      <w:rPr>
        <w:rFonts w:ascii="Wingdings" w:hAnsi="Wingdings" w:hint="default"/>
      </w:rPr>
    </w:lvl>
  </w:abstractNum>
  <w:abstractNum w:abstractNumId="3" w15:restartNumberingAfterBreak="0">
    <w:nsid w:val="0B920ACE"/>
    <w:multiLevelType w:val="multilevel"/>
    <w:tmpl w:val="75386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F82870"/>
    <w:multiLevelType w:val="multilevel"/>
    <w:tmpl w:val="FB105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586BF2"/>
    <w:multiLevelType w:val="hybridMultilevel"/>
    <w:tmpl w:val="E5C8BE4E"/>
    <w:lvl w:ilvl="0" w:tplc="17C07D76">
      <w:start w:val="1"/>
      <w:numFmt w:val="bullet"/>
      <w:lvlText w:val=""/>
      <w:lvlJc w:val="left"/>
      <w:pPr>
        <w:ind w:left="720" w:hanging="360"/>
      </w:pPr>
      <w:rPr>
        <w:rFonts w:ascii="Symbol" w:hAnsi="Symbol" w:hint="default"/>
      </w:rPr>
    </w:lvl>
    <w:lvl w:ilvl="1" w:tplc="AB4E79FE" w:tentative="1">
      <w:start w:val="1"/>
      <w:numFmt w:val="bullet"/>
      <w:lvlText w:val="o"/>
      <w:lvlJc w:val="left"/>
      <w:pPr>
        <w:ind w:left="1440" w:hanging="360"/>
      </w:pPr>
      <w:rPr>
        <w:rFonts w:ascii="Courier New" w:hAnsi="Courier New" w:cs="Courier New" w:hint="default"/>
      </w:rPr>
    </w:lvl>
    <w:lvl w:ilvl="2" w:tplc="63A2D0A0" w:tentative="1">
      <w:start w:val="1"/>
      <w:numFmt w:val="bullet"/>
      <w:lvlText w:val=""/>
      <w:lvlJc w:val="left"/>
      <w:pPr>
        <w:ind w:left="2160" w:hanging="360"/>
      </w:pPr>
      <w:rPr>
        <w:rFonts w:ascii="Wingdings" w:hAnsi="Wingdings" w:hint="default"/>
      </w:rPr>
    </w:lvl>
    <w:lvl w:ilvl="3" w:tplc="1E26D700" w:tentative="1">
      <w:start w:val="1"/>
      <w:numFmt w:val="bullet"/>
      <w:lvlText w:val=""/>
      <w:lvlJc w:val="left"/>
      <w:pPr>
        <w:ind w:left="2880" w:hanging="360"/>
      </w:pPr>
      <w:rPr>
        <w:rFonts w:ascii="Symbol" w:hAnsi="Symbol" w:hint="default"/>
      </w:rPr>
    </w:lvl>
    <w:lvl w:ilvl="4" w:tplc="9D3ED3C2" w:tentative="1">
      <w:start w:val="1"/>
      <w:numFmt w:val="bullet"/>
      <w:lvlText w:val="o"/>
      <w:lvlJc w:val="left"/>
      <w:pPr>
        <w:ind w:left="3600" w:hanging="360"/>
      </w:pPr>
      <w:rPr>
        <w:rFonts w:ascii="Courier New" w:hAnsi="Courier New" w:cs="Courier New" w:hint="default"/>
      </w:rPr>
    </w:lvl>
    <w:lvl w:ilvl="5" w:tplc="6DC8F246" w:tentative="1">
      <w:start w:val="1"/>
      <w:numFmt w:val="bullet"/>
      <w:lvlText w:val=""/>
      <w:lvlJc w:val="left"/>
      <w:pPr>
        <w:ind w:left="4320" w:hanging="360"/>
      </w:pPr>
      <w:rPr>
        <w:rFonts w:ascii="Wingdings" w:hAnsi="Wingdings" w:hint="default"/>
      </w:rPr>
    </w:lvl>
    <w:lvl w:ilvl="6" w:tplc="017EC168" w:tentative="1">
      <w:start w:val="1"/>
      <w:numFmt w:val="bullet"/>
      <w:lvlText w:val=""/>
      <w:lvlJc w:val="left"/>
      <w:pPr>
        <w:ind w:left="5040" w:hanging="360"/>
      </w:pPr>
      <w:rPr>
        <w:rFonts w:ascii="Symbol" w:hAnsi="Symbol" w:hint="default"/>
      </w:rPr>
    </w:lvl>
    <w:lvl w:ilvl="7" w:tplc="2E7210B2" w:tentative="1">
      <w:start w:val="1"/>
      <w:numFmt w:val="bullet"/>
      <w:lvlText w:val="o"/>
      <w:lvlJc w:val="left"/>
      <w:pPr>
        <w:ind w:left="5760" w:hanging="360"/>
      </w:pPr>
      <w:rPr>
        <w:rFonts w:ascii="Courier New" w:hAnsi="Courier New" w:cs="Courier New" w:hint="default"/>
      </w:rPr>
    </w:lvl>
    <w:lvl w:ilvl="8" w:tplc="E6D645A8" w:tentative="1">
      <w:start w:val="1"/>
      <w:numFmt w:val="bullet"/>
      <w:lvlText w:val=""/>
      <w:lvlJc w:val="left"/>
      <w:pPr>
        <w:ind w:left="6480" w:hanging="360"/>
      </w:pPr>
      <w:rPr>
        <w:rFonts w:ascii="Wingdings" w:hAnsi="Wingdings" w:hint="default"/>
      </w:rPr>
    </w:lvl>
  </w:abstractNum>
  <w:abstractNum w:abstractNumId="6" w15:restartNumberingAfterBreak="0">
    <w:nsid w:val="21A5716F"/>
    <w:multiLevelType w:val="multilevel"/>
    <w:tmpl w:val="F20AE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47048"/>
    <w:multiLevelType w:val="multilevel"/>
    <w:tmpl w:val="A19ED33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542879"/>
    <w:multiLevelType w:val="multilevel"/>
    <w:tmpl w:val="DB8AD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B017B1"/>
    <w:multiLevelType w:val="multilevel"/>
    <w:tmpl w:val="23ACD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402413"/>
    <w:multiLevelType w:val="multilevel"/>
    <w:tmpl w:val="6304E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9156AD"/>
    <w:multiLevelType w:val="multilevel"/>
    <w:tmpl w:val="D50EF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31289E"/>
    <w:multiLevelType w:val="multilevel"/>
    <w:tmpl w:val="FA0C2C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5D7DC8"/>
    <w:multiLevelType w:val="multilevel"/>
    <w:tmpl w:val="8A5ED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FD00DC"/>
    <w:multiLevelType w:val="multilevel"/>
    <w:tmpl w:val="5F1E885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DD0D0D"/>
    <w:multiLevelType w:val="multilevel"/>
    <w:tmpl w:val="A1023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98689C"/>
    <w:multiLevelType w:val="multilevel"/>
    <w:tmpl w:val="F774E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5D183F"/>
    <w:multiLevelType w:val="multilevel"/>
    <w:tmpl w:val="AE686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6073C9"/>
    <w:multiLevelType w:val="multilevel"/>
    <w:tmpl w:val="4EE2B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B17494"/>
    <w:multiLevelType w:val="multilevel"/>
    <w:tmpl w:val="5C6E8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CF1ADC"/>
    <w:multiLevelType w:val="multilevel"/>
    <w:tmpl w:val="2654A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8271A8"/>
    <w:multiLevelType w:val="multilevel"/>
    <w:tmpl w:val="29B80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DE3A74"/>
    <w:multiLevelType w:val="multilevel"/>
    <w:tmpl w:val="58923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C671407"/>
    <w:multiLevelType w:val="hybridMultilevel"/>
    <w:tmpl w:val="274E4772"/>
    <w:lvl w:ilvl="0" w:tplc="33D26284">
      <w:start w:val="1"/>
      <w:numFmt w:val="decimal"/>
      <w:lvlText w:val="%1."/>
      <w:lvlJc w:val="left"/>
      <w:pPr>
        <w:ind w:left="720" w:hanging="360"/>
      </w:pPr>
    </w:lvl>
    <w:lvl w:ilvl="1" w:tplc="C540D134" w:tentative="1">
      <w:start w:val="1"/>
      <w:numFmt w:val="lowerLetter"/>
      <w:lvlText w:val="%2."/>
      <w:lvlJc w:val="left"/>
      <w:pPr>
        <w:ind w:left="1440" w:hanging="360"/>
      </w:pPr>
    </w:lvl>
    <w:lvl w:ilvl="2" w:tplc="3C56318C" w:tentative="1">
      <w:start w:val="1"/>
      <w:numFmt w:val="lowerRoman"/>
      <w:lvlText w:val="%3."/>
      <w:lvlJc w:val="right"/>
      <w:pPr>
        <w:ind w:left="2160" w:hanging="180"/>
      </w:pPr>
    </w:lvl>
    <w:lvl w:ilvl="3" w:tplc="10921416" w:tentative="1">
      <w:start w:val="1"/>
      <w:numFmt w:val="decimal"/>
      <w:lvlText w:val="%4."/>
      <w:lvlJc w:val="left"/>
      <w:pPr>
        <w:ind w:left="2880" w:hanging="360"/>
      </w:pPr>
    </w:lvl>
    <w:lvl w:ilvl="4" w:tplc="F86849E8" w:tentative="1">
      <w:start w:val="1"/>
      <w:numFmt w:val="lowerLetter"/>
      <w:lvlText w:val="%5."/>
      <w:lvlJc w:val="left"/>
      <w:pPr>
        <w:ind w:left="3600" w:hanging="360"/>
      </w:pPr>
    </w:lvl>
    <w:lvl w:ilvl="5" w:tplc="CE9E1DD4" w:tentative="1">
      <w:start w:val="1"/>
      <w:numFmt w:val="lowerRoman"/>
      <w:lvlText w:val="%6."/>
      <w:lvlJc w:val="right"/>
      <w:pPr>
        <w:ind w:left="4320" w:hanging="180"/>
      </w:pPr>
    </w:lvl>
    <w:lvl w:ilvl="6" w:tplc="D58A8C24" w:tentative="1">
      <w:start w:val="1"/>
      <w:numFmt w:val="decimal"/>
      <w:lvlText w:val="%7."/>
      <w:lvlJc w:val="left"/>
      <w:pPr>
        <w:ind w:left="5040" w:hanging="360"/>
      </w:pPr>
    </w:lvl>
    <w:lvl w:ilvl="7" w:tplc="D2D02214" w:tentative="1">
      <w:start w:val="1"/>
      <w:numFmt w:val="lowerLetter"/>
      <w:lvlText w:val="%8."/>
      <w:lvlJc w:val="left"/>
      <w:pPr>
        <w:ind w:left="5760" w:hanging="360"/>
      </w:pPr>
    </w:lvl>
    <w:lvl w:ilvl="8" w:tplc="C8E6A4DE" w:tentative="1">
      <w:start w:val="1"/>
      <w:numFmt w:val="lowerRoman"/>
      <w:lvlText w:val="%9."/>
      <w:lvlJc w:val="right"/>
      <w:pPr>
        <w:ind w:left="6480" w:hanging="180"/>
      </w:pPr>
    </w:lvl>
  </w:abstractNum>
  <w:abstractNum w:abstractNumId="24" w15:restartNumberingAfterBreak="0">
    <w:nsid w:val="618A3B85"/>
    <w:multiLevelType w:val="multilevel"/>
    <w:tmpl w:val="5CAA81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9C61D3"/>
    <w:multiLevelType w:val="multilevel"/>
    <w:tmpl w:val="45622D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A633622"/>
    <w:multiLevelType w:val="multilevel"/>
    <w:tmpl w:val="CBF890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DC715A"/>
    <w:multiLevelType w:val="multilevel"/>
    <w:tmpl w:val="AA10CD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3642151">
    <w:abstractNumId w:val="2"/>
  </w:num>
  <w:num w:numId="2" w16cid:durableId="1062678395">
    <w:abstractNumId w:val="5"/>
  </w:num>
  <w:num w:numId="3" w16cid:durableId="1550145228">
    <w:abstractNumId w:val="23"/>
  </w:num>
  <w:num w:numId="4" w16cid:durableId="301859403">
    <w:abstractNumId w:val="13"/>
  </w:num>
  <w:num w:numId="5" w16cid:durableId="961615326">
    <w:abstractNumId w:val="22"/>
  </w:num>
  <w:num w:numId="6" w16cid:durableId="1240023413">
    <w:abstractNumId w:val="6"/>
  </w:num>
  <w:num w:numId="7" w16cid:durableId="1980111192">
    <w:abstractNumId w:val="12"/>
  </w:num>
  <w:num w:numId="8" w16cid:durableId="1516924271">
    <w:abstractNumId w:val="3"/>
  </w:num>
  <w:num w:numId="9" w16cid:durableId="490416558">
    <w:abstractNumId w:val="24"/>
  </w:num>
  <w:num w:numId="10" w16cid:durableId="797917804">
    <w:abstractNumId w:val="15"/>
  </w:num>
  <w:num w:numId="11" w16cid:durableId="912855756">
    <w:abstractNumId w:val="14"/>
  </w:num>
  <w:num w:numId="12" w16cid:durableId="1933584103">
    <w:abstractNumId w:val="16"/>
  </w:num>
  <w:num w:numId="13" w16cid:durableId="1587299321">
    <w:abstractNumId w:val="25"/>
  </w:num>
  <w:num w:numId="14" w16cid:durableId="1170024364">
    <w:abstractNumId w:val="8"/>
  </w:num>
  <w:num w:numId="15" w16cid:durableId="1071075390">
    <w:abstractNumId w:val="7"/>
  </w:num>
  <w:num w:numId="16" w16cid:durableId="639773624">
    <w:abstractNumId w:val="18"/>
  </w:num>
  <w:num w:numId="17" w16cid:durableId="427430328">
    <w:abstractNumId w:val="10"/>
  </w:num>
  <w:num w:numId="18" w16cid:durableId="1129398685">
    <w:abstractNumId w:val="20"/>
  </w:num>
  <w:num w:numId="19" w16cid:durableId="176388539">
    <w:abstractNumId w:val="4"/>
  </w:num>
  <w:num w:numId="20" w16cid:durableId="918826710">
    <w:abstractNumId w:val="1"/>
  </w:num>
  <w:num w:numId="21" w16cid:durableId="1287273373">
    <w:abstractNumId w:val="19"/>
  </w:num>
  <w:num w:numId="22" w16cid:durableId="1459227691">
    <w:abstractNumId w:val="0"/>
  </w:num>
  <w:num w:numId="23" w16cid:durableId="900599875">
    <w:abstractNumId w:val="11"/>
  </w:num>
  <w:num w:numId="24" w16cid:durableId="1371108313">
    <w:abstractNumId w:val="27"/>
  </w:num>
  <w:num w:numId="25" w16cid:durableId="1478304014">
    <w:abstractNumId w:val="21"/>
  </w:num>
  <w:num w:numId="26" w16cid:durableId="979270022">
    <w:abstractNumId w:val="26"/>
  </w:num>
  <w:num w:numId="27" w16cid:durableId="1342899695">
    <w:abstractNumId w:val="17"/>
  </w:num>
  <w:num w:numId="28" w16cid:durableId="4406878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06EB9"/>
    <w:rsid w:val="00012D57"/>
    <w:rsid w:val="00017183"/>
    <w:rsid w:val="00022609"/>
    <w:rsid w:val="00032608"/>
    <w:rsid w:val="00034E85"/>
    <w:rsid w:val="000403DC"/>
    <w:rsid w:val="00040DA7"/>
    <w:rsid w:val="0004353C"/>
    <w:rsid w:val="00043794"/>
    <w:rsid w:val="00045CD9"/>
    <w:rsid w:val="000528D5"/>
    <w:rsid w:val="00056441"/>
    <w:rsid w:val="0006606B"/>
    <w:rsid w:val="0006684D"/>
    <w:rsid w:val="00074F43"/>
    <w:rsid w:val="00084A85"/>
    <w:rsid w:val="00093AC1"/>
    <w:rsid w:val="00093C6D"/>
    <w:rsid w:val="000A31C2"/>
    <w:rsid w:val="000B2B02"/>
    <w:rsid w:val="000B4A79"/>
    <w:rsid w:val="000D1E49"/>
    <w:rsid w:val="000D5ED6"/>
    <w:rsid w:val="000E3EAD"/>
    <w:rsid w:val="000E4057"/>
    <w:rsid w:val="000F098C"/>
    <w:rsid w:val="000F0C31"/>
    <w:rsid w:val="00100298"/>
    <w:rsid w:val="00102444"/>
    <w:rsid w:val="00104C71"/>
    <w:rsid w:val="0010608A"/>
    <w:rsid w:val="00107498"/>
    <w:rsid w:val="00127B56"/>
    <w:rsid w:val="00144F69"/>
    <w:rsid w:val="00145914"/>
    <w:rsid w:val="00145C7E"/>
    <w:rsid w:val="00147687"/>
    <w:rsid w:val="00154BAF"/>
    <w:rsid w:val="001574FE"/>
    <w:rsid w:val="00160724"/>
    <w:rsid w:val="0016554E"/>
    <w:rsid w:val="001732CE"/>
    <w:rsid w:val="001817CB"/>
    <w:rsid w:val="0018235D"/>
    <w:rsid w:val="0018545A"/>
    <w:rsid w:val="001863CD"/>
    <w:rsid w:val="00186C19"/>
    <w:rsid w:val="0018711F"/>
    <w:rsid w:val="00187A42"/>
    <w:rsid w:val="00191971"/>
    <w:rsid w:val="00192B0D"/>
    <w:rsid w:val="00197EC8"/>
    <w:rsid w:val="001A3032"/>
    <w:rsid w:val="001B0942"/>
    <w:rsid w:val="001B6154"/>
    <w:rsid w:val="001C159B"/>
    <w:rsid w:val="001C7A8A"/>
    <w:rsid w:val="001D4E2D"/>
    <w:rsid w:val="001D7C27"/>
    <w:rsid w:val="001E41E5"/>
    <w:rsid w:val="001E437A"/>
    <w:rsid w:val="001F169B"/>
    <w:rsid w:val="00205FBC"/>
    <w:rsid w:val="0020661F"/>
    <w:rsid w:val="00207FE4"/>
    <w:rsid w:val="0022050C"/>
    <w:rsid w:val="0022569B"/>
    <w:rsid w:val="0023754A"/>
    <w:rsid w:val="002429C1"/>
    <w:rsid w:val="00242AC4"/>
    <w:rsid w:val="00245C9A"/>
    <w:rsid w:val="00246EB9"/>
    <w:rsid w:val="00250BAF"/>
    <w:rsid w:val="0025147C"/>
    <w:rsid w:val="00252656"/>
    <w:rsid w:val="002530CD"/>
    <w:rsid w:val="00256E5C"/>
    <w:rsid w:val="00261381"/>
    <w:rsid w:val="00265C34"/>
    <w:rsid w:val="00272E44"/>
    <w:rsid w:val="0027447D"/>
    <w:rsid w:val="0027481C"/>
    <w:rsid w:val="00275D22"/>
    <w:rsid w:val="00277520"/>
    <w:rsid w:val="00280313"/>
    <w:rsid w:val="00287DEB"/>
    <w:rsid w:val="002A44C8"/>
    <w:rsid w:val="002A7CB0"/>
    <w:rsid w:val="002D24C4"/>
    <w:rsid w:val="002D4310"/>
    <w:rsid w:val="002D45C2"/>
    <w:rsid w:val="002D4E24"/>
    <w:rsid w:val="002E4813"/>
    <w:rsid w:val="002F2E1B"/>
    <w:rsid w:val="002F31F6"/>
    <w:rsid w:val="002F503C"/>
    <w:rsid w:val="00300584"/>
    <w:rsid w:val="00307E34"/>
    <w:rsid w:val="00324C80"/>
    <w:rsid w:val="00336DA3"/>
    <w:rsid w:val="003461BF"/>
    <w:rsid w:val="00350909"/>
    <w:rsid w:val="00354E9B"/>
    <w:rsid w:val="00357A2D"/>
    <w:rsid w:val="00357E35"/>
    <w:rsid w:val="00361D02"/>
    <w:rsid w:val="00366FF9"/>
    <w:rsid w:val="00381AFE"/>
    <w:rsid w:val="00382DDD"/>
    <w:rsid w:val="003851D9"/>
    <w:rsid w:val="0039112E"/>
    <w:rsid w:val="00392165"/>
    <w:rsid w:val="00394034"/>
    <w:rsid w:val="003966CB"/>
    <w:rsid w:val="00397A12"/>
    <w:rsid w:val="003A062D"/>
    <w:rsid w:val="003A7B54"/>
    <w:rsid w:val="003B2E32"/>
    <w:rsid w:val="003B6220"/>
    <w:rsid w:val="003B6D98"/>
    <w:rsid w:val="003C23A3"/>
    <w:rsid w:val="003C7E07"/>
    <w:rsid w:val="003D3815"/>
    <w:rsid w:val="003D6D49"/>
    <w:rsid w:val="003D74CE"/>
    <w:rsid w:val="003E6B5D"/>
    <w:rsid w:val="003F0F03"/>
    <w:rsid w:val="003F1C6D"/>
    <w:rsid w:val="003F1E6B"/>
    <w:rsid w:val="003F2565"/>
    <w:rsid w:val="003F3465"/>
    <w:rsid w:val="00401929"/>
    <w:rsid w:val="00403B81"/>
    <w:rsid w:val="00407E47"/>
    <w:rsid w:val="00422194"/>
    <w:rsid w:val="00427AAD"/>
    <w:rsid w:val="00434F1F"/>
    <w:rsid w:val="00440D8C"/>
    <w:rsid w:val="00450270"/>
    <w:rsid w:val="00452538"/>
    <w:rsid w:val="004536DF"/>
    <w:rsid w:val="00454DC2"/>
    <w:rsid w:val="00463A29"/>
    <w:rsid w:val="0046442B"/>
    <w:rsid w:val="00466B61"/>
    <w:rsid w:val="00466B91"/>
    <w:rsid w:val="004768E0"/>
    <w:rsid w:val="00483286"/>
    <w:rsid w:val="00486402"/>
    <w:rsid w:val="004959F3"/>
    <w:rsid w:val="0049655F"/>
    <w:rsid w:val="00496A07"/>
    <w:rsid w:val="004A02E4"/>
    <w:rsid w:val="004A351B"/>
    <w:rsid w:val="004A7F11"/>
    <w:rsid w:val="004B0727"/>
    <w:rsid w:val="004B4936"/>
    <w:rsid w:val="004C085F"/>
    <w:rsid w:val="004C10AA"/>
    <w:rsid w:val="004C1916"/>
    <w:rsid w:val="004C1A41"/>
    <w:rsid w:val="004C30B1"/>
    <w:rsid w:val="004C3729"/>
    <w:rsid w:val="004C5212"/>
    <w:rsid w:val="004D1F75"/>
    <w:rsid w:val="004F0D68"/>
    <w:rsid w:val="00504EBA"/>
    <w:rsid w:val="00513519"/>
    <w:rsid w:val="00521BE3"/>
    <w:rsid w:val="0052281F"/>
    <w:rsid w:val="005236E9"/>
    <w:rsid w:val="005241FE"/>
    <w:rsid w:val="00532E4D"/>
    <w:rsid w:val="00535E70"/>
    <w:rsid w:val="0054023C"/>
    <w:rsid w:val="00540FF6"/>
    <w:rsid w:val="00542920"/>
    <w:rsid w:val="005475A8"/>
    <w:rsid w:val="00550721"/>
    <w:rsid w:val="00555591"/>
    <w:rsid w:val="00560E15"/>
    <w:rsid w:val="0056676C"/>
    <w:rsid w:val="00572527"/>
    <w:rsid w:val="00572FB2"/>
    <w:rsid w:val="00586C08"/>
    <w:rsid w:val="00593E29"/>
    <w:rsid w:val="005A0FCA"/>
    <w:rsid w:val="005A6D79"/>
    <w:rsid w:val="005B2A8C"/>
    <w:rsid w:val="005B342F"/>
    <w:rsid w:val="005B61EA"/>
    <w:rsid w:val="005C0391"/>
    <w:rsid w:val="005C0433"/>
    <w:rsid w:val="005C1D9B"/>
    <w:rsid w:val="005C3C8D"/>
    <w:rsid w:val="005D2610"/>
    <w:rsid w:val="005D6AE7"/>
    <w:rsid w:val="005E08F6"/>
    <w:rsid w:val="005E1D3B"/>
    <w:rsid w:val="005F185D"/>
    <w:rsid w:val="005F1FBF"/>
    <w:rsid w:val="005F2D01"/>
    <w:rsid w:val="005F303D"/>
    <w:rsid w:val="005F5BEF"/>
    <w:rsid w:val="005F66FD"/>
    <w:rsid w:val="0060528A"/>
    <w:rsid w:val="0062484B"/>
    <w:rsid w:val="00634BE7"/>
    <w:rsid w:val="006468C0"/>
    <w:rsid w:val="006475B8"/>
    <w:rsid w:val="00653B6E"/>
    <w:rsid w:val="006551F5"/>
    <w:rsid w:val="0065581E"/>
    <w:rsid w:val="006619C5"/>
    <w:rsid w:val="00692C4C"/>
    <w:rsid w:val="00693C5D"/>
    <w:rsid w:val="006A3C3F"/>
    <w:rsid w:val="006C177A"/>
    <w:rsid w:val="006C5E87"/>
    <w:rsid w:val="006D0DF4"/>
    <w:rsid w:val="006D7BF8"/>
    <w:rsid w:val="006E00DC"/>
    <w:rsid w:val="006E18E8"/>
    <w:rsid w:val="006E4C6E"/>
    <w:rsid w:val="006E6917"/>
    <w:rsid w:val="006E7D34"/>
    <w:rsid w:val="006F1534"/>
    <w:rsid w:val="006F1D2D"/>
    <w:rsid w:val="006F5378"/>
    <w:rsid w:val="006F789B"/>
    <w:rsid w:val="007022E0"/>
    <w:rsid w:val="007029F9"/>
    <w:rsid w:val="00702A7C"/>
    <w:rsid w:val="00707748"/>
    <w:rsid w:val="00710E68"/>
    <w:rsid w:val="00713C53"/>
    <w:rsid w:val="00713C96"/>
    <w:rsid w:val="00720B6C"/>
    <w:rsid w:val="00730027"/>
    <w:rsid w:val="0073472B"/>
    <w:rsid w:val="00742BA4"/>
    <w:rsid w:val="00743A9E"/>
    <w:rsid w:val="00745758"/>
    <w:rsid w:val="00750BAC"/>
    <w:rsid w:val="007521CF"/>
    <w:rsid w:val="0075288B"/>
    <w:rsid w:val="0075338C"/>
    <w:rsid w:val="007533BB"/>
    <w:rsid w:val="00754D9C"/>
    <w:rsid w:val="00754FBF"/>
    <w:rsid w:val="00757A1D"/>
    <w:rsid w:val="0077682B"/>
    <w:rsid w:val="00791442"/>
    <w:rsid w:val="007978B8"/>
    <w:rsid w:val="007A3A32"/>
    <w:rsid w:val="007B21A0"/>
    <w:rsid w:val="007B230D"/>
    <w:rsid w:val="007B3780"/>
    <w:rsid w:val="007B4F60"/>
    <w:rsid w:val="007B6983"/>
    <w:rsid w:val="007C5313"/>
    <w:rsid w:val="007E07BB"/>
    <w:rsid w:val="007E74A7"/>
    <w:rsid w:val="007F54F4"/>
    <w:rsid w:val="008006A9"/>
    <w:rsid w:val="00802976"/>
    <w:rsid w:val="008044AD"/>
    <w:rsid w:val="0080735E"/>
    <w:rsid w:val="00815E6B"/>
    <w:rsid w:val="0082057A"/>
    <w:rsid w:val="00823052"/>
    <w:rsid w:val="008269B1"/>
    <w:rsid w:val="0082744B"/>
    <w:rsid w:val="00832D8B"/>
    <w:rsid w:val="00840E87"/>
    <w:rsid w:val="00843E71"/>
    <w:rsid w:val="00846BC2"/>
    <w:rsid w:val="008517D5"/>
    <w:rsid w:val="00853131"/>
    <w:rsid w:val="00854362"/>
    <w:rsid w:val="00860E05"/>
    <w:rsid w:val="00864E3F"/>
    <w:rsid w:val="0087093B"/>
    <w:rsid w:val="008718F9"/>
    <w:rsid w:val="008775E8"/>
    <w:rsid w:val="0088274F"/>
    <w:rsid w:val="008B1B80"/>
    <w:rsid w:val="008C054A"/>
    <w:rsid w:val="008C579F"/>
    <w:rsid w:val="008D27B5"/>
    <w:rsid w:val="008D404B"/>
    <w:rsid w:val="008D4AAB"/>
    <w:rsid w:val="008D5D56"/>
    <w:rsid w:val="008D6A25"/>
    <w:rsid w:val="008E165D"/>
    <w:rsid w:val="008E78C9"/>
    <w:rsid w:val="0090717A"/>
    <w:rsid w:val="00912223"/>
    <w:rsid w:val="00912E5C"/>
    <w:rsid w:val="0091483F"/>
    <w:rsid w:val="00915F56"/>
    <w:rsid w:val="0091704F"/>
    <w:rsid w:val="00921548"/>
    <w:rsid w:val="00921602"/>
    <w:rsid w:val="0092632C"/>
    <w:rsid w:val="00927825"/>
    <w:rsid w:val="00932377"/>
    <w:rsid w:val="00933181"/>
    <w:rsid w:val="00935075"/>
    <w:rsid w:val="00937C07"/>
    <w:rsid w:val="00937C4B"/>
    <w:rsid w:val="0094411A"/>
    <w:rsid w:val="00955871"/>
    <w:rsid w:val="009721F0"/>
    <w:rsid w:val="00972B60"/>
    <w:rsid w:val="00983947"/>
    <w:rsid w:val="00985542"/>
    <w:rsid w:val="00991F89"/>
    <w:rsid w:val="00992402"/>
    <w:rsid w:val="0099341C"/>
    <w:rsid w:val="009953C5"/>
    <w:rsid w:val="009A4EAD"/>
    <w:rsid w:val="009A5F09"/>
    <w:rsid w:val="009B6724"/>
    <w:rsid w:val="009B6FB9"/>
    <w:rsid w:val="009C60F1"/>
    <w:rsid w:val="009F64FD"/>
    <w:rsid w:val="009F6BDF"/>
    <w:rsid w:val="00A01E49"/>
    <w:rsid w:val="00A030FF"/>
    <w:rsid w:val="00A04A1E"/>
    <w:rsid w:val="00A04C6F"/>
    <w:rsid w:val="00A05A71"/>
    <w:rsid w:val="00A0768B"/>
    <w:rsid w:val="00A105DC"/>
    <w:rsid w:val="00A11162"/>
    <w:rsid w:val="00A11485"/>
    <w:rsid w:val="00A25300"/>
    <w:rsid w:val="00A32E6F"/>
    <w:rsid w:val="00A33BEC"/>
    <w:rsid w:val="00A369FD"/>
    <w:rsid w:val="00A457FD"/>
    <w:rsid w:val="00A478DB"/>
    <w:rsid w:val="00A51969"/>
    <w:rsid w:val="00A53E0A"/>
    <w:rsid w:val="00A54267"/>
    <w:rsid w:val="00A5551E"/>
    <w:rsid w:val="00A56384"/>
    <w:rsid w:val="00A56FA8"/>
    <w:rsid w:val="00A610B5"/>
    <w:rsid w:val="00A64046"/>
    <w:rsid w:val="00A67CE4"/>
    <w:rsid w:val="00A723F4"/>
    <w:rsid w:val="00A731A5"/>
    <w:rsid w:val="00A74605"/>
    <w:rsid w:val="00A76269"/>
    <w:rsid w:val="00A85BE5"/>
    <w:rsid w:val="00A87576"/>
    <w:rsid w:val="00A87622"/>
    <w:rsid w:val="00A94AE9"/>
    <w:rsid w:val="00AA1B02"/>
    <w:rsid w:val="00AA3E53"/>
    <w:rsid w:val="00AA3FA5"/>
    <w:rsid w:val="00AB3405"/>
    <w:rsid w:val="00AC54B3"/>
    <w:rsid w:val="00AC7BB7"/>
    <w:rsid w:val="00AD3547"/>
    <w:rsid w:val="00AD4684"/>
    <w:rsid w:val="00AD5B39"/>
    <w:rsid w:val="00AE67F4"/>
    <w:rsid w:val="00AF01F3"/>
    <w:rsid w:val="00AF1065"/>
    <w:rsid w:val="00AF4BAA"/>
    <w:rsid w:val="00B01C11"/>
    <w:rsid w:val="00B04C54"/>
    <w:rsid w:val="00B05AB6"/>
    <w:rsid w:val="00B066D4"/>
    <w:rsid w:val="00B10528"/>
    <w:rsid w:val="00B114A1"/>
    <w:rsid w:val="00B12550"/>
    <w:rsid w:val="00B14565"/>
    <w:rsid w:val="00B214DE"/>
    <w:rsid w:val="00B26E83"/>
    <w:rsid w:val="00B44CA7"/>
    <w:rsid w:val="00B45FD2"/>
    <w:rsid w:val="00B46594"/>
    <w:rsid w:val="00B47BEB"/>
    <w:rsid w:val="00B55170"/>
    <w:rsid w:val="00B806E9"/>
    <w:rsid w:val="00B83D0E"/>
    <w:rsid w:val="00B853C5"/>
    <w:rsid w:val="00B92472"/>
    <w:rsid w:val="00B93FEC"/>
    <w:rsid w:val="00B951BB"/>
    <w:rsid w:val="00BA4BE3"/>
    <w:rsid w:val="00BA5040"/>
    <w:rsid w:val="00BB28CD"/>
    <w:rsid w:val="00BB7347"/>
    <w:rsid w:val="00BC588B"/>
    <w:rsid w:val="00BC6237"/>
    <w:rsid w:val="00BD14D2"/>
    <w:rsid w:val="00BD2D4F"/>
    <w:rsid w:val="00BE1926"/>
    <w:rsid w:val="00BF3797"/>
    <w:rsid w:val="00BF732C"/>
    <w:rsid w:val="00C00B31"/>
    <w:rsid w:val="00C019D3"/>
    <w:rsid w:val="00C07098"/>
    <w:rsid w:val="00C233E8"/>
    <w:rsid w:val="00C23CE5"/>
    <w:rsid w:val="00C33318"/>
    <w:rsid w:val="00C404C2"/>
    <w:rsid w:val="00C40DF5"/>
    <w:rsid w:val="00C4185F"/>
    <w:rsid w:val="00C419A1"/>
    <w:rsid w:val="00C52FD1"/>
    <w:rsid w:val="00C579D7"/>
    <w:rsid w:val="00C60C92"/>
    <w:rsid w:val="00C67B6F"/>
    <w:rsid w:val="00C71C6A"/>
    <w:rsid w:val="00C73F67"/>
    <w:rsid w:val="00C76260"/>
    <w:rsid w:val="00C809C2"/>
    <w:rsid w:val="00C82246"/>
    <w:rsid w:val="00C87318"/>
    <w:rsid w:val="00C91D4B"/>
    <w:rsid w:val="00C92CCD"/>
    <w:rsid w:val="00C9395F"/>
    <w:rsid w:val="00C9396F"/>
    <w:rsid w:val="00C93A96"/>
    <w:rsid w:val="00C9620A"/>
    <w:rsid w:val="00CA0925"/>
    <w:rsid w:val="00CA4D05"/>
    <w:rsid w:val="00CC6206"/>
    <w:rsid w:val="00CD05D4"/>
    <w:rsid w:val="00CD1BE3"/>
    <w:rsid w:val="00CD3422"/>
    <w:rsid w:val="00CE149A"/>
    <w:rsid w:val="00CE20FE"/>
    <w:rsid w:val="00CE2C47"/>
    <w:rsid w:val="00CF40DB"/>
    <w:rsid w:val="00CF59CF"/>
    <w:rsid w:val="00D03ED2"/>
    <w:rsid w:val="00D10612"/>
    <w:rsid w:val="00D16580"/>
    <w:rsid w:val="00D165ED"/>
    <w:rsid w:val="00D33EED"/>
    <w:rsid w:val="00D410CC"/>
    <w:rsid w:val="00D446A5"/>
    <w:rsid w:val="00D44719"/>
    <w:rsid w:val="00D51288"/>
    <w:rsid w:val="00D55D36"/>
    <w:rsid w:val="00D618FF"/>
    <w:rsid w:val="00D65EED"/>
    <w:rsid w:val="00D82749"/>
    <w:rsid w:val="00D82995"/>
    <w:rsid w:val="00D9395E"/>
    <w:rsid w:val="00D96FEC"/>
    <w:rsid w:val="00DA2693"/>
    <w:rsid w:val="00DA3053"/>
    <w:rsid w:val="00DA49C4"/>
    <w:rsid w:val="00DB0878"/>
    <w:rsid w:val="00DB626B"/>
    <w:rsid w:val="00DB6CEB"/>
    <w:rsid w:val="00DD1B7E"/>
    <w:rsid w:val="00DD4155"/>
    <w:rsid w:val="00DD5E48"/>
    <w:rsid w:val="00DD6690"/>
    <w:rsid w:val="00DD7D3A"/>
    <w:rsid w:val="00DE1E73"/>
    <w:rsid w:val="00DE7403"/>
    <w:rsid w:val="00DE7DA3"/>
    <w:rsid w:val="00DF21BF"/>
    <w:rsid w:val="00E006C7"/>
    <w:rsid w:val="00E039D5"/>
    <w:rsid w:val="00E11D66"/>
    <w:rsid w:val="00E13095"/>
    <w:rsid w:val="00E13BAC"/>
    <w:rsid w:val="00E16DF8"/>
    <w:rsid w:val="00E27903"/>
    <w:rsid w:val="00E30880"/>
    <w:rsid w:val="00E42F2C"/>
    <w:rsid w:val="00E47C7D"/>
    <w:rsid w:val="00E50C6F"/>
    <w:rsid w:val="00E52AD8"/>
    <w:rsid w:val="00E533BE"/>
    <w:rsid w:val="00E56D9A"/>
    <w:rsid w:val="00E57D10"/>
    <w:rsid w:val="00E60619"/>
    <w:rsid w:val="00E64810"/>
    <w:rsid w:val="00E67A9C"/>
    <w:rsid w:val="00E7014C"/>
    <w:rsid w:val="00E96197"/>
    <w:rsid w:val="00EA0088"/>
    <w:rsid w:val="00EA0975"/>
    <w:rsid w:val="00EB191A"/>
    <w:rsid w:val="00EB2373"/>
    <w:rsid w:val="00EB2682"/>
    <w:rsid w:val="00EB4030"/>
    <w:rsid w:val="00EB5E21"/>
    <w:rsid w:val="00EB6749"/>
    <w:rsid w:val="00EC1BC4"/>
    <w:rsid w:val="00ED63A9"/>
    <w:rsid w:val="00EF6D1E"/>
    <w:rsid w:val="00EF7B52"/>
    <w:rsid w:val="00F01B92"/>
    <w:rsid w:val="00F04923"/>
    <w:rsid w:val="00F1212A"/>
    <w:rsid w:val="00F14A8E"/>
    <w:rsid w:val="00F150A3"/>
    <w:rsid w:val="00F307B6"/>
    <w:rsid w:val="00F3521B"/>
    <w:rsid w:val="00F3599C"/>
    <w:rsid w:val="00F42366"/>
    <w:rsid w:val="00F42650"/>
    <w:rsid w:val="00F45B30"/>
    <w:rsid w:val="00F47358"/>
    <w:rsid w:val="00F47FFB"/>
    <w:rsid w:val="00F66F3F"/>
    <w:rsid w:val="00F720F0"/>
    <w:rsid w:val="00F75473"/>
    <w:rsid w:val="00F76964"/>
    <w:rsid w:val="00F80ADB"/>
    <w:rsid w:val="00F859EC"/>
    <w:rsid w:val="00F91634"/>
    <w:rsid w:val="00F91ADF"/>
    <w:rsid w:val="00F9239F"/>
    <w:rsid w:val="00F9787E"/>
    <w:rsid w:val="00FB3FCA"/>
    <w:rsid w:val="00FC0AC6"/>
    <w:rsid w:val="00FC32D4"/>
    <w:rsid w:val="00FC46A5"/>
    <w:rsid w:val="00FC501E"/>
    <w:rsid w:val="00FD10CF"/>
    <w:rsid w:val="00FD62BA"/>
    <w:rsid w:val="00FE0130"/>
    <w:rsid w:val="00FE2410"/>
    <w:rsid w:val="00FE5044"/>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A369FD"/>
    <w:pPr>
      <w:outlineLvl w:val="3"/>
    </w:pPr>
    <w:rPr>
      <w:b/>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character" w:customStyle="1" w:styleId="Heading4Char">
    <w:name w:val="Heading 4 Char"/>
    <w:basedOn w:val="DefaultParagraphFont"/>
    <w:link w:val="Heading4"/>
    <w:uiPriority w:val="9"/>
    <w:rsid w:val="00A369FD"/>
    <w:rPr>
      <w:rFonts w:ascii="Times New Roman" w:hAnsi="Times New Roman"/>
      <w:b/>
      <w:sz w:val="24"/>
      <w:u w:val="single"/>
    </w:rPr>
  </w:style>
  <w:style w:type="paragraph" w:styleId="TOCHeading">
    <w:name w:val="TOC Heading"/>
    <w:basedOn w:val="Heading1"/>
    <w:next w:val="Normal"/>
    <w:uiPriority w:val="39"/>
    <w:unhideWhenUsed/>
    <w:qFormat/>
    <w:rsid w:val="00F45B30"/>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F45B30"/>
    <w:pPr>
      <w:spacing w:after="100"/>
    </w:pPr>
  </w:style>
  <w:style w:type="paragraph" w:styleId="TOC2">
    <w:name w:val="toc 2"/>
    <w:basedOn w:val="Normal"/>
    <w:next w:val="Normal"/>
    <w:autoRedefine/>
    <w:uiPriority w:val="39"/>
    <w:unhideWhenUsed/>
    <w:rsid w:val="00F45B30"/>
    <w:pPr>
      <w:spacing w:after="100"/>
      <w:ind w:left="240"/>
    </w:pPr>
  </w:style>
  <w:style w:type="paragraph" w:styleId="TOC3">
    <w:name w:val="toc 3"/>
    <w:basedOn w:val="Normal"/>
    <w:next w:val="Normal"/>
    <w:autoRedefine/>
    <w:uiPriority w:val="39"/>
    <w:unhideWhenUsed/>
    <w:rsid w:val="00F45B3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327917">
      <w:bodyDiv w:val="1"/>
      <w:marLeft w:val="0"/>
      <w:marRight w:val="0"/>
      <w:marTop w:val="0"/>
      <w:marBottom w:val="0"/>
      <w:divBdr>
        <w:top w:val="none" w:sz="0" w:space="0" w:color="auto"/>
        <w:left w:val="none" w:sz="0" w:space="0" w:color="auto"/>
        <w:bottom w:val="none" w:sz="0" w:space="0" w:color="auto"/>
        <w:right w:val="none" w:sz="0" w:space="0" w:color="auto"/>
      </w:divBdr>
      <w:divsChild>
        <w:div w:id="1590507938">
          <w:marLeft w:val="0"/>
          <w:marRight w:val="0"/>
          <w:marTop w:val="0"/>
          <w:marBottom w:val="0"/>
          <w:divBdr>
            <w:top w:val="none" w:sz="0" w:space="0" w:color="auto"/>
            <w:left w:val="none" w:sz="0" w:space="0" w:color="auto"/>
            <w:bottom w:val="none" w:sz="0" w:space="0" w:color="auto"/>
            <w:right w:val="none" w:sz="0" w:space="0" w:color="auto"/>
          </w:divBdr>
        </w:div>
      </w:divsChild>
    </w:div>
    <w:div w:id="1459495383">
      <w:bodyDiv w:val="1"/>
      <w:marLeft w:val="0"/>
      <w:marRight w:val="0"/>
      <w:marTop w:val="0"/>
      <w:marBottom w:val="0"/>
      <w:divBdr>
        <w:top w:val="none" w:sz="0" w:space="0" w:color="auto"/>
        <w:left w:val="none" w:sz="0" w:space="0" w:color="auto"/>
        <w:bottom w:val="none" w:sz="0" w:space="0" w:color="auto"/>
        <w:right w:val="none" w:sz="0" w:space="0" w:color="auto"/>
      </w:divBdr>
      <w:divsChild>
        <w:div w:id="3849892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about-us/news-and-views/30-people-living-type-2-diabetes-england-are-undiagnosed-ons-analysis-shows" TargetMode="External"/><Relationship Id="rId13" Type="http://schemas.openxmlformats.org/officeDocument/2006/relationships/hyperlink" Target="https://www.ons.gov.uk/peoplepopulationandcommunity/healthandsocialcare/disability/articles/disabledpeoplesaccesstoproductsandservicesgreatbritain/februarytomarch2022"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ons.gov.uk/peoplepopulationandcommunity/healthandsocialcare/disability/articles/outcomesfordisabledpeopleintheuk/2021/previous/v1"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who.int/news-room/fact-sheets/detail/diabet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cbp-9602/"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2024/06/nhs-identifies-over-half-a-million-more-people-at-risk-of-type-2-diabetes-in-a-year/" TargetMode="External"/><Relationship Id="rId23" Type="http://schemas.openxmlformats.org/officeDocument/2006/relationships/fontTable" Target="fontTable.xml"/><Relationship Id="rId10" Type="http://schemas.openxmlformats.org/officeDocument/2006/relationships/hyperlink" Target="https://www.gov.uk/government/statistics/the-employment-of-disabled-people-2024/the-employment-of-disabled-people-2024"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legislation.gov.uk/ukpga/2010/15/contents" TargetMode="External"/><Relationship Id="rId14" Type="http://schemas.openxmlformats.org/officeDocument/2006/relationships/hyperlink" Target="https://www.gov.uk/government/publications/health-matters-preventing-cardiovascular-disease/health-matters-preventing-cardiovascular-disease"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81204-1B57-45D0-839A-1D0B8DCF7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16</Pages>
  <Words>4587</Words>
  <Characters>26149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Nadeie Seaied (2212621)</cp:lastModifiedBy>
  <cp:revision>3</cp:revision>
  <dcterms:created xsi:type="dcterms:W3CDTF">2025-10-21T09:07:00Z</dcterms:created>
  <dcterms:modified xsi:type="dcterms:W3CDTF">2025-11-04T09:36:00Z</dcterms:modified>
</cp:coreProperties>
</file>