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4AC62" w14:textId="77777777" w:rsidR="00B2111F" w:rsidRDefault="00000000">
      <w:pPr>
        <w:jc w:val="center"/>
      </w:pPr>
      <w:r>
        <w:rPr>
          <w:noProof/>
        </w:rPr>
        <w:drawing>
          <wp:inline distT="0" distB="0" distL="0" distR="0" wp14:anchorId="77538AA3" wp14:editId="5AFA79D6">
            <wp:extent cx="3381375" cy="13525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3381375" cy="1352550"/>
                    </a:xfrm>
                    <a:prstGeom prst="rect">
                      <a:avLst/>
                    </a:prstGeom>
                    <a:ln/>
                  </pic:spPr>
                </pic:pic>
              </a:graphicData>
            </a:graphic>
          </wp:inline>
        </w:drawing>
      </w:r>
    </w:p>
    <w:p w14:paraId="5E862702" w14:textId="77777777" w:rsidR="00B2111F" w:rsidRDefault="00B2111F">
      <w:pPr>
        <w:jc w:val="center"/>
      </w:pPr>
    </w:p>
    <w:p w14:paraId="5B9357DC" w14:textId="77777777" w:rsidR="00B2111F" w:rsidRDefault="00B2111F"/>
    <w:p w14:paraId="3E9E6E7C" w14:textId="20EEF75B" w:rsidR="00B2111F" w:rsidRDefault="00000000">
      <w:pPr>
        <w:jc w:val="center"/>
        <w:rPr>
          <w:b/>
          <w:bCs/>
          <w:sz w:val="28"/>
          <w:szCs w:val="28"/>
        </w:rPr>
      </w:pPr>
      <w:r>
        <w:rPr>
          <w:b/>
          <w:bCs/>
          <w:sz w:val="28"/>
          <w:szCs w:val="28"/>
        </w:rPr>
        <w:t xml:space="preserve">Student Name: </w:t>
      </w:r>
      <w:r w:rsidR="009C350A" w:rsidRPr="009C350A">
        <w:rPr>
          <w:b/>
          <w:bCs/>
          <w:sz w:val="28"/>
          <w:szCs w:val="28"/>
        </w:rPr>
        <w:t>Amit Jagdishbhai Jikadra</w:t>
      </w:r>
    </w:p>
    <w:p w14:paraId="5F016389" w14:textId="77777777" w:rsidR="00B2111F" w:rsidRDefault="00000000">
      <w:pPr>
        <w:jc w:val="center"/>
        <w:rPr>
          <w:b/>
          <w:bCs/>
          <w:sz w:val="28"/>
          <w:szCs w:val="28"/>
        </w:rPr>
      </w:pPr>
      <w:r>
        <w:rPr>
          <w:b/>
          <w:bCs/>
          <w:sz w:val="28"/>
          <w:szCs w:val="28"/>
        </w:rPr>
        <w:t>Student ID: 2526285</w:t>
      </w:r>
    </w:p>
    <w:p w14:paraId="53546C77" w14:textId="77777777" w:rsidR="00B2111F" w:rsidRDefault="00B2111F">
      <w:pPr>
        <w:jc w:val="left"/>
        <w:rPr>
          <w:b/>
          <w:bCs/>
          <w:sz w:val="28"/>
          <w:szCs w:val="28"/>
        </w:rPr>
      </w:pPr>
    </w:p>
    <w:p w14:paraId="57C0E862" w14:textId="2D8AFBDE" w:rsidR="00B2111F" w:rsidRDefault="00000000" w:rsidP="009C350A">
      <w:pPr>
        <w:jc w:val="center"/>
        <w:rPr>
          <w:b/>
          <w:bCs/>
          <w:sz w:val="28"/>
          <w:szCs w:val="28"/>
        </w:rPr>
      </w:pPr>
      <w:r>
        <w:rPr>
          <w:b/>
          <w:bCs/>
          <w:sz w:val="28"/>
          <w:szCs w:val="28"/>
        </w:rPr>
        <w:t xml:space="preserve">Module Name: </w:t>
      </w:r>
      <w:r w:rsidR="009C350A" w:rsidRPr="009C350A">
        <w:rPr>
          <w:b/>
          <w:bCs/>
          <w:sz w:val="28"/>
          <w:szCs w:val="28"/>
          <w:lang w:val="en-IN"/>
        </w:rPr>
        <w:t>Human Capital Management</w:t>
      </w:r>
    </w:p>
    <w:p w14:paraId="1E9FDC62" w14:textId="74C1421A" w:rsidR="00B2111F" w:rsidRDefault="00000000">
      <w:pPr>
        <w:jc w:val="center"/>
        <w:rPr>
          <w:b/>
          <w:bCs/>
          <w:sz w:val="28"/>
          <w:szCs w:val="28"/>
        </w:rPr>
      </w:pPr>
      <w:r>
        <w:rPr>
          <w:b/>
          <w:bCs/>
          <w:sz w:val="28"/>
          <w:szCs w:val="28"/>
        </w:rPr>
        <w:t>Module Code: LCMB702</w:t>
      </w:r>
      <w:r w:rsidR="009C350A">
        <w:rPr>
          <w:b/>
          <w:bCs/>
          <w:sz w:val="28"/>
          <w:szCs w:val="28"/>
        </w:rPr>
        <w:t>3</w:t>
      </w:r>
    </w:p>
    <w:p w14:paraId="715BB8C6" w14:textId="77777777" w:rsidR="009C350A" w:rsidRDefault="009C350A">
      <w:pPr>
        <w:jc w:val="center"/>
        <w:rPr>
          <w:b/>
          <w:bCs/>
          <w:sz w:val="28"/>
          <w:szCs w:val="28"/>
        </w:rPr>
      </w:pPr>
    </w:p>
    <w:p w14:paraId="75D65AD7" w14:textId="04A26269" w:rsidR="00B2111F" w:rsidRDefault="00000000">
      <w:pPr>
        <w:jc w:val="center"/>
        <w:rPr>
          <w:b/>
          <w:bCs/>
          <w:sz w:val="28"/>
          <w:szCs w:val="28"/>
        </w:rPr>
      </w:pPr>
      <w:r>
        <w:rPr>
          <w:b/>
          <w:bCs/>
          <w:sz w:val="28"/>
          <w:szCs w:val="28"/>
        </w:rPr>
        <w:t xml:space="preserve">Lecturer’s Name: </w:t>
      </w:r>
      <w:r w:rsidR="009C350A" w:rsidRPr="009C350A">
        <w:rPr>
          <w:b/>
          <w:bCs/>
          <w:sz w:val="28"/>
          <w:szCs w:val="28"/>
        </w:rPr>
        <w:t>Dr. Charles Oham</w:t>
      </w:r>
    </w:p>
    <w:p w14:paraId="3B67CFA2" w14:textId="77777777" w:rsidR="00B2111F" w:rsidRDefault="00B2111F">
      <w:pPr>
        <w:jc w:val="center"/>
        <w:rPr>
          <w:b/>
          <w:bCs/>
          <w:sz w:val="28"/>
          <w:szCs w:val="28"/>
        </w:rPr>
      </w:pPr>
    </w:p>
    <w:p w14:paraId="1895587D" w14:textId="77777777" w:rsidR="00B2111F" w:rsidRDefault="00000000">
      <w:pPr>
        <w:jc w:val="center"/>
        <w:rPr>
          <w:b/>
          <w:bCs/>
          <w:sz w:val="28"/>
          <w:szCs w:val="28"/>
        </w:rPr>
      </w:pPr>
      <w:r>
        <w:rPr>
          <w:b/>
          <w:bCs/>
          <w:sz w:val="28"/>
          <w:szCs w:val="28"/>
        </w:rPr>
        <w:t>Work Count: 2452</w:t>
      </w:r>
    </w:p>
    <w:p w14:paraId="4F8597A2" w14:textId="77777777" w:rsidR="009C350A" w:rsidRDefault="009C350A">
      <w:pPr>
        <w:jc w:val="center"/>
        <w:rPr>
          <w:b/>
          <w:bCs/>
          <w:sz w:val="28"/>
          <w:szCs w:val="28"/>
        </w:rPr>
      </w:pPr>
    </w:p>
    <w:p w14:paraId="347076B2" w14:textId="77777777" w:rsidR="00B2111F" w:rsidRDefault="00000000">
      <w:pPr>
        <w:jc w:val="center"/>
        <w:rPr>
          <w:b/>
          <w:bCs/>
          <w:sz w:val="32"/>
          <w:szCs w:val="32"/>
        </w:rPr>
      </w:pPr>
      <w:r>
        <w:rPr>
          <w:b/>
          <w:bCs/>
          <w:sz w:val="28"/>
          <w:szCs w:val="28"/>
        </w:rPr>
        <w:t>Term 1</w:t>
      </w:r>
    </w:p>
    <w:p w14:paraId="598668D9" w14:textId="77777777" w:rsidR="00B2111F" w:rsidRDefault="00B2111F">
      <w:pPr>
        <w:jc w:val="center"/>
        <w:rPr>
          <w:b/>
          <w:bCs/>
          <w:sz w:val="32"/>
          <w:szCs w:val="32"/>
        </w:rPr>
      </w:pPr>
    </w:p>
    <w:p w14:paraId="1471330A" w14:textId="77777777" w:rsidR="00B2111F" w:rsidRDefault="00B2111F">
      <w:pPr>
        <w:jc w:val="center"/>
        <w:rPr>
          <w:b/>
          <w:bCs/>
          <w:sz w:val="32"/>
          <w:szCs w:val="32"/>
        </w:rPr>
      </w:pPr>
    </w:p>
    <w:p w14:paraId="55BFB0D1" w14:textId="77777777" w:rsidR="00B2111F" w:rsidRDefault="00B2111F">
      <w:pPr>
        <w:jc w:val="center"/>
        <w:rPr>
          <w:b/>
          <w:bCs/>
          <w:sz w:val="32"/>
          <w:szCs w:val="32"/>
        </w:rPr>
      </w:pPr>
    </w:p>
    <w:p w14:paraId="35EF25E2" w14:textId="2A9AC2EE" w:rsidR="00B2111F" w:rsidRDefault="00B2111F">
      <w:pPr>
        <w:spacing w:before="480" w:after="120"/>
      </w:pPr>
    </w:p>
    <w:p w14:paraId="73D949EA" w14:textId="77777777" w:rsidR="009E12FF" w:rsidRDefault="009E12FF" w:rsidP="009E12FF">
      <w:pPr>
        <w:jc w:val="center"/>
        <w:rPr>
          <w:b/>
          <w:bCs/>
          <w:sz w:val="28"/>
          <w:szCs w:val="28"/>
        </w:rPr>
      </w:pPr>
    </w:p>
    <w:p w14:paraId="71DBD20A" w14:textId="77777777" w:rsidR="009E12FF" w:rsidRDefault="009E12FF" w:rsidP="009E12FF">
      <w:pPr>
        <w:jc w:val="center"/>
        <w:rPr>
          <w:b/>
          <w:bCs/>
          <w:sz w:val="28"/>
          <w:szCs w:val="28"/>
        </w:rPr>
      </w:pPr>
    </w:p>
    <w:p w14:paraId="71BF4193" w14:textId="77777777" w:rsidR="009E12FF" w:rsidRDefault="009E12FF" w:rsidP="009E12FF">
      <w:pPr>
        <w:jc w:val="center"/>
        <w:rPr>
          <w:b/>
          <w:bCs/>
          <w:sz w:val="28"/>
          <w:szCs w:val="28"/>
        </w:rPr>
      </w:pPr>
    </w:p>
    <w:p w14:paraId="2B1CFF56" w14:textId="77777777" w:rsidR="009E12FF" w:rsidRDefault="009E12FF" w:rsidP="009E12FF">
      <w:pPr>
        <w:jc w:val="center"/>
        <w:rPr>
          <w:b/>
          <w:bCs/>
          <w:sz w:val="28"/>
          <w:szCs w:val="28"/>
        </w:rPr>
      </w:pPr>
    </w:p>
    <w:p w14:paraId="45571BA4" w14:textId="77777777" w:rsidR="009E12FF" w:rsidRDefault="009E12FF" w:rsidP="009E12FF">
      <w:pPr>
        <w:jc w:val="center"/>
        <w:rPr>
          <w:b/>
          <w:bCs/>
          <w:sz w:val="28"/>
          <w:szCs w:val="28"/>
        </w:rPr>
      </w:pPr>
    </w:p>
    <w:p w14:paraId="6C367B08" w14:textId="77777777" w:rsidR="009E12FF" w:rsidRDefault="009E12FF" w:rsidP="009E12FF">
      <w:pPr>
        <w:jc w:val="center"/>
        <w:rPr>
          <w:b/>
          <w:bCs/>
          <w:sz w:val="28"/>
          <w:szCs w:val="28"/>
        </w:rPr>
      </w:pPr>
    </w:p>
    <w:p w14:paraId="7C16E3E2" w14:textId="77777777" w:rsidR="009E12FF" w:rsidRDefault="009E12FF" w:rsidP="009E12FF">
      <w:pPr>
        <w:jc w:val="center"/>
        <w:rPr>
          <w:b/>
          <w:bCs/>
          <w:sz w:val="28"/>
          <w:szCs w:val="28"/>
        </w:rPr>
      </w:pPr>
    </w:p>
    <w:p w14:paraId="1FA29A0F" w14:textId="77777777" w:rsidR="009E12FF" w:rsidRDefault="009E12FF" w:rsidP="009E12FF">
      <w:pPr>
        <w:jc w:val="center"/>
        <w:rPr>
          <w:b/>
          <w:bCs/>
          <w:sz w:val="28"/>
          <w:szCs w:val="28"/>
        </w:rPr>
      </w:pPr>
    </w:p>
    <w:p w14:paraId="72E6A73D" w14:textId="77777777" w:rsidR="009E12FF" w:rsidRDefault="009E12FF" w:rsidP="009E12FF">
      <w:pPr>
        <w:jc w:val="center"/>
        <w:rPr>
          <w:b/>
          <w:bCs/>
          <w:sz w:val="28"/>
          <w:szCs w:val="28"/>
        </w:rPr>
      </w:pPr>
    </w:p>
    <w:p w14:paraId="328D0E6B" w14:textId="3BFCF8EE" w:rsidR="009E12FF" w:rsidRDefault="009E12FF" w:rsidP="009E12FF">
      <w:pPr>
        <w:jc w:val="center"/>
        <w:rPr>
          <w:b/>
          <w:bCs/>
          <w:sz w:val="28"/>
          <w:szCs w:val="28"/>
        </w:rPr>
      </w:pPr>
      <w:r w:rsidRPr="00A96694">
        <w:rPr>
          <w:b/>
          <w:bCs/>
          <w:color w:val="0070C0"/>
          <w:sz w:val="28"/>
          <w:szCs w:val="28"/>
        </w:rPr>
        <w:t>Designing an Integrated Talent Ecosystem for Organisational Performance and Future Career Development</w:t>
      </w:r>
      <w:r>
        <w:rPr>
          <w:b/>
          <w:bCs/>
          <w:sz w:val="28"/>
          <w:szCs w:val="28"/>
        </w:rPr>
        <w:br w:type="page"/>
      </w:r>
    </w:p>
    <w:p w14:paraId="686EE500" w14:textId="77777777" w:rsidR="00B2111F" w:rsidRDefault="00000000">
      <w:pPr>
        <w:spacing w:before="480" w:after="120"/>
        <w:jc w:val="center"/>
        <w:rPr>
          <w:b/>
          <w:bCs/>
          <w:sz w:val="28"/>
          <w:szCs w:val="28"/>
        </w:rPr>
      </w:pPr>
      <w:r>
        <w:rPr>
          <w:b/>
          <w:bCs/>
          <w:sz w:val="28"/>
          <w:szCs w:val="28"/>
        </w:rPr>
        <w:lastRenderedPageBreak/>
        <w:t>TABLE OF CONTENT</w:t>
      </w:r>
    </w:p>
    <w:sdt>
      <w:sdtPr>
        <w:id w:val="-1872167951"/>
        <w:docPartObj>
          <w:docPartGallery w:val="Table of Contents"/>
          <w:docPartUnique/>
        </w:docPartObj>
      </w:sdtPr>
      <w:sdtContent>
        <w:p w14:paraId="40FCB594" w14:textId="1F5AC0AF" w:rsidR="009E12FF" w:rsidRDefault="00000000">
          <w:pPr>
            <w:pStyle w:val="TOC1"/>
            <w:tabs>
              <w:tab w:val="right" w:pos="9019"/>
            </w:tabs>
            <w:rPr>
              <w:noProof/>
            </w:rPr>
          </w:pPr>
          <w:r>
            <w:fldChar w:fldCharType="begin"/>
          </w:r>
          <w:r>
            <w:instrText xml:space="preserve"> TOC \h \u \z \t "Heading 1,1,Heading 2,2,Heading 3,3,Heading 4,4,Heading 5,5,Heading 6,6,"</w:instrText>
          </w:r>
          <w:r>
            <w:fldChar w:fldCharType="separate"/>
          </w:r>
          <w:hyperlink w:anchor="_Toc224830539" w:history="1">
            <w:r w:rsidR="009E12FF" w:rsidRPr="008653B3">
              <w:rPr>
                <w:rStyle w:val="Hyperlink"/>
                <w:noProof/>
              </w:rPr>
              <w:t>Part 1 – Designing the Talent Ecosystem at Aether Innovations</w:t>
            </w:r>
            <w:r w:rsidR="009E12FF">
              <w:rPr>
                <w:noProof/>
                <w:webHidden/>
              </w:rPr>
              <w:tab/>
            </w:r>
            <w:r w:rsidR="009E12FF">
              <w:rPr>
                <w:noProof/>
                <w:webHidden/>
              </w:rPr>
              <w:fldChar w:fldCharType="begin"/>
            </w:r>
            <w:r w:rsidR="009E12FF">
              <w:rPr>
                <w:noProof/>
                <w:webHidden/>
              </w:rPr>
              <w:instrText xml:space="preserve"> PAGEREF _Toc224830539 \h </w:instrText>
            </w:r>
            <w:r w:rsidR="009E12FF">
              <w:rPr>
                <w:noProof/>
                <w:webHidden/>
              </w:rPr>
            </w:r>
            <w:r w:rsidR="009E12FF">
              <w:rPr>
                <w:noProof/>
                <w:webHidden/>
              </w:rPr>
              <w:fldChar w:fldCharType="separate"/>
            </w:r>
            <w:r w:rsidR="001A7274">
              <w:rPr>
                <w:noProof/>
                <w:webHidden/>
              </w:rPr>
              <w:t>4</w:t>
            </w:r>
            <w:r w:rsidR="009E12FF">
              <w:rPr>
                <w:noProof/>
                <w:webHidden/>
              </w:rPr>
              <w:fldChar w:fldCharType="end"/>
            </w:r>
          </w:hyperlink>
        </w:p>
        <w:p w14:paraId="39CECFB9" w14:textId="37DA909F" w:rsidR="009E12FF" w:rsidRDefault="009E12FF">
          <w:pPr>
            <w:pStyle w:val="TOC2"/>
            <w:tabs>
              <w:tab w:val="right" w:pos="9019"/>
            </w:tabs>
            <w:rPr>
              <w:noProof/>
            </w:rPr>
          </w:pPr>
          <w:hyperlink w:anchor="_Toc224830540" w:history="1">
            <w:r w:rsidRPr="008653B3">
              <w:rPr>
                <w:rStyle w:val="Hyperlink"/>
                <w:noProof/>
              </w:rPr>
              <w:t>1. Introduction</w:t>
            </w:r>
            <w:r>
              <w:rPr>
                <w:noProof/>
                <w:webHidden/>
              </w:rPr>
              <w:tab/>
            </w:r>
            <w:r>
              <w:rPr>
                <w:noProof/>
                <w:webHidden/>
              </w:rPr>
              <w:fldChar w:fldCharType="begin"/>
            </w:r>
            <w:r>
              <w:rPr>
                <w:noProof/>
                <w:webHidden/>
              </w:rPr>
              <w:instrText xml:space="preserve"> PAGEREF _Toc224830540 \h </w:instrText>
            </w:r>
            <w:r>
              <w:rPr>
                <w:noProof/>
                <w:webHidden/>
              </w:rPr>
            </w:r>
            <w:r>
              <w:rPr>
                <w:noProof/>
                <w:webHidden/>
              </w:rPr>
              <w:fldChar w:fldCharType="separate"/>
            </w:r>
            <w:r w:rsidR="001A7274">
              <w:rPr>
                <w:noProof/>
                <w:webHidden/>
              </w:rPr>
              <w:t>4</w:t>
            </w:r>
            <w:r>
              <w:rPr>
                <w:noProof/>
                <w:webHidden/>
              </w:rPr>
              <w:fldChar w:fldCharType="end"/>
            </w:r>
          </w:hyperlink>
        </w:p>
        <w:p w14:paraId="4E03C7B2" w14:textId="0FEA704D" w:rsidR="009E12FF" w:rsidRDefault="009E12FF">
          <w:pPr>
            <w:pStyle w:val="TOC2"/>
            <w:tabs>
              <w:tab w:val="right" w:pos="9019"/>
            </w:tabs>
            <w:rPr>
              <w:noProof/>
            </w:rPr>
          </w:pPr>
          <w:hyperlink w:anchor="_Toc224830541" w:history="1">
            <w:r w:rsidRPr="008653B3">
              <w:rPr>
                <w:rStyle w:val="Hyperlink"/>
                <w:noProof/>
              </w:rPr>
              <w:t>2. Talent Ecosystems in the Technology Sector</w:t>
            </w:r>
            <w:r>
              <w:rPr>
                <w:noProof/>
                <w:webHidden/>
              </w:rPr>
              <w:tab/>
            </w:r>
            <w:r>
              <w:rPr>
                <w:noProof/>
                <w:webHidden/>
              </w:rPr>
              <w:fldChar w:fldCharType="begin"/>
            </w:r>
            <w:r>
              <w:rPr>
                <w:noProof/>
                <w:webHidden/>
              </w:rPr>
              <w:instrText xml:space="preserve"> PAGEREF _Toc224830541 \h </w:instrText>
            </w:r>
            <w:r>
              <w:rPr>
                <w:noProof/>
                <w:webHidden/>
              </w:rPr>
            </w:r>
            <w:r>
              <w:rPr>
                <w:noProof/>
                <w:webHidden/>
              </w:rPr>
              <w:fldChar w:fldCharType="separate"/>
            </w:r>
            <w:r w:rsidR="001A7274">
              <w:rPr>
                <w:noProof/>
                <w:webHidden/>
              </w:rPr>
              <w:t>4</w:t>
            </w:r>
            <w:r>
              <w:rPr>
                <w:noProof/>
                <w:webHidden/>
              </w:rPr>
              <w:fldChar w:fldCharType="end"/>
            </w:r>
          </w:hyperlink>
        </w:p>
        <w:p w14:paraId="0210C931" w14:textId="31F26CF9" w:rsidR="009E12FF" w:rsidRDefault="009E12FF">
          <w:pPr>
            <w:pStyle w:val="TOC2"/>
            <w:tabs>
              <w:tab w:val="right" w:pos="9019"/>
            </w:tabs>
            <w:rPr>
              <w:noProof/>
            </w:rPr>
          </w:pPr>
          <w:hyperlink w:anchor="_Toc224830542" w:history="1">
            <w:r w:rsidRPr="008653B3">
              <w:rPr>
                <w:rStyle w:val="Hyperlink"/>
                <w:noProof/>
              </w:rPr>
              <w:t>3. Build-Versus-Buy Talent Strategy</w:t>
            </w:r>
            <w:r>
              <w:rPr>
                <w:noProof/>
                <w:webHidden/>
              </w:rPr>
              <w:tab/>
            </w:r>
            <w:r>
              <w:rPr>
                <w:noProof/>
                <w:webHidden/>
              </w:rPr>
              <w:fldChar w:fldCharType="begin"/>
            </w:r>
            <w:r>
              <w:rPr>
                <w:noProof/>
                <w:webHidden/>
              </w:rPr>
              <w:instrText xml:space="preserve"> PAGEREF _Toc224830542 \h </w:instrText>
            </w:r>
            <w:r>
              <w:rPr>
                <w:noProof/>
                <w:webHidden/>
              </w:rPr>
            </w:r>
            <w:r>
              <w:rPr>
                <w:noProof/>
                <w:webHidden/>
              </w:rPr>
              <w:fldChar w:fldCharType="separate"/>
            </w:r>
            <w:r w:rsidR="001A7274">
              <w:rPr>
                <w:noProof/>
                <w:webHidden/>
              </w:rPr>
              <w:t>5</w:t>
            </w:r>
            <w:r>
              <w:rPr>
                <w:noProof/>
                <w:webHidden/>
              </w:rPr>
              <w:fldChar w:fldCharType="end"/>
            </w:r>
          </w:hyperlink>
        </w:p>
        <w:p w14:paraId="590301E4" w14:textId="32A06ECB" w:rsidR="009E12FF" w:rsidRDefault="009E12FF">
          <w:pPr>
            <w:pStyle w:val="TOC2"/>
            <w:tabs>
              <w:tab w:val="right" w:pos="9019"/>
            </w:tabs>
            <w:rPr>
              <w:noProof/>
            </w:rPr>
          </w:pPr>
          <w:hyperlink w:anchor="_Toc224830543" w:history="1">
            <w:r w:rsidRPr="008653B3">
              <w:rPr>
                <w:rStyle w:val="Hyperlink"/>
                <w:noProof/>
              </w:rPr>
              <w:t>4. Mentorship and Leadership Development</w:t>
            </w:r>
            <w:r>
              <w:rPr>
                <w:noProof/>
                <w:webHidden/>
              </w:rPr>
              <w:tab/>
            </w:r>
            <w:r>
              <w:rPr>
                <w:noProof/>
                <w:webHidden/>
              </w:rPr>
              <w:fldChar w:fldCharType="begin"/>
            </w:r>
            <w:r>
              <w:rPr>
                <w:noProof/>
                <w:webHidden/>
              </w:rPr>
              <w:instrText xml:space="preserve"> PAGEREF _Toc224830543 \h </w:instrText>
            </w:r>
            <w:r>
              <w:rPr>
                <w:noProof/>
                <w:webHidden/>
              </w:rPr>
            </w:r>
            <w:r>
              <w:rPr>
                <w:noProof/>
                <w:webHidden/>
              </w:rPr>
              <w:fldChar w:fldCharType="separate"/>
            </w:r>
            <w:r w:rsidR="001A7274">
              <w:rPr>
                <w:noProof/>
                <w:webHidden/>
              </w:rPr>
              <w:t>6</w:t>
            </w:r>
            <w:r>
              <w:rPr>
                <w:noProof/>
                <w:webHidden/>
              </w:rPr>
              <w:fldChar w:fldCharType="end"/>
            </w:r>
          </w:hyperlink>
        </w:p>
        <w:p w14:paraId="636C5E4C" w14:textId="26ADB90A" w:rsidR="009E12FF" w:rsidRDefault="009E12FF">
          <w:pPr>
            <w:pStyle w:val="TOC2"/>
            <w:tabs>
              <w:tab w:val="right" w:pos="9019"/>
            </w:tabs>
            <w:rPr>
              <w:noProof/>
            </w:rPr>
          </w:pPr>
          <w:hyperlink w:anchor="_Toc224830544" w:history="1">
            <w:r w:rsidRPr="008653B3">
              <w:rPr>
                <w:rStyle w:val="Hyperlink"/>
                <w:noProof/>
              </w:rPr>
              <w:t>5. Lifelong Learning and Continuous Development</w:t>
            </w:r>
            <w:r>
              <w:rPr>
                <w:noProof/>
                <w:webHidden/>
              </w:rPr>
              <w:tab/>
            </w:r>
            <w:r>
              <w:rPr>
                <w:noProof/>
                <w:webHidden/>
              </w:rPr>
              <w:fldChar w:fldCharType="begin"/>
            </w:r>
            <w:r>
              <w:rPr>
                <w:noProof/>
                <w:webHidden/>
              </w:rPr>
              <w:instrText xml:space="preserve"> PAGEREF _Toc224830544 \h </w:instrText>
            </w:r>
            <w:r>
              <w:rPr>
                <w:noProof/>
                <w:webHidden/>
              </w:rPr>
            </w:r>
            <w:r>
              <w:rPr>
                <w:noProof/>
                <w:webHidden/>
              </w:rPr>
              <w:fldChar w:fldCharType="separate"/>
            </w:r>
            <w:r w:rsidR="001A7274">
              <w:rPr>
                <w:noProof/>
                <w:webHidden/>
              </w:rPr>
              <w:t>7</w:t>
            </w:r>
            <w:r>
              <w:rPr>
                <w:noProof/>
                <w:webHidden/>
              </w:rPr>
              <w:fldChar w:fldCharType="end"/>
            </w:r>
          </w:hyperlink>
        </w:p>
        <w:p w14:paraId="4F6A6B9D" w14:textId="366436B1" w:rsidR="009E12FF" w:rsidRDefault="009E12FF">
          <w:pPr>
            <w:pStyle w:val="TOC2"/>
            <w:tabs>
              <w:tab w:val="right" w:pos="9019"/>
            </w:tabs>
            <w:rPr>
              <w:noProof/>
            </w:rPr>
          </w:pPr>
          <w:hyperlink w:anchor="_Toc224830545" w:history="1">
            <w:r w:rsidRPr="008653B3">
              <w:rPr>
                <w:rStyle w:val="Hyperlink"/>
                <w:noProof/>
              </w:rPr>
              <w:t>6. Integrated Talent Ecosystem</w:t>
            </w:r>
            <w:r>
              <w:rPr>
                <w:noProof/>
                <w:webHidden/>
              </w:rPr>
              <w:tab/>
            </w:r>
            <w:r>
              <w:rPr>
                <w:noProof/>
                <w:webHidden/>
              </w:rPr>
              <w:fldChar w:fldCharType="begin"/>
            </w:r>
            <w:r>
              <w:rPr>
                <w:noProof/>
                <w:webHidden/>
              </w:rPr>
              <w:instrText xml:space="preserve"> PAGEREF _Toc224830545 \h </w:instrText>
            </w:r>
            <w:r>
              <w:rPr>
                <w:noProof/>
                <w:webHidden/>
              </w:rPr>
            </w:r>
            <w:r>
              <w:rPr>
                <w:noProof/>
                <w:webHidden/>
              </w:rPr>
              <w:fldChar w:fldCharType="separate"/>
            </w:r>
            <w:r w:rsidR="001A7274">
              <w:rPr>
                <w:noProof/>
                <w:webHidden/>
              </w:rPr>
              <w:t>8</w:t>
            </w:r>
            <w:r>
              <w:rPr>
                <w:noProof/>
                <w:webHidden/>
              </w:rPr>
              <w:fldChar w:fldCharType="end"/>
            </w:r>
          </w:hyperlink>
        </w:p>
        <w:p w14:paraId="40AF565A" w14:textId="4A40C75B" w:rsidR="009E12FF" w:rsidRDefault="009E12FF">
          <w:pPr>
            <w:pStyle w:val="TOC2"/>
            <w:tabs>
              <w:tab w:val="right" w:pos="9019"/>
            </w:tabs>
            <w:rPr>
              <w:noProof/>
            </w:rPr>
          </w:pPr>
          <w:hyperlink w:anchor="_Toc224830546" w:history="1">
            <w:r w:rsidRPr="008653B3">
              <w:rPr>
                <w:rStyle w:val="Hyperlink"/>
                <w:noProof/>
              </w:rPr>
              <w:t>7. Conclusion</w:t>
            </w:r>
            <w:r>
              <w:rPr>
                <w:noProof/>
                <w:webHidden/>
              </w:rPr>
              <w:tab/>
            </w:r>
            <w:r>
              <w:rPr>
                <w:noProof/>
                <w:webHidden/>
              </w:rPr>
              <w:fldChar w:fldCharType="begin"/>
            </w:r>
            <w:r>
              <w:rPr>
                <w:noProof/>
                <w:webHidden/>
              </w:rPr>
              <w:instrText xml:space="preserve"> PAGEREF _Toc224830546 \h </w:instrText>
            </w:r>
            <w:r>
              <w:rPr>
                <w:noProof/>
                <w:webHidden/>
              </w:rPr>
            </w:r>
            <w:r>
              <w:rPr>
                <w:noProof/>
                <w:webHidden/>
              </w:rPr>
              <w:fldChar w:fldCharType="separate"/>
            </w:r>
            <w:r w:rsidR="001A7274">
              <w:rPr>
                <w:noProof/>
                <w:webHidden/>
              </w:rPr>
              <w:t>8</w:t>
            </w:r>
            <w:r>
              <w:rPr>
                <w:noProof/>
                <w:webHidden/>
              </w:rPr>
              <w:fldChar w:fldCharType="end"/>
            </w:r>
          </w:hyperlink>
        </w:p>
        <w:p w14:paraId="21909F40" w14:textId="79D2A1AC" w:rsidR="009E12FF" w:rsidRDefault="009E12FF">
          <w:pPr>
            <w:pStyle w:val="TOC1"/>
            <w:tabs>
              <w:tab w:val="right" w:pos="9019"/>
            </w:tabs>
            <w:rPr>
              <w:noProof/>
            </w:rPr>
          </w:pPr>
          <w:hyperlink w:anchor="_Toc224830547" w:history="1">
            <w:r w:rsidRPr="008653B3">
              <w:rPr>
                <w:rStyle w:val="Hyperlink"/>
                <w:noProof/>
              </w:rPr>
              <w:t>PART B – Reflection Learning and Future Learning</w:t>
            </w:r>
            <w:r>
              <w:rPr>
                <w:noProof/>
                <w:webHidden/>
              </w:rPr>
              <w:tab/>
            </w:r>
            <w:r>
              <w:rPr>
                <w:noProof/>
                <w:webHidden/>
              </w:rPr>
              <w:fldChar w:fldCharType="begin"/>
            </w:r>
            <w:r>
              <w:rPr>
                <w:noProof/>
                <w:webHidden/>
              </w:rPr>
              <w:instrText xml:space="preserve"> PAGEREF _Toc224830547 \h </w:instrText>
            </w:r>
            <w:r>
              <w:rPr>
                <w:noProof/>
                <w:webHidden/>
              </w:rPr>
            </w:r>
            <w:r>
              <w:rPr>
                <w:noProof/>
                <w:webHidden/>
              </w:rPr>
              <w:fldChar w:fldCharType="separate"/>
            </w:r>
            <w:r w:rsidR="001A7274">
              <w:rPr>
                <w:noProof/>
                <w:webHidden/>
              </w:rPr>
              <w:t>9</w:t>
            </w:r>
            <w:r>
              <w:rPr>
                <w:noProof/>
                <w:webHidden/>
              </w:rPr>
              <w:fldChar w:fldCharType="end"/>
            </w:r>
          </w:hyperlink>
        </w:p>
        <w:p w14:paraId="443A2AF3" w14:textId="00CA3E15" w:rsidR="009E12FF" w:rsidRDefault="009E12FF">
          <w:pPr>
            <w:pStyle w:val="TOC2"/>
            <w:tabs>
              <w:tab w:val="right" w:pos="9019"/>
            </w:tabs>
            <w:rPr>
              <w:noProof/>
            </w:rPr>
          </w:pPr>
          <w:hyperlink w:anchor="_Toc224830548" w:history="1">
            <w:r w:rsidRPr="008653B3">
              <w:rPr>
                <w:rStyle w:val="Hyperlink"/>
                <w:noProof/>
              </w:rPr>
              <w:t>1. Reflection on Learning Using Gibbs’ Reflective Cycle</w:t>
            </w:r>
            <w:r>
              <w:rPr>
                <w:noProof/>
                <w:webHidden/>
              </w:rPr>
              <w:tab/>
            </w:r>
            <w:r>
              <w:rPr>
                <w:noProof/>
                <w:webHidden/>
              </w:rPr>
              <w:fldChar w:fldCharType="begin"/>
            </w:r>
            <w:r>
              <w:rPr>
                <w:noProof/>
                <w:webHidden/>
              </w:rPr>
              <w:instrText xml:space="preserve"> PAGEREF _Toc224830548 \h </w:instrText>
            </w:r>
            <w:r>
              <w:rPr>
                <w:noProof/>
                <w:webHidden/>
              </w:rPr>
            </w:r>
            <w:r>
              <w:rPr>
                <w:noProof/>
                <w:webHidden/>
              </w:rPr>
              <w:fldChar w:fldCharType="separate"/>
            </w:r>
            <w:r w:rsidR="001A7274">
              <w:rPr>
                <w:noProof/>
                <w:webHidden/>
              </w:rPr>
              <w:t>9</w:t>
            </w:r>
            <w:r>
              <w:rPr>
                <w:noProof/>
                <w:webHidden/>
              </w:rPr>
              <w:fldChar w:fldCharType="end"/>
            </w:r>
          </w:hyperlink>
        </w:p>
        <w:p w14:paraId="068E77CF" w14:textId="7CAD288E" w:rsidR="009E12FF" w:rsidRDefault="009E12FF">
          <w:pPr>
            <w:pStyle w:val="TOC3"/>
            <w:tabs>
              <w:tab w:val="right" w:pos="9019"/>
            </w:tabs>
            <w:rPr>
              <w:noProof/>
            </w:rPr>
          </w:pPr>
          <w:hyperlink w:anchor="_Toc224830549" w:history="1">
            <w:r w:rsidRPr="008653B3">
              <w:rPr>
                <w:rStyle w:val="Hyperlink"/>
                <w:noProof/>
              </w:rPr>
              <w:t>Description</w:t>
            </w:r>
            <w:r>
              <w:rPr>
                <w:noProof/>
                <w:webHidden/>
              </w:rPr>
              <w:tab/>
            </w:r>
            <w:r>
              <w:rPr>
                <w:noProof/>
                <w:webHidden/>
              </w:rPr>
              <w:fldChar w:fldCharType="begin"/>
            </w:r>
            <w:r>
              <w:rPr>
                <w:noProof/>
                <w:webHidden/>
              </w:rPr>
              <w:instrText xml:space="preserve"> PAGEREF _Toc224830549 \h </w:instrText>
            </w:r>
            <w:r>
              <w:rPr>
                <w:noProof/>
                <w:webHidden/>
              </w:rPr>
            </w:r>
            <w:r>
              <w:rPr>
                <w:noProof/>
                <w:webHidden/>
              </w:rPr>
              <w:fldChar w:fldCharType="separate"/>
            </w:r>
            <w:r w:rsidR="001A7274">
              <w:rPr>
                <w:noProof/>
                <w:webHidden/>
              </w:rPr>
              <w:t>9</w:t>
            </w:r>
            <w:r>
              <w:rPr>
                <w:noProof/>
                <w:webHidden/>
              </w:rPr>
              <w:fldChar w:fldCharType="end"/>
            </w:r>
          </w:hyperlink>
        </w:p>
        <w:p w14:paraId="2296F746" w14:textId="1C46F0EE" w:rsidR="009E12FF" w:rsidRDefault="009E12FF">
          <w:pPr>
            <w:pStyle w:val="TOC3"/>
            <w:tabs>
              <w:tab w:val="right" w:pos="9019"/>
            </w:tabs>
            <w:rPr>
              <w:noProof/>
            </w:rPr>
          </w:pPr>
          <w:hyperlink w:anchor="_Toc224830550" w:history="1">
            <w:r w:rsidRPr="008653B3">
              <w:rPr>
                <w:rStyle w:val="Hyperlink"/>
                <w:noProof/>
              </w:rPr>
              <w:t>Feelings</w:t>
            </w:r>
            <w:r>
              <w:rPr>
                <w:noProof/>
                <w:webHidden/>
              </w:rPr>
              <w:tab/>
            </w:r>
            <w:r>
              <w:rPr>
                <w:noProof/>
                <w:webHidden/>
              </w:rPr>
              <w:fldChar w:fldCharType="begin"/>
            </w:r>
            <w:r>
              <w:rPr>
                <w:noProof/>
                <w:webHidden/>
              </w:rPr>
              <w:instrText xml:space="preserve"> PAGEREF _Toc224830550 \h </w:instrText>
            </w:r>
            <w:r>
              <w:rPr>
                <w:noProof/>
                <w:webHidden/>
              </w:rPr>
            </w:r>
            <w:r>
              <w:rPr>
                <w:noProof/>
                <w:webHidden/>
              </w:rPr>
              <w:fldChar w:fldCharType="separate"/>
            </w:r>
            <w:r w:rsidR="001A7274">
              <w:rPr>
                <w:noProof/>
                <w:webHidden/>
              </w:rPr>
              <w:t>10</w:t>
            </w:r>
            <w:r>
              <w:rPr>
                <w:noProof/>
                <w:webHidden/>
              </w:rPr>
              <w:fldChar w:fldCharType="end"/>
            </w:r>
          </w:hyperlink>
        </w:p>
        <w:p w14:paraId="1498FF51" w14:textId="4EBA879B" w:rsidR="009E12FF" w:rsidRDefault="009E12FF">
          <w:pPr>
            <w:pStyle w:val="TOC3"/>
            <w:tabs>
              <w:tab w:val="right" w:pos="9019"/>
            </w:tabs>
            <w:rPr>
              <w:noProof/>
            </w:rPr>
          </w:pPr>
          <w:hyperlink w:anchor="_Toc224830551" w:history="1">
            <w:r w:rsidRPr="008653B3">
              <w:rPr>
                <w:rStyle w:val="Hyperlink"/>
                <w:noProof/>
              </w:rPr>
              <w:t>Evaluation</w:t>
            </w:r>
            <w:r>
              <w:rPr>
                <w:noProof/>
                <w:webHidden/>
              </w:rPr>
              <w:tab/>
            </w:r>
            <w:r>
              <w:rPr>
                <w:noProof/>
                <w:webHidden/>
              </w:rPr>
              <w:fldChar w:fldCharType="begin"/>
            </w:r>
            <w:r>
              <w:rPr>
                <w:noProof/>
                <w:webHidden/>
              </w:rPr>
              <w:instrText xml:space="preserve"> PAGEREF _Toc224830551 \h </w:instrText>
            </w:r>
            <w:r>
              <w:rPr>
                <w:noProof/>
                <w:webHidden/>
              </w:rPr>
            </w:r>
            <w:r>
              <w:rPr>
                <w:noProof/>
                <w:webHidden/>
              </w:rPr>
              <w:fldChar w:fldCharType="separate"/>
            </w:r>
            <w:r w:rsidR="001A7274">
              <w:rPr>
                <w:noProof/>
                <w:webHidden/>
              </w:rPr>
              <w:t>10</w:t>
            </w:r>
            <w:r>
              <w:rPr>
                <w:noProof/>
                <w:webHidden/>
              </w:rPr>
              <w:fldChar w:fldCharType="end"/>
            </w:r>
          </w:hyperlink>
        </w:p>
        <w:p w14:paraId="4C877375" w14:textId="12501A74" w:rsidR="009E12FF" w:rsidRDefault="009E12FF">
          <w:pPr>
            <w:pStyle w:val="TOC3"/>
            <w:tabs>
              <w:tab w:val="right" w:pos="9019"/>
            </w:tabs>
            <w:rPr>
              <w:noProof/>
            </w:rPr>
          </w:pPr>
          <w:hyperlink w:anchor="_Toc224830552" w:history="1">
            <w:r w:rsidRPr="008653B3">
              <w:rPr>
                <w:rStyle w:val="Hyperlink"/>
                <w:noProof/>
              </w:rPr>
              <w:t>Analysis</w:t>
            </w:r>
            <w:r>
              <w:rPr>
                <w:noProof/>
                <w:webHidden/>
              </w:rPr>
              <w:tab/>
            </w:r>
            <w:r>
              <w:rPr>
                <w:noProof/>
                <w:webHidden/>
              </w:rPr>
              <w:fldChar w:fldCharType="begin"/>
            </w:r>
            <w:r>
              <w:rPr>
                <w:noProof/>
                <w:webHidden/>
              </w:rPr>
              <w:instrText xml:space="preserve"> PAGEREF _Toc224830552 \h </w:instrText>
            </w:r>
            <w:r>
              <w:rPr>
                <w:noProof/>
                <w:webHidden/>
              </w:rPr>
            </w:r>
            <w:r>
              <w:rPr>
                <w:noProof/>
                <w:webHidden/>
              </w:rPr>
              <w:fldChar w:fldCharType="separate"/>
            </w:r>
            <w:r w:rsidR="001A7274">
              <w:rPr>
                <w:noProof/>
                <w:webHidden/>
              </w:rPr>
              <w:t>10</w:t>
            </w:r>
            <w:r>
              <w:rPr>
                <w:noProof/>
                <w:webHidden/>
              </w:rPr>
              <w:fldChar w:fldCharType="end"/>
            </w:r>
          </w:hyperlink>
        </w:p>
        <w:p w14:paraId="03652FB7" w14:textId="5643AA33" w:rsidR="009E12FF" w:rsidRDefault="009E12FF">
          <w:pPr>
            <w:pStyle w:val="TOC3"/>
            <w:tabs>
              <w:tab w:val="right" w:pos="9019"/>
            </w:tabs>
            <w:rPr>
              <w:noProof/>
            </w:rPr>
          </w:pPr>
          <w:hyperlink w:anchor="_Toc224830553" w:history="1">
            <w:r w:rsidRPr="008653B3">
              <w:rPr>
                <w:rStyle w:val="Hyperlink"/>
                <w:noProof/>
              </w:rPr>
              <w:t>Conclusion</w:t>
            </w:r>
            <w:r>
              <w:rPr>
                <w:noProof/>
                <w:webHidden/>
              </w:rPr>
              <w:tab/>
            </w:r>
            <w:r>
              <w:rPr>
                <w:noProof/>
                <w:webHidden/>
              </w:rPr>
              <w:fldChar w:fldCharType="begin"/>
            </w:r>
            <w:r>
              <w:rPr>
                <w:noProof/>
                <w:webHidden/>
              </w:rPr>
              <w:instrText xml:space="preserve"> PAGEREF _Toc224830553 \h </w:instrText>
            </w:r>
            <w:r>
              <w:rPr>
                <w:noProof/>
                <w:webHidden/>
              </w:rPr>
            </w:r>
            <w:r>
              <w:rPr>
                <w:noProof/>
                <w:webHidden/>
              </w:rPr>
              <w:fldChar w:fldCharType="separate"/>
            </w:r>
            <w:r w:rsidR="001A7274">
              <w:rPr>
                <w:noProof/>
                <w:webHidden/>
              </w:rPr>
              <w:t>11</w:t>
            </w:r>
            <w:r>
              <w:rPr>
                <w:noProof/>
                <w:webHidden/>
              </w:rPr>
              <w:fldChar w:fldCharType="end"/>
            </w:r>
          </w:hyperlink>
        </w:p>
        <w:p w14:paraId="5BE43BA6" w14:textId="0270017D" w:rsidR="009E12FF" w:rsidRDefault="009E12FF">
          <w:pPr>
            <w:pStyle w:val="TOC2"/>
            <w:tabs>
              <w:tab w:val="right" w:pos="9019"/>
            </w:tabs>
            <w:rPr>
              <w:noProof/>
            </w:rPr>
          </w:pPr>
          <w:hyperlink w:anchor="_Toc224830554" w:history="1">
            <w:r w:rsidRPr="008653B3">
              <w:rPr>
                <w:rStyle w:val="Hyperlink"/>
                <w:noProof/>
              </w:rPr>
              <w:t>2. Future Learning and Remaining Relevant in the Age of AI</w:t>
            </w:r>
            <w:r>
              <w:rPr>
                <w:noProof/>
                <w:webHidden/>
              </w:rPr>
              <w:tab/>
            </w:r>
            <w:r>
              <w:rPr>
                <w:noProof/>
                <w:webHidden/>
              </w:rPr>
              <w:fldChar w:fldCharType="begin"/>
            </w:r>
            <w:r>
              <w:rPr>
                <w:noProof/>
                <w:webHidden/>
              </w:rPr>
              <w:instrText xml:space="preserve"> PAGEREF _Toc224830554 \h </w:instrText>
            </w:r>
            <w:r>
              <w:rPr>
                <w:noProof/>
                <w:webHidden/>
              </w:rPr>
            </w:r>
            <w:r>
              <w:rPr>
                <w:noProof/>
                <w:webHidden/>
              </w:rPr>
              <w:fldChar w:fldCharType="separate"/>
            </w:r>
            <w:r w:rsidR="001A7274">
              <w:rPr>
                <w:noProof/>
                <w:webHidden/>
              </w:rPr>
              <w:t>11</w:t>
            </w:r>
            <w:r>
              <w:rPr>
                <w:noProof/>
                <w:webHidden/>
              </w:rPr>
              <w:fldChar w:fldCharType="end"/>
            </w:r>
          </w:hyperlink>
        </w:p>
        <w:p w14:paraId="5DD123AC" w14:textId="7809273E" w:rsidR="009E12FF" w:rsidRDefault="009E12FF">
          <w:pPr>
            <w:pStyle w:val="TOC1"/>
            <w:tabs>
              <w:tab w:val="right" w:pos="9019"/>
            </w:tabs>
            <w:rPr>
              <w:noProof/>
            </w:rPr>
          </w:pPr>
          <w:hyperlink w:anchor="_Toc224830555" w:history="1">
            <w:r w:rsidRPr="008653B3">
              <w:rPr>
                <w:rStyle w:val="Hyperlink"/>
                <w:noProof/>
              </w:rPr>
              <w:t>References</w:t>
            </w:r>
            <w:r>
              <w:rPr>
                <w:noProof/>
                <w:webHidden/>
              </w:rPr>
              <w:tab/>
            </w:r>
            <w:r>
              <w:rPr>
                <w:noProof/>
                <w:webHidden/>
              </w:rPr>
              <w:fldChar w:fldCharType="begin"/>
            </w:r>
            <w:r>
              <w:rPr>
                <w:noProof/>
                <w:webHidden/>
              </w:rPr>
              <w:instrText xml:space="preserve"> PAGEREF _Toc224830555 \h </w:instrText>
            </w:r>
            <w:r>
              <w:rPr>
                <w:noProof/>
                <w:webHidden/>
              </w:rPr>
            </w:r>
            <w:r>
              <w:rPr>
                <w:noProof/>
                <w:webHidden/>
              </w:rPr>
              <w:fldChar w:fldCharType="separate"/>
            </w:r>
            <w:r w:rsidR="001A7274">
              <w:rPr>
                <w:noProof/>
                <w:webHidden/>
              </w:rPr>
              <w:t>13</w:t>
            </w:r>
            <w:r>
              <w:rPr>
                <w:noProof/>
                <w:webHidden/>
              </w:rPr>
              <w:fldChar w:fldCharType="end"/>
            </w:r>
          </w:hyperlink>
        </w:p>
        <w:p w14:paraId="2A337278" w14:textId="3B526B8E" w:rsidR="00B2111F" w:rsidRDefault="00000000">
          <w:pPr>
            <w:widowControl w:val="0"/>
            <w:tabs>
              <w:tab w:val="right" w:pos="12000"/>
            </w:tabs>
            <w:spacing w:before="60" w:after="0" w:line="240" w:lineRule="auto"/>
            <w:jc w:val="left"/>
            <w:rPr>
              <w:b/>
              <w:bCs/>
              <w:color w:val="000000"/>
            </w:rPr>
          </w:pPr>
          <w:r>
            <w:fldChar w:fldCharType="end"/>
          </w:r>
        </w:p>
      </w:sdtContent>
    </w:sdt>
    <w:p w14:paraId="12BB29DB" w14:textId="77777777" w:rsidR="00B2111F" w:rsidRDefault="00000000">
      <w:pPr>
        <w:spacing w:before="480" w:after="120"/>
      </w:pPr>
      <w:r>
        <w:br w:type="page"/>
      </w:r>
    </w:p>
    <w:p w14:paraId="31417C3E" w14:textId="77777777" w:rsidR="00B2111F" w:rsidRDefault="00000000">
      <w:pPr>
        <w:pStyle w:val="Heading1"/>
      </w:pPr>
      <w:bookmarkStart w:id="0" w:name="_Toc224830539"/>
      <w:r>
        <w:lastRenderedPageBreak/>
        <w:t>Part 1 – Designing the Talent Ecosystem at Aether Innovations</w:t>
      </w:r>
      <w:bookmarkEnd w:id="0"/>
    </w:p>
    <w:p w14:paraId="38482D84" w14:textId="77777777" w:rsidR="00B2111F" w:rsidRDefault="00000000">
      <w:pPr>
        <w:pStyle w:val="Heading2"/>
      </w:pPr>
      <w:bookmarkStart w:id="1" w:name="_Toc224830540"/>
      <w:r>
        <w:t>1. Introduction</w:t>
      </w:r>
      <w:bookmarkEnd w:id="1"/>
    </w:p>
    <w:p w14:paraId="4406F65F" w14:textId="77777777" w:rsidR="00B2111F" w:rsidRDefault="00000000">
      <w:pPr>
        <w:spacing w:before="240" w:after="240"/>
      </w:pPr>
      <w:r>
        <w:t>The knowledge economy has generated talent as a major competitive advantage source, particularly within the technology sector where innovation and organisational development rely on highly skilled personnel. Nevertheless, the major issues that companies encounter have been high turnover rates of employees, skills gap and ongoing reskilling. The company Aether Innovations is the technology company with a steady growth rates; however, it is showing declining customer satisfaction and increasing employee turnover, which implies the inefficiency of the talent management system. That is why strategic talent management is necessary. Recruitment practices are part of talent ecosystems which combine practices of developing and retaining talent to match human capital to organisational objectives (Rožman, Tominc and Štrukelj, 2023). In this section, the proposal offers a build-versus-buy talent strategy under the support of mentorship, leadership development and lifelong learning to enhance retention, talent pipeline and organisation performance.</w:t>
      </w:r>
    </w:p>
    <w:p w14:paraId="5A26770C" w14:textId="77777777" w:rsidR="00B2111F" w:rsidRDefault="00000000">
      <w:pPr>
        <w:pStyle w:val="Heading2"/>
      </w:pPr>
      <w:bookmarkStart w:id="2" w:name="_Toc224830541"/>
      <w:r>
        <w:t>2. Talent Ecosystems in the Technology Sector</w:t>
      </w:r>
      <w:bookmarkEnd w:id="2"/>
    </w:p>
    <w:p w14:paraId="10B1EDB7" w14:textId="77777777" w:rsidR="00B2111F" w:rsidRDefault="00000000">
      <w:pPr>
        <w:spacing w:before="240" w:after="240"/>
      </w:pPr>
      <w:r>
        <w:t>A talent ecosystem means a concerted processes of practices that contribute to the attraction, development and retention of employees all together. In knowledge-based economies like technology, talent ecosystems are especially critical as innovation and productivity greatly relies on talents of employees with specialised skills and expertise. Rožman, Tominc and Štrukelj (2023) believe that agile talent management ecosystems help organisations to become agile in adapting to changes in the business ecosystem, which increases their likelihood of becoming sustainable in a competitive context. A problem that technology firms experience to a significant extent is the lack of highly qualified specialists, especially in such fields of activities as artificial intelligence, cybersecurity and software engineering. The high rate of technological advancement demands organisations to continuously practice the skills of the workforce. According to Shan and Wang (2024), strategic talent development is the essential element of organisational success in the knowledge economy since employees are to maintain constantly new competencies to be productive and innovative.</w:t>
      </w:r>
    </w:p>
    <w:p w14:paraId="14F93D9B" w14:textId="77777777" w:rsidR="00B2111F" w:rsidRDefault="00000000">
      <w:pPr>
        <w:spacing w:before="240" w:after="240"/>
        <w:jc w:val="center"/>
      </w:pPr>
      <w:r>
        <w:rPr>
          <w:noProof/>
        </w:rPr>
        <w:lastRenderedPageBreak/>
        <w:drawing>
          <wp:inline distT="0" distB="0" distL="0" distR="0" wp14:anchorId="5620F2DD" wp14:editId="4911E63F">
            <wp:extent cx="5733415" cy="2174875"/>
            <wp:effectExtent l="38100" t="38100" r="38100" b="38100"/>
            <wp:docPr id="3" name="image1.jpg" descr="Fig. 1"/>
            <wp:cNvGraphicFramePr/>
            <a:graphic xmlns:a="http://schemas.openxmlformats.org/drawingml/2006/main">
              <a:graphicData uri="http://schemas.openxmlformats.org/drawingml/2006/picture">
                <pic:pic xmlns:pic="http://schemas.openxmlformats.org/drawingml/2006/picture">
                  <pic:nvPicPr>
                    <pic:cNvPr id="0" name="image1.jpg" descr="Fig. 1"/>
                    <pic:cNvPicPr preferRelativeResize="0"/>
                  </pic:nvPicPr>
                  <pic:blipFill>
                    <a:blip r:embed="rId7"/>
                    <a:srcRect/>
                    <a:stretch>
                      <a:fillRect/>
                    </a:stretch>
                  </pic:blipFill>
                  <pic:spPr>
                    <a:xfrm>
                      <a:off x="0" y="0"/>
                      <a:ext cx="5733415" cy="2174875"/>
                    </a:xfrm>
                    <a:prstGeom prst="rect">
                      <a:avLst/>
                    </a:prstGeom>
                    <a:ln w="38100">
                      <a:solidFill>
                        <a:srgbClr val="000000"/>
                      </a:solidFill>
                      <a:prstDash val="solid"/>
                    </a:ln>
                  </pic:spPr>
                </pic:pic>
              </a:graphicData>
            </a:graphic>
          </wp:inline>
        </w:drawing>
      </w:r>
    </w:p>
    <w:p w14:paraId="38BD18A9" w14:textId="77777777" w:rsidR="00B2111F" w:rsidRDefault="00000000">
      <w:pPr>
        <w:spacing w:before="240" w:after="240"/>
        <w:jc w:val="center"/>
        <w:rPr>
          <w:b/>
          <w:bCs/>
        </w:rPr>
      </w:pPr>
      <w:r>
        <w:rPr>
          <w:b/>
          <w:bCs/>
        </w:rPr>
        <w:t>Figure 1: Innovation Ecosystem</w:t>
      </w:r>
    </w:p>
    <w:p w14:paraId="4967CB75" w14:textId="77777777" w:rsidR="00B2111F" w:rsidRDefault="00000000">
      <w:pPr>
        <w:spacing w:before="240" w:after="240"/>
        <w:jc w:val="center"/>
      </w:pPr>
      <w:r>
        <w:t>(Source: Huang et al., 2023)</w:t>
      </w:r>
    </w:p>
    <w:p w14:paraId="2DF52CF5" w14:textId="77777777" w:rsidR="00B2111F" w:rsidRDefault="00000000">
      <w:pPr>
        <w:spacing w:before="240" w:after="240"/>
      </w:pPr>
      <w:r>
        <w:t>High turnover of employees is another significant problem to organisations. The retention of talent in most organisations has become a key issue as many organisations lose their skilled employees leading to loss of knowledge, loss of reduce productivity and higher costs of recruiting them back. Studies by Gandi and Saurombe (2025) indicate that organisations that have poor talent management practices tend to have problematic retaining employees with high potentials thus causing instability in the work force. This is of particular acuity in the technology companies where workers possess multiple employment roles and often switch employers. Moreover, to manage talent well, the organisations must embrace integrated processes that involve recruiting, training and employee development. According to Tsaousiotis et al. (2025), current talent management approaches should no longer be a one-dimensional HR approach but should be reinforced by the creation of integrated systems that assist employees in cultivating their careers. Management of organisations through such systems allows organisations to have internal talent grow, and at the same time bring in new talents externally. In the case of Aether Innovations, the creation of a cohesive talent ecosystem is, consequently, needed.</w:t>
      </w:r>
    </w:p>
    <w:p w14:paraId="31CA8A99" w14:textId="77777777" w:rsidR="00B2111F" w:rsidRDefault="00000000">
      <w:pPr>
        <w:pStyle w:val="Heading2"/>
      </w:pPr>
      <w:bookmarkStart w:id="3" w:name="_Toc224830542"/>
      <w:r>
        <w:t>3. Build-Versus-Buy Talent Strategy</w:t>
      </w:r>
      <w:bookmarkEnd w:id="3"/>
    </w:p>
    <w:p w14:paraId="4233D005" w14:textId="77777777" w:rsidR="00B2111F" w:rsidRDefault="00000000">
      <w:pPr>
        <w:spacing w:before="240" w:after="240"/>
      </w:pPr>
      <w:r>
        <w:t xml:space="preserve">The build-versus-buy strategy of talent is the main component of the suggested talent ecosystem that defines whether organisations should create their own talent or hire it. These two methods have their distinct benefits and must be carefully integrated with each other so as </w:t>
      </w:r>
      <w:r>
        <w:lastRenderedPageBreak/>
        <w:t>to guarantee the success of an organisation. The build strategy is centered on employee development endeavors with an emphasis on training, mentorship and career development programmes, which is internally-based. This strategy enables organisations to develop skills that are in line with organisational culture and the strategic goals of the organisation. Internal development also enhances commitment and engagement among the employees since they feel that there are more career opportunities available in the organisation. As Shan and Wang (2024) observe, organisations that invest on improving their talents have higher chances of having a competitive workforce since employees always update their skills.</w:t>
      </w:r>
    </w:p>
    <w:p w14:paraId="58C031BF" w14:textId="77777777" w:rsidR="00B2111F" w:rsidRDefault="00000000">
      <w:pPr>
        <w:spacing w:before="240" w:after="240"/>
      </w:pPr>
      <w:r>
        <w:t>On the other hand, buy strategy is whereby professionals that have been with the organisation are recruited to fill the vacant positions that are considered critical to the organisation. The external recruitment is specially effective in cases where organisations need specialisation expertise not found in the company. In the case of technology companies, this can involve the recruitment of highly qualified experts in the emerging technologies, e.g., artificial AI or data analytics. In the case of Aether Innovations, a build-buy hybrid strategy will be advisable. The organisation needs to focus on internal improvement of the jobs like software engineers, product developers, project managers and others by providing training opportunities and accelerated growth opportunities. Meanwhile, specialised specialists like engineers of AI, cybersecurity specialists and senior innovation leaders should be recruited in an external manner. Costa et al. (2024) also conclude that organisations that strike a balance between internal development and strategic recruitment are in a better position to retain the talent and remain competitive in the long term.</w:t>
      </w:r>
    </w:p>
    <w:p w14:paraId="604155BC" w14:textId="77777777" w:rsidR="00B2111F" w:rsidRDefault="00000000">
      <w:pPr>
        <w:pStyle w:val="Heading2"/>
      </w:pPr>
      <w:bookmarkStart w:id="4" w:name="_Toc224830543"/>
      <w:r>
        <w:t>4. Mentorship and Leadership Development</w:t>
      </w:r>
      <w:bookmarkEnd w:id="4"/>
    </w:p>
    <w:p w14:paraId="4582F5F9" w14:textId="77777777" w:rsidR="00B2111F" w:rsidRDefault="00000000">
      <w:pPr>
        <w:spacing w:before="240" w:after="240"/>
      </w:pPr>
      <w:r>
        <w:t xml:space="preserve">Mentorship and leadership development programmes are significant towards enhancing organisational talent ecosystems. These programmes are used in assisting employees to acquire new skills, enhance career advancement and sharing of knowledge among experienced workers and junior employees. The mentorship programmes usually entail the capacity to match an experienced head with junior employees so that they can offer guidance and professional support. Mentorship between employees would provide essential information on organisational processes, leadership practices and technique. Such transfer of knowledge can help in creation of future leaders in the organisation. Tsaousiotis et al. (2025) underline that one of the main aspects of contemporary talent management systems is mentorship as it makes employees more </w:t>
      </w:r>
      <w:r>
        <w:lastRenderedPageBreak/>
        <w:t>active and stimulates their lifelong growth. Management pipelines also cannot be built without leadership development programmes. It is important that organisations offer employees having leadership potential the training and the opportunities to develop managerial capabilities. Gandi and Saurombe (2025) argue that leadership development programs will have a high impact on employee retention since employees will have a clear career growth.</w:t>
      </w:r>
    </w:p>
    <w:p w14:paraId="4C2321C8" w14:textId="77777777" w:rsidR="00B2111F" w:rsidRDefault="00000000">
      <w:pPr>
        <w:spacing w:before="240" w:after="240"/>
      </w:pPr>
      <w:r>
        <w:t>In the case of Aether Innovations, mentorship programmes may be extended through the departments to enhance the cooperation and innovation. The Heads of Research and Development and the Chief Technology Officer can mentor new leaders in their departments. Also employees can be prepared to take a leadership position in the future through leadership training workshops and management development programmes. Such programs will assist the organisation to develop and strong internal leadership pipeline as well as avoiding over reliance on external recruitment.</w:t>
      </w:r>
    </w:p>
    <w:p w14:paraId="7AD3C4B4" w14:textId="77777777" w:rsidR="00B2111F" w:rsidRDefault="00000000">
      <w:pPr>
        <w:pStyle w:val="Heading2"/>
      </w:pPr>
      <w:bookmarkStart w:id="5" w:name="_Toc224830544"/>
      <w:r>
        <w:t>5. Lifelong Learning and Continuous Development</w:t>
      </w:r>
      <w:bookmarkEnd w:id="5"/>
    </w:p>
    <w:p w14:paraId="292E1F6F" w14:textId="77777777" w:rsidR="00B2111F" w:rsidRDefault="00000000">
      <w:pPr>
        <w:spacing w:before="240" w:after="240"/>
      </w:pPr>
      <w:r>
        <w:t>Another necessary element of a good talent ecosystem is continuous learning. The technological world is a place where the skills become obsolete very fast, owing to the fast paced technological intellect. The organisational challenge is therefore to offer employees a chance to always upgrade their levels and skills. Online platforms in learning, professional certification programmes, and team-building learning experiences like innovation workshops or hackathons can also be considered part of lifelong learning. Aldossari, Mokhtar and Abdul Ghani (2023) suggest that technological innovations including the utilisation of big data analytics and digital platforms are changing the way organisations make decisions, which makes sustained learning an even greater concern amongst the employees. With the integration of high-tech technologies in organisations, the employees should improve their skills in the usage of these tools.</w:t>
      </w:r>
    </w:p>
    <w:p w14:paraId="6978AA7B" w14:textId="77777777" w:rsidR="00B2111F" w:rsidRDefault="00000000">
      <w:pPr>
        <w:spacing w:before="240" w:after="240"/>
      </w:pPr>
      <w:r>
        <w:t xml:space="preserve">Equally, Kenar (2025) contends that the current HRM should be based on sustainability and continuous learning so that organisations may be competitive on highly dynamic contexts. Through the culture of learning, organisations engage employees to be innovative, experiment and come up with new solutions to organisational challenges. In the case of Aether Innovations, the creation of organised learning ecosystem would facilitate employee development and organisational innovation. The organisation might consider introducing internal training programmes, online training sections and innovation laboratories where employees are able to </w:t>
      </w:r>
      <w:r>
        <w:lastRenderedPageBreak/>
        <w:t>test new technology. Such initiatives would allow employees to stay on a continuous development of their skills in addition to the long run success of the organisation.</w:t>
      </w:r>
    </w:p>
    <w:p w14:paraId="5531239F" w14:textId="77777777" w:rsidR="00B2111F" w:rsidRDefault="00000000">
      <w:pPr>
        <w:pStyle w:val="Heading2"/>
      </w:pPr>
      <w:bookmarkStart w:id="6" w:name="_Toc224830545"/>
      <w:r>
        <w:t>6. Integrated Talent Ecosystem</w:t>
      </w:r>
      <w:bookmarkEnd w:id="6"/>
    </w:p>
    <w:p w14:paraId="59307D07" w14:textId="77777777" w:rsidR="00B2111F" w:rsidRDefault="00000000">
      <w:pPr>
        <w:spacing w:before="240" w:after="240"/>
      </w:pPr>
      <w:r>
        <w:t>The three important elements included in the proposed talent ecosystem proposed to be implemented in Aether Innovations involve the build-versus-buy talent strategy, mentorship and leadership development programmes, and the lifelong learning initiatives. All these components combine to form an integrated system that will facilitate attraction, development and retention of talent. With such an integrated approach, Aether Innovations will be in a better position to mitigate the turnover of employees in the organisation since it will improve the leadership pipeline and foster innovation throughout the organisation. Companies that establish the strategic talent management ecosystems are in a better position to ensure survival in complex and dynamic business environments, as Rožman, Tominc and Štrukelj (2023) propose. Thus, by moving towards an integrated talent ecosystem, Aether Innovations will manage to ensure its human capital strategy aligns with the overall purposes of the organisation, and it will be able to grow sustainably.</w:t>
      </w:r>
    </w:p>
    <w:p w14:paraId="34394F75" w14:textId="77777777" w:rsidR="00B2111F" w:rsidRDefault="00000000">
      <w:pPr>
        <w:pStyle w:val="Heading2"/>
        <w:spacing w:before="240" w:after="240"/>
      </w:pPr>
      <w:bookmarkStart w:id="7" w:name="_Toc224830546"/>
      <w:r>
        <w:t>7. Conclusion</w:t>
      </w:r>
      <w:bookmarkEnd w:id="7"/>
    </w:p>
    <w:p w14:paraId="15AA1426" w14:textId="77777777" w:rsidR="00B2111F" w:rsidRDefault="00000000">
      <w:pPr>
        <w:spacing w:before="240" w:after="240"/>
      </w:pPr>
      <w:r>
        <w:t>Finally, to deal with the high turnover rates and enhance innovation, Aether Innovations needs to implement an integrated talent ecosystem. Through integrating a build-versus-buy talent approach and mentorship, leadership building and lifelong learning, the organisation can promote higher retention of employees, create the future workforce, and maintain its competitive edge in the fast-changing technology industry.</w:t>
      </w:r>
      <w:r>
        <w:br w:type="page"/>
      </w:r>
    </w:p>
    <w:p w14:paraId="38D3A4B6" w14:textId="77777777" w:rsidR="00B2111F" w:rsidRDefault="00000000">
      <w:pPr>
        <w:pStyle w:val="Heading1"/>
      </w:pPr>
      <w:bookmarkStart w:id="8" w:name="_Toc224830547"/>
      <w:r>
        <w:lastRenderedPageBreak/>
        <w:t>PART B – Reflection Learning and Future Learning</w:t>
      </w:r>
      <w:bookmarkEnd w:id="8"/>
    </w:p>
    <w:p w14:paraId="2A62A8B8" w14:textId="77777777" w:rsidR="00B2111F" w:rsidRDefault="00000000">
      <w:pPr>
        <w:pStyle w:val="Heading2"/>
      </w:pPr>
      <w:bookmarkStart w:id="9" w:name="_Toc224830548"/>
      <w:r>
        <w:t>1. Reflection on Learning Using Gibbs’ Reflective Cycle</w:t>
      </w:r>
      <w:bookmarkEnd w:id="9"/>
    </w:p>
    <w:p w14:paraId="25EF6314" w14:textId="77777777" w:rsidR="00B2111F" w:rsidRDefault="00000000">
      <w:pPr>
        <w:pStyle w:val="Heading3"/>
      </w:pPr>
      <w:bookmarkStart w:id="10" w:name="_Toc224830549"/>
      <w:r>
        <w:t>Description</w:t>
      </w:r>
      <w:bookmarkEnd w:id="10"/>
    </w:p>
    <w:p w14:paraId="6BB8ADA3" w14:textId="77777777" w:rsidR="00B2111F" w:rsidRDefault="00000000">
      <w:pPr>
        <w:spacing w:before="240" w:after="240"/>
      </w:pPr>
      <w:r>
        <w:t>In the course of Human Capital Management module, I learned the concepts of strategic HRM like talent management, leadership development and employee engagement. The module emphasised the role that the human capital strategies have on the organisational performance and innovation. The task on Aether Innovations taught me that talent ecosystems and employee development are key HR practices that can be used to deal with such organisational issues as employee turnover and poor performance. The application of reflective frameworks like the Gibbs Reflective Cycle is very common in the education field as it assists learners to deconstruct experiences and enhance professional insight (Ocampo et al., 2025). The application of this model also assisted me in evaluation of my learning process systematically over the period of time during the module.</w:t>
      </w:r>
    </w:p>
    <w:p w14:paraId="26EA28F9" w14:textId="77777777" w:rsidR="00B2111F" w:rsidRDefault="00000000">
      <w:pPr>
        <w:spacing w:before="240" w:after="240"/>
        <w:jc w:val="center"/>
      </w:pPr>
      <w:r>
        <w:rPr>
          <w:noProof/>
        </w:rPr>
        <w:drawing>
          <wp:inline distT="0" distB="0" distL="0" distR="0" wp14:anchorId="4EBAD02F" wp14:editId="6FD177FC">
            <wp:extent cx="3372741" cy="348272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372741" cy="3482721"/>
                    </a:xfrm>
                    <a:prstGeom prst="rect">
                      <a:avLst/>
                    </a:prstGeom>
                    <a:ln/>
                  </pic:spPr>
                </pic:pic>
              </a:graphicData>
            </a:graphic>
          </wp:inline>
        </w:drawing>
      </w:r>
    </w:p>
    <w:p w14:paraId="00329B86" w14:textId="77777777" w:rsidR="00B2111F" w:rsidRDefault="00000000">
      <w:pPr>
        <w:spacing w:before="240" w:after="240"/>
        <w:jc w:val="center"/>
        <w:rPr>
          <w:b/>
          <w:bCs/>
        </w:rPr>
      </w:pPr>
      <w:r>
        <w:rPr>
          <w:b/>
          <w:bCs/>
        </w:rPr>
        <w:t>Figure 2: Gibbs' Reflective Cycle</w:t>
      </w:r>
    </w:p>
    <w:p w14:paraId="30850699" w14:textId="77777777" w:rsidR="00B2111F" w:rsidRDefault="00000000">
      <w:pPr>
        <w:spacing w:before="240" w:after="240"/>
        <w:jc w:val="center"/>
      </w:pPr>
      <w:r>
        <w:t>(Source: Dutta et al., 2023)</w:t>
      </w:r>
    </w:p>
    <w:p w14:paraId="7A5AE7C8" w14:textId="77777777" w:rsidR="00B2111F" w:rsidRDefault="00000000">
      <w:pPr>
        <w:pStyle w:val="Heading3"/>
        <w:keepNext w:val="0"/>
        <w:keepLines w:val="0"/>
      </w:pPr>
      <w:bookmarkStart w:id="11" w:name="_Toc224830550"/>
      <w:r>
        <w:lastRenderedPageBreak/>
        <w:t>Feelings</w:t>
      </w:r>
      <w:bookmarkEnd w:id="11"/>
    </w:p>
    <w:p w14:paraId="0C7AE7D5" w14:textId="77777777" w:rsidR="00B2111F" w:rsidRDefault="00000000">
      <w:pPr>
        <w:spacing w:before="240" w:after="240"/>
      </w:pPr>
      <w:r>
        <w:t>When I started my module, I was not very much aware of the strategic role of HR in organisations. My initial perception of HR was deemed as mostly an administrative role, and not a strategy in the success of an organisation. Nonetheless, as I advanced the module, I became increasingly interested in how the HR strategies could impact innovation, development of leaders and performance of an organisation. Another benefit of the assignment was that I was in a better position to apply the theoretical HR models that I had learnt in real organisational situations. Reflective learning exercises push students to explore their experiences and feelings, and this factor promotes the professional growth and deeper learning process (Ashun et al., 2025). In this reflection, I learnt to build analytical and strategic thinking skills which are necessary as an HR professional.</w:t>
      </w:r>
    </w:p>
    <w:p w14:paraId="621C99BD" w14:textId="77777777" w:rsidR="00B2111F" w:rsidRDefault="00000000">
      <w:pPr>
        <w:pStyle w:val="Heading3"/>
      </w:pPr>
      <w:bookmarkStart w:id="12" w:name="_Toc224830551"/>
      <w:r>
        <w:t>Evaluation</w:t>
      </w:r>
      <w:bookmarkEnd w:id="12"/>
    </w:p>
    <w:p w14:paraId="7E42CCCF" w14:textId="77777777" w:rsidR="00B2111F" w:rsidRDefault="00000000">
      <w:pPr>
        <w:spacing w:before="240" w:after="240"/>
      </w:pPr>
      <w:r>
        <w:t>Altogether, the process of learning within this module was favorable. Among the key strengths of the module, one may highlight the fact that it was based on both theory and practice. The research on various HR models assisted me in comprehending the manner in which organisations can create successful human capital strategies. Also, my approach to the assignment, which involved doing academic research, enhanced my skills in terms of evaluate academic literature and form evidence-based arguments. Nonetheless, some challenges were also present. Initially, some of the theories regarding HR were hard to comprehend and their application to real problems within an organisation involved critical thinking and a lot of research. However, the application of reflective forms of learning can enhance critical thinking skills and facilitate the progress of a professional by helping a learner to analyze their experiences critically (Barr, Nabi and Andrei, 2025).</w:t>
      </w:r>
    </w:p>
    <w:p w14:paraId="63B829A4" w14:textId="77777777" w:rsidR="00B2111F" w:rsidRDefault="00000000">
      <w:pPr>
        <w:pStyle w:val="Heading3"/>
      </w:pPr>
      <w:bookmarkStart w:id="13" w:name="_Toc224830552"/>
      <w:r>
        <w:t>Analysis</w:t>
      </w:r>
      <w:bookmarkEnd w:id="13"/>
    </w:p>
    <w:p w14:paraId="2B226FF1" w14:textId="77777777" w:rsidR="00B2111F" w:rsidRDefault="00000000">
      <w:pPr>
        <w:spacing w:before="240" w:after="240"/>
      </w:pPr>
      <w:r>
        <w:t xml:space="preserve">My retrospective of this learning experience enabled me to realise the significance of strategic HRM within the success of organisations. The organisations with investment in talent, leadership training and employee engagement have higher chances of attaining sustainable competitive advantage. The assignment also revealed how the HR strategies need to be aligned with the organisational goals so as to handle the challenges facing the business. The reflective model developed by Gibbs inspires the learners to systematically analyse the experiences and </w:t>
      </w:r>
      <w:r>
        <w:lastRenderedPageBreak/>
        <w:t>extract lessons that will guide them in the future (Praveena et al., 2025). In the process, I also came to know that HR professionals have to keep on with the learning process and adjust to the evolving business conditions.</w:t>
      </w:r>
    </w:p>
    <w:p w14:paraId="632D3196" w14:textId="77777777" w:rsidR="00B2111F" w:rsidRDefault="00000000">
      <w:pPr>
        <w:pStyle w:val="Heading3"/>
      </w:pPr>
      <w:bookmarkStart w:id="14" w:name="_Toc224830553"/>
      <w:r>
        <w:t>Conclusion</w:t>
      </w:r>
      <w:bookmarkEnd w:id="14"/>
    </w:p>
    <w:p w14:paraId="57D43ACE" w14:textId="77777777" w:rsidR="00B2111F" w:rsidRDefault="00000000">
      <w:pPr>
        <w:spacing w:before="240" w:after="240"/>
      </w:pPr>
      <w:r>
        <w:t>To sum up, this module helped me a lot to understand the aspects of strategic human resource management and its contribution to the performance of organisations. This experience of reflection on my learning process allowed me to determine which points in my learning path I succeeded in and the ones that I will still need to be improved. The module enhanced my skills in analysing organisational issues and HR theories to practice. Continuous professional development cannot therefore be achieved without reflective practice.</w:t>
      </w:r>
    </w:p>
    <w:p w14:paraId="03E0DF95" w14:textId="77777777" w:rsidR="00B2111F" w:rsidRDefault="00000000">
      <w:pPr>
        <w:pStyle w:val="Heading2"/>
        <w:keepNext w:val="0"/>
        <w:keepLines w:val="0"/>
        <w:spacing w:before="480" w:after="120"/>
      </w:pPr>
      <w:bookmarkStart w:id="15" w:name="_Toc224830554"/>
      <w:r>
        <w:t>2. Future Learning and Remaining Relevant in the Age of AI</w:t>
      </w:r>
      <w:bookmarkEnd w:id="15"/>
    </w:p>
    <w:p w14:paraId="64EE1C70" w14:textId="77777777" w:rsidR="00B2111F" w:rsidRDefault="00000000">
      <w:pPr>
        <w:spacing w:before="240" w:after="240"/>
      </w:pPr>
      <w:r>
        <w:t>The fast pace of artificial intelligence is coming to revolutionize numerous industries and altering the way of work. The AI technologies become increasingly effective in terms of their ability to analyse data and conduct screening and workforce planning in recruitment. Consequently, professionals are forced to acquire new skills on a regular basis in order to be relevant at the current workplace. Nevertheless, instead of substituting and eliminating the role of human professionals, AI may be used as an aid to the decision-making process and increased productivity. In order to stay competitive in the future labor pool, I will engage in skill acquisition that will help me offset technological change. These are the strategic thinking, leadership skills, emotional intelligence as well as problem-solving skills. These are the competences that can hardly be imitated by AI systems, and thus, they are extremely valuable in the leadership of the organisation. Moreover, I will acquire technical skills, including HR analytics, digital HR systems and data-driven decision-making. Learning to operate AI tools may enhance the performance of organisations and allow developing more informed HR strategies. According to the research, working with the AI technologies with the help of reflective learning may enhance the awareness and perception of new digital tools in people (Hingle and Johri, 2024). Thus, I will apply AI as an auxiliary resource to a research, data analysis and decision making and will make sure that human judgement is at the core of organisational leadership. Through the application of technological expertise and humanistic leadership skills, I will be flexible and able to serve organisations in the future.</w:t>
      </w:r>
    </w:p>
    <w:p w14:paraId="1DC5CF34" w14:textId="5DB4A513" w:rsidR="00B2111F" w:rsidRDefault="00B2111F">
      <w:pPr>
        <w:spacing w:before="240" w:after="240"/>
      </w:pPr>
    </w:p>
    <w:p w14:paraId="48AAC18D" w14:textId="77777777" w:rsidR="00B2111F" w:rsidRDefault="00000000">
      <w:pPr>
        <w:pStyle w:val="Heading1"/>
        <w:spacing w:before="240" w:after="240"/>
      </w:pPr>
      <w:bookmarkStart w:id="16" w:name="_Toc224830555"/>
      <w:r>
        <w:t>References</w:t>
      </w:r>
      <w:bookmarkEnd w:id="16"/>
    </w:p>
    <w:p w14:paraId="59D018E2" w14:textId="77777777" w:rsidR="00B2111F" w:rsidRDefault="00000000">
      <w:pPr>
        <w:spacing w:before="240" w:after="240"/>
        <w:rPr>
          <w:i/>
          <w:iCs/>
          <w:color w:val="222222"/>
          <w:highlight w:val="white"/>
        </w:rPr>
      </w:pPr>
      <w:r>
        <w:rPr>
          <w:color w:val="222222"/>
          <w:highlight w:val="white"/>
        </w:rPr>
        <w:t xml:space="preserve">Aldossari, S., Mokhtar, U.A. and Abdul Ghani, A.T., 2023. Factor influencing the adoption of Big Data Analytics: A systematic literature and experts review. </w:t>
      </w:r>
      <w:r>
        <w:rPr>
          <w:i/>
          <w:iCs/>
          <w:color w:val="222222"/>
          <w:highlight w:val="white"/>
        </w:rPr>
        <w:t>Sage Open</w:t>
      </w:r>
      <w:r>
        <w:rPr>
          <w:color w:val="222222"/>
          <w:highlight w:val="white"/>
        </w:rPr>
        <w:t xml:space="preserve">, </w:t>
      </w:r>
      <w:r>
        <w:rPr>
          <w:i/>
          <w:iCs/>
          <w:color w:val="222222"/>
          <w:highlight w:val="white"/>
        </w:rPr>
        <w:t>13</w:t>
      </w:r>
      <w:r>
        <w:rPr>
          <w:color w:val="222222"/>
          <w:highlight w:val="white"/>
        </w:rPr>
        <w:t>(4), p.21582440231217902.</w:t>
      </w:r>
      <w:hyperlink r:id="rId9">
        <w:r w:rsidR="00B2111F">
          <w:rPr>
            <w:color w:val="1155CC"/>
            <w:highlight w:val="white"/>
            <w:u w:val="single"/>
          </w:rPr>
          <w:t>https://journals.sagepub.com/doi/pdf/10.1177/21582440231217902</w:t>
        </w:r>
      </w:hyperlink>
      <w:r>
        <w:rPr>
          <w:color w:val="222222"/>
          <w:highlight w:val="white"/>
        </w:rPr>
        <w:t xml:space="preserve"> </w:t>
      </w:r>
    </w:p>
    <w:p w14:paraId="1F578E10" w14:textId="77777777" w:rsidR="00B2111F" w:rsidRDefault="00000000">
      <w:pPr>
        <w:spacing w:before="240" w:after="240"/>
        <w:rPr>
          <w:color w:val="222222"/>
          <w:highlight w:val="white"/>
        </w:rPr>
      </w:pPr>
      <w:r>
        <w:rPr>
          <w:color w:val="222222"/>
          <w:highlight w:val="white"/>
        </w:rPr>
        <w:t xml:space="preserve">Ashun, E.A., Nsiah, R.K., Donkoh, I.A., Bordoh, A. and Eshun, I., 2025. Assessing the impacts of students' reflective journals on the professional development of student-teachers in Enchi College of Education. </w:t>
      </w:r>
      <w:r>
        <w:rPr>
          <w:i/>
          <w:iCs/>
          <w:color w:val="222222"/>
          <w:highlight w:val="white"/>
        </w:rPr>
        <w:t>African Social Science and Humanities Journal</w:t>
      </w:r>
      <w:r>
        <w:rPr>
          <w:color w:val="222222"/>
          <w:highlight w:val="white"/>
        </w:rPr>
        <w:t xml:space="preserve">, </w:t>
      </w:r>
      <w:r>
        <w:rPr>
          <w:i/>
          <w:iCs/>
          <w:color w:val="222222"/>
          <w:highlight w:val="white"/>
        </w:rPr>
        <w:t>6</w:t>
      </w:r>
      <w:r>
        <w:rPr>
          <w:color w:val="222222"/>
          <w:highlight w:val="white"/>
        </w:rPr>
        <w:t>(2), pp.102-115.</w:t>
      </w:r>
      <w:hyperlink r:id="rId10">
        <w:r w:rsidR="00B2111F">
          <w:rPr>
            <w:color w:val="1155CC"/>
            <w:highlight w:val="white"/>
            <w:u w:val="single"/>
          </w:rPr>
          <w:t>https://journals.jozacpublishers.com/index.php/asshj/article/download/898/480</w:t>
        </w:r>
      </w:hyperlink>
      <w:r>
        <w:rPr>
          <w:color w:val="222222"/>
          <w:highlight w:val="white"/>
        </w:rPr>
        <w:t xml:space="preserve"> </w:t>
      </w:r>
    </w:p>
    <w:p w14:paraId="7CF1CE3B" w14:textId="77777777" w:rsidR="00B2111F" w:rsidRDefault="00000000">
      <w:pPr>
        <w:spacing w:before="240" w:after="240"/>
        <w:rPr>
          <w:color w:val="222222"/>
          <w:highlight w:val="white"/>
        </w:rPr>
      </w:pPr>
      <w:r>
        <w:rPr>
          <w:color w:val="222222"/>
          <w:highlight w:val="white"/>
        </w:rPr>
        <w:t xml:space="preserve">Barr, M., Nabi, S.W. and Andrei, O., 2025, April. The Development of Reflective Practice on a Work-Based Software Engineering Program: A Longitudinal Study. In </w:t>
      </w:r>
      <w:r>
        <w:rPr>
          <w:i/>
          <w:iCs/>
          <w:color w:val="222222"/>
          <w:highlight w:val="white"/>
        </w:rPr>
        <w:t>2025 IEEE/ACM 37th International Conference on Software Engineering Education and Training (CSEE&amp;T)</w:t>
      </w:r>
      <w:r>
        <w:rPr>
          <w:color w:val="222222"/>
          <w:highlight w:val="white"/>
        </w:rPr>
        <w:t xml:space="preserve"> (pp. 53-61). IEEE.</w:t>
      </w:r>
      <w:hyperlink r:id="rId11">
        <w:r w:rsidR="00B2111F">
          <w:rPr>
            <w:color w:val="1155CC"/>
            <w:highlight w:val="white"/>
            <w:u w:val="single"/>
          </w:rPr>
          <w:t>https://arxiv.org/pdf/2504.20956</w:t>
        </w:r>
      </w:hyperlink>
      <w:r>
        <w:rPr>
          <w:color w:val="222222"/>
          <w:highlight w:val="white"/>
        </w:rPr>
        <w:t xml:space="preserve"> </w:t>
      </w:r>
    </w:p>
    <w:p w14:paraId="6381A624" w14:textId="77777777" w:rsidR="00B2111F" w:rsidRDefault="00000000">
      <w:pPr>
        <w:spacing w:before="240" w:after="240"/>
        <w:rPr>
          <w:i/>
          <w:iCs/>
          <w:color w:val="222222"/>
          <w:highlight w:val="white"/>
        </w:rPr>
      </w:pPr>
      <w:r>
        <w:rPr>
          <w:color w:val="222222"/>
          <w:highlight w:val="white"/>
        </w:rPr>
        <w:t xml:space="preserve">Costa, L.A., Dias, E., Ribeiro, D., Fontão, A., Pinto, G., Santos, R.P.D. and Serebrenik, A., 2024, April. An actionable framework for understanding and improving talent retention as a competitive advantage in IT organizations. In </w:t>
      </w:r>
      <w:r>
        <w:rPr>
          <w:i/>
          <w:iCs/>
          <w:color w:val="222222"/>
          <w:highlight w:val="white"/>
        </w:rPr>
        <w:t>Proceedings of the 2024 IEEE/ACM 46th International Conference on Software Engineering: Companion Proceedings</w:t>
      </w:r>
      <w:r>
        <w:rPr>
          <w:color w:val="222222"/>
          <w:highlight w:val="white"/>
        </w:rPr>
        <w:t xml:space="preserve"> (pp. 290-291).</w:t>
      </w:r>
      <w:hyperlink r:id="rId12">
        <w:r w:rsidR="00B2111F">
          <w:rPr>
            <w:color w:val="1155CC"/>
            <w:highlight w:val="white"/>
            <w:u w:val="single"/>
          </w:rPr>
          <w:t>https://dl.acm.org/doi/pdf/10.1145/3639478.3643073</w:t>
        </w:r>
      </w:hyperlink>
      <w:r>
        <w:rPr>
          <w:color w:val="222222"/>
          <w:highlight w:val="white"/>
        </w:rPr>
        <w:t xml:space="preserve"> </w:t>
      </w:r>
    </w:p>
    <w:p w14:paraId="7FCFA4E4" w14:textId="77777777" w:rsidR="00B2111F" w:rsidRDefault="00000000">
      <w:pPr>
        <w:spacing w:before="240" w:after="240"/>
        <w:rPr>
          <w:color w:val="222222"/>
          <w:highlight w:val="white"/>
        </w:rPr>
      </w:pPr>
      <w:r>
        <w:rPr>
          <w:color w:val="222222"/>
          <w:highlight w:val="white"/>
        </w:rPr>
        <w:t xml:space="preserve">Dutta, S., He, M. and Tsang, D.C., 2023. Reflection and peer assessment to promote self-directed learning in higher education. </w:t>
      </w:r>
      <w:r>
        <w:rPr>
          <w:i/>
          <w:iCs/>
          <w:color w:val="222222"/>
          <w:highlight w:val="white"/>
        </w:rPr>
        <w:t>Journal of Educational Research and Reviews</w:t>
      </w:r>
      <w:r>
        <w:rPr>
          <w:color w:val="222222"/>
          <w:highlight w:val="white"/>
        </w:rPr>
        <w:t xml:space="preserve">, </w:t>
      </w:r>
      <w:r>
        <w:rPr>
          <w:i/>
          <w:iCs/>
          <w:color w:val="222222"/>
          <w:highlight w:val="white"/>
        </w:rPr>
        <w:t>11</w:t>
      </w:r>
      <w:r>
        <w:rPr>
          <w:color w:val="222222"/>
          <w:highlight w:val="white"/>
        </w:rPr>
        <w:t xml:space="preserve">(3), pp.35-46. </w:t>
      </w:r>
      <w:hyperlink r:id="rId13">
        <w:r w:rsidR="00B2111F">
          <w:rPr>
            <w:color w:val="0000FF"/>
            <w:highlight w:val="white"/>
            <w:u w:val="single"/>
          </w:rPr>
          <w:t>https://www.researchgate.net/profile/Shanta-Dutta/publication/371536633_Reflection_and_peer_assessment_to_promote_self-directed_learning_in_higher_education/links/648928519bc5e436682e1817/Reflection-and-peer-assessment-to-promote-self-directed-learning-in-higher-education.pdf</w:t>
        </w:r>
      </w:hyperlink>
      <w:r>
        <w:rPr>
          <w:color w:val="222222"/>
          <w:highlight w:val="white"/>
        </w:rPr>
        <w:t xml:space="preserve"> </w:t>
      </w:r>
    </w:p>
    <w:p w14:paraId="5BF5BBA8" w14:textId="77777777" w:rsidR="00B2111F" w:rsidRDefault="00000000">
      <w:pPr>
        <w:spacing w:before="240" w:after="240"/>
        <w:rPr>
          <w:color w:val="222222"/>
          <w:highlight w:val="white"/>
        </w:rPr>
      </w:pPr>
      <w:r>
        <w:rPr>
          <w:color w:val="222222"/>
          <w:highlight w:val="white"/>
        </w:rPr>
        <w:t xml:space="preserve">Gandi, E.A. and Saurombe, M.D., 2025. Talent management practices for minimising talent turnover in a public sector organisation. </w:t>
      </w:r>
      <w:r>
        <w:rPr>
          <w:i/>
          <w:iCs/>
          <w:color w:val="222222"/>
          <w:highlight w:val="white"/>
        </w:rPr>
        <w:t>South African Journal of Economic and Management Sciences</w:t>
      </w:r>
      <w:r>
        <w:rPr>
          <w:color w:val="222222"/>
          <w:highlight w:val="white"/>
        </w:rPr>
        <w:t xml:space="preserve">, </w:t>
      </w:r>
      <w:r>
        <w:rPr>
          <w:i/>
          <w:iCs/>
          <w:color w:val="222222"/>
          <w:highlight w:val="white"/>
        </w:rPr>
        <w:t>28</w:t>
      </w:r>
      <w:r>
        <w:rPr>
          <w:color w:val="222222"/>
          <w:highlight w:val="white"/>
        </w:rPr>
        <w:t>(1), p.6135.</w:t>
      </w:r>
      <w:hyperlink r:id="rId14">
        <w:r w:rsidR="00B2111F">
          <w:rPr>
            <w:color w:val="1155CC"/>
            <w:highlight w:val="white"/>
            <w:u w:val="single"/>
          </w:rPr>
          <w:t>https://www.scielo.org.za/pdf/sajems/v28n1/18.pdf</w:t>
        </w:r>
      </w:hyperlink>
      <w:r>
        <w:rPr>
          <w:color w:val="222222"/>
          <w:highlight w:val="white"/>
        </w:rPr>
        <w:t xml:space="preserve"> </w:t>
      </w:r>
    </w:p>
    <w:p w14:paraId="7D2D0D8B" w14:textId="77777777" w:rsidR="00B2111F" w:rsidRDefault="00000000">
      <w:pPr>
        <w:spacing w:before="240" w:after="240"/>
      </w:pPr>
      <w:r>
        <w:rPr>
          <w:color w:val="222222"/>
          <w:highlight w:val="white"/>
        </w:rPr>
        <w:lastRenderedPageBreak/>
        <w:t xml:space="preserve">Hingle, A. and Johri, A., 2024, October. Expanding AI awareness through everyday interactions with AI: A reflective journal study. In </w:t>
      </w:r>
      <w:r>
        <w:rPr>
          <w:i/>
          <w:iCs/>
          <w:color w:val="222222"/>
          <w:highlight w:val="white"/>
        </w:rPr>
        <w:t>2024 IEEE frontiers in education conference (FIE)</w:t>
      </w:r>
      <w:r>
        <w:rPr>
          <w:color w:val="222222"/>
          <w:highlight w:val="white"/>
        </w:rPr>
        <w:t xml:space="preserve"> (pp. 1-9). IEEE.</w:t>
      </w:r>
      <w:hyperlink r:id="rId15">
        <w:r w:rsidR="00B2111F">
          <w:rPr>
            <w:color w:val="1155CC"/>
            <w:highlight w:val="white"/>
            <w:u w:val="single"/>
          </w:rPr>
          <w:t>https://arxiv.org/pdf/2410.18845</w:t>
        </w:r>
      </w:hyperlink>
      <w:r>
        <w:rPr>
          <w:color w:val="222222"/>
          <w:highlight w:val="white"/>
        </w:rPr>
        <w:t xml:space="preserve">? </w:t>
      </w:r>
    </w:p>
    <w:p w14:paraId="446D94D1" w14:textId="77777777" w:rsidR="00B2111F" w:rsidRDefault="00000000">
      <w:pPr>
        <w:spacing w:before="240" w:after="240"/>
        <w:rPr>
          <w:color w:val="222222"/>
          <w:highlight w:val="white"/>
        </w:rPr>
      </w:pPr>
      <w:r>
        <w:rPr>
          <w:color w:val="222222"/>
          <w:highlight w:val="white"/>
        </w:rPr>
        <w:t xml:space="preserve">Huang, Y., Li, K. and Li, P., 2023. Innovation ecosystems and national talent competitiveness: A country-based comparison using fsQCA. </w:t>
      </w:r>
      <w:r>
        <w:rPr>
          <w:i/>
          <w:iCs/>
          <w:color w:val="222222"/>
          <w:highlight w:val="white"/>
        </w:rPr>
        <w:t>Technological Forecasting and Social Change</w:t>
      </w:r>
      <w:r>
        <w:rPr>
          <w:color w:val="222222"/>
          <w:highlight w:val="white"/>
        </w:rPr>
        <w:t xml:space="preserve">, </w:t>
      </w:r>
      <w:r>
        <w:rPr>
          <w:i/>
          <w:iCs/>
          <w:color w:val="222222"/>
          <w:highlight w:val="white"/>
        </w:rPr>
        <w:t>194</w:t>
      </w:r>
      <w:r>
        <w:rPr>
          <w:color w:val="222222"/>
          <w:highlight w:val="white"/>
        </w:rPr>
        <w:t xml:space="preserve">, p.122733. </w:t>
      </w:r>
      <w:hyperlink r:id="rId16">
        <w:r w:rsidR="00B2111F">
          <w:rPr>
            <w:color w:val="0000FF"/>
            <w:highlight w:val="white"/>
            <w:u w:val="single"/>
          </w:rPr>
          <w:t>https://www.sciencedirect.com/science/article/pii/S0040162523004183</w:t>
        </w:r>
      </w:hyperlink>
      <w:r>
        <w:rPr>
          <w:color w:val="222222"/>
          <w:highlight w:val="white"/>
        </w:rPr>
        <w:t xml:space="preserve"> </w:t>
      </w:r>
    </w:p>
    <w:p w14:paraId="3AF2F190" w14:textId="77777777" w:rsidR="00B2111F" w:rsidRDefault="00000000">
      <w:pPr>
        <w:spacing w:before="240" w:after="240"/>
        <w:rPr>
          <w:color w:val="222222"/>
          <w:highlight w:val="white"/>
        </w:rPr>
      </w:pPr>
      <w:r>
        <w:rPr>
          <w:color w:val="222222"/>
          <w:highlight w:val="white"/>
        </w:rPr>
        <w:t xml:space="preserve">Kenar, G., 2025. Ensuring environmental sustainability with HRM practices in hospitality and tourism: a systematic literature review. </w:t>
      </w:r>
      <w:r>
        <w:rPr>
          <w:i/>
          <w:iCs/>
          <w:color w:val="222222"/>
          <w:highlight w:val="white"/>
        </w:rPr>
        <w:t>GSI Journals Serie A: Advancements in Tourism Recreation and Sports Sciences</w:t>
      </w:r>
      <w:r>
        <w:rPr>
          <w:color w:val="222222"/>
          <w:highlight w:val="white"/>
        </w:rPr>
        <w:t xml:space="preserve">, </w:t>
      </w:r>
      <w:r>
        <w:rPr>
          <w:i/>
          <w:iCs/>
          <w:color w:val="222222"/>
          <w:highlight w:val="white"/>
        </w:rPr>
        <w:t>8</w:t>
      </w:r>
      <w:r>
        <w:rPr>
          <w:color w:val="222222"/>
          <w:highlight w:val="white"/>
        </w:rPr>
        <w:t>(2), pp.764-782.</w:t>
      </w:r>
      <w:hyperlink r:id="rId17">
        <w:r w:rsidR="00B2111F">
          <w:rPr>
            <w:color w:val="1155CC"/>
            <w:highlight w:val="white"/>
            <w:u w:val="single"/>
          </w:rPr>
          <w:t>https://dergipark.org.tr/en/download/article-file/4954802</w:t>
        </w:r>
      </w:hyperlink>
      <w:r>
        <w:rPr>
          <w:color w:val="222222"/>
          <w:highlight w:val="white"/>
        </w:rPr>
        <w:t xml:space="preserve"> </w:t>
      </w:r>
    </w:p>
    <w:p w14:paraId="152A00C6" w14:textId="77777777" w:rsidR="00B2111F" w:rsidRDefault="00000000">
      <w:pPr>
        <w:spacing w:before="240" w:after="240"/>
        <w:rPr>
          <w:color w:val="222222"/>
          <w:highlight w:val="white"/>
        </w:rPr>
      </w:pPr>
      <w:r>
        <w:rPr>
          <w:color w:val="222222"/>
          <w:highlight w:val="white"/>
        </w:rPr>
        <w:t xml:space="preserve">Ocampo, F.A., McIntyre, B.G., Massey, D. and Saunders, R., 2025. Nursing student reflections on a research internship: A reflective discussion following the Gibbs' reflective cycle. </w:t>
      </w:r>
      <w:r>
        <w:rPr>
          <w:i/>
          <w:iCs/>
          <w:color w:val="222222"/>
          <w:highlight w:val="white"/>
        </w:rPr>
        <w:t>Nurse education today</w:t>
      </w:r>
      <w:r>
        <w:rPr>
          <w:color w:val="222222"/>
          <w:highlight w:val="white"/>
        </w:rPr>
        <w:t xml:space="preserve">, </w:t>
      </w:r>
      <w:r>
        <w:rPr>
          <w:i/>
          <w:iCs/>
          <w:color w:val="222222"/>
          <w:highlight w:val="white"/>
        </w:rPr>
        <w:t>145</w:t>
      </w:r>
      <w:r>
        <w:rPr>
          <w:color w:val="222222"/>
          <w:highlight w:val="white"/>
        </w:rPr>
        <w:t>, p.106481.</w:t>
      </w:r>
      <w:hyperlink r:id="rId18">
        <w:r w:rsidR="00B2111F">
          <w:rPr>
            <w:color w:val="1155CC"/>
            <w:highlight w:val="white"/>
            <w:u w:val="single"/>
          </w:rPr>
          <w:t>https://www.sciencedirect.com/science/article/pii/S0260691724003915</w:t>
        </w:r>
      </w:hyperlink>
      <w:r>
        <w:rPr>
          <w:color w:val="222222"/>
          <w:highlight w:val="white"/>
        </w:rPr>
        <w:t xml:space="preserve"> </w:t>
      </w:r>
    </w:p>
    <w:p w14:paraId="076C6F25" w14:textId="77777777" w:rsidR="00B2111F" w:rsidRDefault="00000000">
      <w:pPr>
        <w:spacing w:before="240" w:after="240"/>
        <w:rPr>
          <w:i/>
          <w:iCs/>
          <w:color w:val="222222"/>
          <w:highlight w:val="white"/>
        </w:rPr>
      </w:pPr>
      <w:r>
        <w:rPr>
          <w:color w:val="222222"/>
          <w:highlight w:val="white"/>
        </w:rPr>
        <w:t xml:space="preserve">Praveena, K.S., Juslin, F., Patil, C.M. and Bhargavi, K., 2025. Using gibb's reflective model approach for enhancing project-based learning among students through reflective assessment. </w:t>
      </w:r>
      <w:r>
        <w:rPr>
          <w:i/>
          <w:iCs/>
          <w:color w:val="222222"/>
          <w:highlight w:val="white"/>
        </w:rPr>
        <w:t>Journal of Engineering Education Transformations</w:t>
      </w:r>
      <w:r>
        <w:rPr>
          <w:color w:val="222222"/>
          <w:highlight w:val="white"/>
        </w:rPr>
        <w:t>, pp.148-155.</w:t>
      </w:r>
      <w:hyperlink r:id="rId19">
        <w:r w:rsidR="00B2111F">
          <w:rPr>
            <w:color w:val="1155CC"/>
            <w:highlight w:val="white"/>
            <w:u w:val="single"/>
          </w:rPr>
          <w:t>https://journaleet.in/index.php/jeet/article/download/2071/2016</w:t>
        </w:r>
      </w:hyperlink>
      <w:r>
        <w:rPr>
          <w:color w:val="222222"/>
          <w:highlight w:val="white"/>
        </w:rPr>
        <w:t xml:space="preserve"> </w:t>
      </w:r>
    </w:p>
    <w:p w14:paraId="65F08F4B" w14:textId="77777777" w:rsidR="00B2111F" w:rsidRDefault="00000000">
      <w:pPr>
        <w:spacing w:before="240" w:after="240"/>
        <w:rPr>
          <w:color w:val="222222"/>
          <w:highlight w:val="white"/>
        </w:rPr>
      </w:pPr>
      <w:r>
        <w:rPr>
          <w:color w:val="222222"/>
          <w:highlight w:val="white"/>
        </w:rPr>
        <w:t xml:space="preserve">Rožman, M., Tominc, P. and Štrukelj, T., 2023. Competitiveness through development of strategic talent management and agile management ecosystems. </w:t>
      </w:r>
      <w:r>
        <w:rPr>
          <w:i/>
          <w:iCs/>
          <w:color w:val="222222"/>
          <w:highlight w:val="white"/>
        </w:rPr>
        <w:t>Global Journal of Flexible Systems Management</w:t>
      </w:r>
      <w:r>
        <w:rPr>
          <w:color w:val="222222"/>
          <w:highlight w:val="white"/>
        </w:rPr>
        <w:t xml:space="preserve">, </w:t>
      </w:r>
      <w:r>
        <w:rPr>
          <w:i/>
          <w:iCs/>
          <w:color w:val="222222"/>
          <w:highlight w:val="white"/>
        </w:rPr>
        <w:t>24</w:t>
      </w:r>
      <w:r>
        <w:rPr>
          <w:color w:val="222222"/>
          <w:highlight w:val="white"/>
        </w:rPr>
        <w:t>(3), pp.373-393.</w:t>
      </w:r>
      <w:hyperlink r:id="rId20">
        <w:r w:rsidR="00B2111F">
          <w:rPr>
            <w:color w:val="1155CC"/>
            <w:highlight w:val="white"/>
            <w:u w:val="single"/>
          </w:rPr>
          <w:t>https://link.springer.com/content/pdf/10.1007/s40171-023-00344-1.pdf</w:t>
        </w:r>
      </w:hyperlink>
      <w:r>
        <w:rPr>
          <w:color w:val="222222"/>
          <w:highlight w:val="white"/>
        </w:rPr>
        <w:t xml:space="preserve"> </w:t>
      </w:r>
    </w:p>
    <w:p w14:paraId="58B61A91" w14:textId="77777777" w:rsidR="00B2111F" w:rsidRDefault="00000000">
      <w:pPr>
        <w:spacing w:before="240" w:after="240"/>
        <w:rPr>
          <w:color w:val="222222"/>
          <w:highlight w:val="white"/>
        </w:rPr>
      </w:pPr>
      <w:r>
        <w:rPr>
          <w:color w:val="222222"/>
          <w:highlight w:val="white"/>
        </w:rPr>
        <w:t xml:space="preserve">Shan, Z. and Wang, Y., 2024. Strategic talent development in the knowledge economy: a comparative analysis of global practices. </w:t>
      </w:r>
      <w:r>
        <w:rPr>
          <w:i/>
          <w:iCs/>
          <w:color w:val="222222"/>
          <w:highlight w:val="white"/>
        </w:rPr>
        <w:t>Journal of the Knowledge Economy</w:t>
      </w:r>
      <w:r>
        <w:rPr>
          <w:color w:val="222222"/>
          <w:highlight w:val="white"/>
        </w:rPr>
        <w:t xml:space="preserve">, </w:t>
      </w:r>
      <w:r>
        <w:rPr>
          <w:i/>
          <w:iCs/>
          <w:color w:val="222222"/>
          <w:highlight w:val="white"/>
        </w:rPr>
        <w:t>15</w:t>
      </w:r>
      <w:r>
        <w:rPr>
          <w:color w:val="222222"/>
          <w:highlight w:val="white"/>
        </w:rPr>
        <w:t>(4), pp.19570-19596.</w:t>
      </w:r>
      <w:hyperlink r:id="rId21">
        <w:r w:rsidR="00B2111F">
          <w:rPr>
            <w:color w:val="1155CC"/>
            <w:highlight w:val="white"/>
            <w:u w:val="single"/>
          </w:rPr>
          <w:t>https://link.springer.com/article/10.1007/s13132-024-01933-w</w:t>
        </w:r>
      </w:hyperlink>
      <w:r>
        <w:rPr>
          <w:color w:val="222222"/>
          <w:highlight w:val="white"/>
        </w:rPr>
        <w:t xml:space="preserve"> </w:t>
      </w:r>
    </w:p>
    <w:p w14:paraId="5D262336" w14:textId="77777777" w:rsidR="00B2111F" w:rsidRDefault="00000000">
      <w:pPr>
        <w:spacing w:before="240" w:after="240"/>
        <w:rPr>
          <w:color w:val="222222"/>
          <w:highlight w:val="white"/>
        </w:rPr>
      </w:pPr>
      <w:r>
        <w:rPr>
          <w:color w:val="222222"/>
          <w:highlight w:val="white"/>
        </w:rPr>
        <w:t xml:space="preserve">Tsaousiotis, K., Panitsidis, K., Spinthiropoulos, K. and Zafeiriou, E., 2025. A new perspective on talent management: an integrative review of the current literature. </w:t>
      </w:r>
      <w:r>
        <w:rPr>
          <w:i/>
          <w:iCs/>
          <w:color w:val="222222"/>
          <w:highlight w:val="white"/>
        </w:rPr>
        <w:t>Administrative Sciences</w:t>
      </w:r>
      <w:r>
        <w:rPr>
          <w:color w:val="222222"/>
          <w:highlight w:val="white"/>
        </w:rPr>
        <w:t xml:space="preserve">, </w:t>
      </w:r>
      <w:r>
        <w:rPr>
          <w:i/>
          <w:iCs/>
          <w:color w:val="222222"/>
          <w:highlight w:val="white"/>
        </w:rPr>
        <w:t>15</w:t>
      </w:r>
      <w:r>
        <w:rPr>
          <w:color w:val="222222"/>
          <w:highlight w:val="white"/>
        </w:rPr>
        <w:t>(3), p.102.</w:t>
      </w:r>
      <w:hyperlink r:id="rId22">
        <w:r w:rsidR="00B2111F">
          <w:rPr>
            <w:color w:val="1155CC"/>
            <w:highlight w:val="white"/>
            <w:u w:val="single"/>
          </w:rPr>
          <w:t>https://www.mdpi.com/2076-3387/15/3/102</w:t>
        </w:r>
      </w:hyperlink>
      <w:r>
        <w:rPr>
          <w:color w:val="222222"/>
          <w:highlight w:val="white"/>
        </w:rPr>
        <w:t xml:space="preserve"> </w:t>
      </w:r>
    </w:p>
    <w:p w14:paraId="1B21B619" w14:textId="77777777" w:rsidR="00B2111F" w:rsidRDefault="00B2111F"/>
    <w:sectPr w:rsidR="00B2111F">
      <w:footerReference w:type="default" r:id="rId23"/>
      <w:headerReference w:type="first" r:id="rId24"/>
      <w:footerReference w:type="first" r:id="rId25"/>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F6943" w14:textId="77777777" w:rsidR="00377F98" w:rsidRDefault="00377F98">
      <w:pPr>
        <w:spacing w:before="0" w:after="0" w:line="240" w:lineRule="auto"/>
      </w:pPr>
      <w:r>
        <w:separator/>
      </w:r>
    </w:p>
  </w:endnote>
  <w:endnote w:type="continuationSeparator" w:id="0">
    <w:p w14:paraId="415E9A25" w14:textId="77777777" w:rsidR="00377F98" w:rsidRDefault="00377F9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FA8A9C3D-1382-494E-9C5F-A7D35CBC02C9}"/>
  </w:font>
  <w:font w:name="Shruti">
    <w:panose1 w:val="020B0502040204020203"/>
    <w:charset w:val="00"/>
    <w:family w:val="swiss"/>
    <w:pitch w:val="variable"/>
    <w:sig w:usb0="00040003" w:usb1="00000000" w:usb2="00000000" w:usb3="00000000" w:csb0="00000001" w:csb1="00000000"/>
    <w:embedRegular r:id="rId2" w:fontKey="{0A13B2E2-1878-4ABC-84EB-752C67851783}"/>
  </w:font>
  <w:font w:name="Cambria">
    <w:panose1 w:val="02040503050406030204"/>
    <w:charset w:val="00"/>
    <w:family w:val="roman"/>
    <w:pitch w:val="variable"/>
    <w:sig w:usb0="E00006FF" w:usb1="420024FF" w:usb2="02000000" w:usb3="00000000" w:csb0="0000019F" w:csb1="00000000"/>
    <w:embedRegular r:id="rId3" w:fontKey="{07825BA3-0997-49A4-A6D2-3743D3E5F44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B89BB" w14:textId="77777777" w:rsidR="00B2111F" w:rsidRDefault="00000000">
    <w:pPr>
      <w:jc w:val="right"/>
    </w:pPr>
    <w:r>
      <w:fldChar w:fldCharType="begin"/>
    </w:r>
    <w:r>
      <w:instrText>PAGE</w:instrText>
    </w:r>
    <w:r>
      <w:fldChar w:fldCharType="separate"/>
    </w:r>
    <w:r w:rsidR="009E12FF">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D7542" w14:textId="77777777" w:rsidR="00B2111F" w:rsidRDefault="00B211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6F4E2" w14:textId="77777777" w:rsidR="00377F98" w:rsidRDefault="00377F98">
      <w:pPr>
        <w:spacing w:before="0" w:after="0" w:line="240" w:lineRule="auto"/>
      </w:pPr>
      <w:r>
        <w:separator/>
      </w:r>
    </w:p>
  </w:footnote>
  <w:footnote w:type="continuationSeparator" w:id="0">
    <w:p w14:paraId="1C2CEDAC" w14:textId="77777777" w:rsidR="00377F98" w:rsidRDefault="00377F9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4C4E0" w14:textId="77777777" w:rsidR="00B2111F" w:rsidRDefault="00B2111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11F"/>
    <w:rsid w:val="001A7274"/>
    <w:rsid w:val="002E744B"/>
    <w:rsid w:val="00377F98"/>
    <w:rsid w:val="00665FEB"/>
    <w:rsid w:val="00716E6E"/>
    <w:rsid w:val="007C4416"/>
    <w:rsid w:val="009C350A"/>
    <w:rsid w:val="009E12FF"/>
    <w:rsid w:val="00A65FCA"/>
    <w:rsid w:val="00A96694"/>
    <w:rsid w:val="00B2111F"/>
    <w:rsid w:val="00B67682"/>
    <w:rsid w:val="00BA6AB4"/>
    <w:rsid w:val="00E23363"/>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B5686"/>
  <w15:docId w15:val="{1E4B7029-E91C-4F02-A842-3B9B4E0BB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spacing w:before="360" w:after="80"/>
      <w:outlineLvl w:val="1"/>
    </w:pPr>
    <w:rPr>
      <w:b/>
      <w:bCs/>
      <w:sz w:val="26"/>
      <w:szCs w:val="26"/>
    </w:rPr>
  </w:style>
  <w:style w:type="paragraph" w:styleId="Heading3">
    <w:name w:val="heading 3"/>
    <w:basedOn w:val="Normal"/>
    <w:next w:val="Normal"/>
    <w:uiPriority w:val="9"/>
    <w:unhideWhenUsed/>
    <w:qFormat/>
    <w:pPr>
      <w:keepNext/>
      <w:keepLines/>
      <w:spacing w:before="28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9E12FF"/>
    <w:pPr>
      <w:spacing w:after="100"/>
    </w:pPr>
  </w:style>
  <w:style w:type="paragraph" w:styleId="TOC2">
    <w:name w:val="toc 2"/>
    <w:basedOn w:val="Normal"/>
    <w:next w:val="Normal"/>
    <w:autoRedefine/>
    <w:uiPriority w:val="39"/>
    <w:unhideWhenUsed/>
    <w:rsid w:val="009E12FF"/>
    <w:pPr>
      <w:spacing w:after="100"/>
      <w:ind w:left="240"/>
    </w:pPr>
  </w:style>
  <w:style w:type="paragraph" w:styleId="TOC3">
    <w:name w:val="toc 3"/>
    <w:basedOn w:val="Normal"/>
    <w:next w:val="Normal"/>
    <w:autoRedefine/>
    <w:uiPriority w:val="39"/>
    <w:unhideWhenUsed/>
    <w:rsid w:val="009E12FF"/>
    <w:pPr>
      <w:spacing w:after="100"/>
      <w:ind w:left="480"/>
    </w:pPr>
  </w:style>
  <w:style w:type="character" w:styleId="Hyperlink">
    <w:name w:val="Hyperlink"/>
    <w:basedOn w:val="DefaultParagraphFont"/>
    <w:uiPriority w:val="99"/>
    <w:unhideWhenUsed/>
    <w:rsid w:val="009E12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researchgate.net/profile/Shanta-Dutta/publication/371536633_Reflection_and_peer_assessment_to_promote_self-directed_learning_in_higher_education/links/648928519bc5e436682e1817/Reflection-and-peer-assessment-to-promote-self-directed-learning-in-higher-education.pdf" TargetMode="External"/><Relationship Id="rId18" Type="http://schemas.openxmlformats.org/officeDocument/2006/relationships/hyperlink" Target="https://www.sciencedirect.com/science/article/pii/S0260691724003915"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link.springer.com/article/10.1007/s13132-024-01933-w" TargetMode="External"/><Relationship Id="rId7" Type="http://schemas.openxmlformats.org/officeDocument/2006/relationships/image" Target="media/image2.jpg"/><Relationship Id="rId12" Type="http://schemas.openxmlformats.org/officeDocument/2006/relationships/hyperlink" Target="https://dl.acm.org/doi/pdf/10.1145/3639478.3643073" TargetMode="External"/><Relationship Id="rId17" Type="http://schemas.openxmlformats.org/officeDocument/2006/relationships/hyperlink" Target="https://dergipark.org.tr/en/download/article-file/4954802" TargetMode="External"/><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sciencedirect.com/science/article/pii/S0040162523004183" TargetMode="External"/><Relationship Id="rId20" Type="http://schemas.openxmlformats.org/officeDocument/2006/relationships/hyperlink" Target="https://link.springer.com/content/pdf/10.1007/s40171-023-00344-1.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rxiv.org/pdf/2504.20956"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arxiv.org/pdf/2410.18845" TargetMode="External"/><Relationship Id="rId23" Type="http://schemas.openxmlformats.org/officeDocument/2006/relationships/footer" Target="footer1.xml"/><Relationship Id="rId10" Type="http://schemas.openxmlformats.org/officeDocument/2006/relationships/hyperlink" Target="https://journals.jozacpublishers.com/index.php/asshj/article/download/898/480" TargetMode="External"/><Relationship Id="rId19" Type="http://schemas.openxmlformats.org/officeDocument/2006/relationships/hyperlink" Target="https://journaleet.in/index.php/jeet/article/download/2071/2016" TargetMode="External"/><Relationship Id="rId4" Type="http://schemas.openxmlformats.org/officeDocument/2006/relationships/footnotes" Target="footnotes.xml"/><Relationship Id="rId9" Type="http://schemas.openxmlformats.org/officeDocument/2006/relationships/hyperlink" Target="https://journals.sagepub.com/doi/pdf/10.1177/21582440231217902" TargetMode="External"/><Relationship Id="rId14" Type="http://schemas.openxmlformats.org/officeDocument/2006/relationships/hyperlink" Target="https://www.scielo.org.za/pdf/sajems/v28n1/18.pdf" TargetMode="External"/><Relationship Id="rId22" Type="http://schemas.openxmlformats.org/officeDocument/2006/relationships/hyperlink" Target="https://www.mdpi.com/2076-3387/15/3/102"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3666</Words>
  <Characters>20901</Characters>
  <Application>Microsoft Office Word</Application>
  <DocSecurity>0</DocSecurity>
  <Lines>174</Lines>
  <Paragraphs>49</Paragraphs>
  <ScaleCrop>false</ScaleCrop>
  <Company/>
  <LinksUpToDate>false</LinksUpToDate>
  <CharactersWithSpaces>24518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ronak devani</cp:lastModifiedBy>
  <cp:revision>6</cp:revision>
  <dcterms:created xsi:type="dcterms:W3CDTF">2026-03-19T11:05:00Z</dcterms:created>
  <dcterms:modified xsi:type="dcterms:W3CDTF">2026-03-19T11:48:00Z</dcterms:modified>
</cp:coreProperties>
</file>