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3EC0AA" w14:textId="77777777" w:rsidR="00624E12" w:rsidRDefault="00624E12" w:rsidP="00624E12">
      <w:pPr>
        <w:pStyle w:val="NormalWeb"/>
        <w:ind w:left="-180" w:right="-334"/>
      </w:pPr>
      <w:r>
        <w:rPr>
          <w:noProof/>
        </w:rPr>
        <w:drawing>
          <wp:inline distT="0" distB="0" distL="0" distR="0" wp14:anchorId="7A61D6B7" wp14:editId="16771A93">
            <wp:extent cx="1907540" cy="635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6F720B5A" w14:textId="77777777" w:rsidR="00624E12" w:rsidRDefault="00624E12" w:rsidP="00624E12">
      <w:pPr>
        <w:pStyle w:val="NormalWeb"/>
        <w:ind w:left="-180" w:right="-334"/>
      </w:pPr>
    </w:p>
    <w:p w14:paraId="052A747C" w14:textId="77777777" w:rsidR="00624E12" w:rsidRDefault="00624E12" w:rsidP="00624E12">
      <w:pPr>
        <w:pStyle w:val="NormalWeb"/>
        <w:ind w:left="-180" w:right="-334"/>
      </w:pPr>
    </w:p>
    <w:p w14:paraId="48C36508" w14:textId="77777777" w:rsidR="00624E12" w:rsidRDefault="00624E12" w:rsidP="00624E12">
      <w:pPr>
        <w:pStyle w:val="NormalWeb"/>
        <w:ind w:left="-180" w:right="-334"/>
        <w:jc w:val="center"/>
      </w:pPr>
      <w:r>
        <w:rPr>
          <w:rFonts w:ascii="Arial" w:hAnsi="Arial"/>
          <w:b/>
          <w:sz w:val="28"/>
          <w:szCs w:val="28"/>
        </w:rPr>
        <w:t xml:space="preserve">Postgraduate/Distance Learning </w:t>
      </w:r>
    </w:p>
    <w:p w14:paraId="0B07AF4A" w14:textId="77777777" w:rsidR="00624E12" w:rsidRDefault="00624E12" w:rsidP="00624E12">
      <w:pPr>
        <w:pStyle w:val="NormalWeb"/>
        <w:ind w:left="-180" w:right="-334"/>
        <w:jc w:val="center"/>
        <w:rPr>
          <w:rFonts w:ascii="Arial" w:hAnsi="Arial"/>
          <w:b/>
          <w:sz w:val="28"/>
          <w:szCs w:val="28"/>
        </w:rPr>
      </w:pPr>
      <w:r>
        <w:rPr>
          <w:rFonts w:ascii="Arial" w:hAnsi="Arial"/>
          <w:b/>
          <w:sz w:val="28"/>
          <w:szCs w:val="28"/>
        </w:rPr>
        <w:t>Assignment coversheet &amp; feedback form</w:t>
      </w:r>
    </w:p>
    <w:p w14:paraId="40DC5305" w14:textId="77777777" w:rsidR="00624E12" w:rsidRDefault="00624E12" w:rsidP="00624E12">
      <w:pPr>
        <w:rPr>
          <w:rFonts w:ascii="Arial" w:hAnsi="Arial"/>
          <w:sz w:val="28"/>
          <w:szCs w:val="28"/>
        </w:rPr>
      </w:pPr>
    </w:p>
    <w:p w14:paraId="5F69B5F0" w14:textId="77777777" w:rsidR="00624E12" w:rsidRDefault="00624E12" w:rsidP="00624E12">
      <w:pPr>
        <w:pStyle w:val="Heading3"/>
        <w:jc w:val="center"/>
      </w:pPr>
      <w:r>
        <w:t xml:space="preserve">THIS SHEET MUST BE THE FIRST PAGE OF THE ASSIGNMENT YOU ARE </w:t>
      </w:r>
      <w:proofErr w:type="gramStart"/>
      <w:r>
        <w:t>SUBMITTING  (</w:t>
      </w:r>
      <w:proofErr w:type="gramEnd"/>
      <w:r>
        <w:t>DO NOT SEND AS A SEPARATE FILE)</w:t>
      </w:r>
    </w:p>
    <w:p w14:paraId="7575B132" w14:textId="77777777" w:rsidR="00624E12" w:rsidRDefault="00624E12" w:rsidP="00624E12">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624E12" w14:paraId="2498720A" w14:textId="77777777" w:rsidTr="00B43401">
        <w:trPr>
          <w:trHeight w:val="614"/>
        </w:trPr>
        <w:tc>
          <w:tcPr>
            <w:tcW w:w="8856" w:type="dxa"/>
            <w:gridSpan w:val="5"/>
          </w:tcPr>
          <w:p w14:paraId="3F1BB26A" w14:textId="77777777" w:rsidR="00624E12" w:rsidRDefault="00624E12" w:rsidP="00B43401">
            <w:pPr>
              <w:pStyle w:val="NormalWeb"/>
              <w:ind w:right="34"/>
            </w:pPr>
            <w:r>
              <w:rPr>
                <w:rFonts w:ascii="Arial" w:hAnsi="Arial"/>
                <w:b/>
                <w:sz w:val="22"/>
                <w:szCs w:val="22"/>
              </w:rPr>
              <w:t>For completion by the student</w:t>
            </w:r>
            <w:r>
              <w:rPr>
                <w:rFonts w:ascii="Arial" w:hAnsi="Arial"/>
                <w:sz w:val="22"/>
                <w:szCs w:val="22"/>
              </w:rPr>
              <w:t>:</w:t>
            </w:r>
          </w:p>
        </w:tc>
      </w:tr>
      <w:tr w:rsidR="00624E12" w14:paraId="2B90E9EC" w14:textId="77777777" w:rsidTr="00B43401">
        <w:trPr>
          <w:trHeight w:val="718"/>
        </w:trPr>
        <w:tc>
          <w:tcPr>
            <w:tcW w:w="8856" w:type="dxa"/>
            <w:gridSpan w:val="5"/>
          </w:tcPr>
          <w:p w14:paraId="075BA1D5" w14:textId="77777777" w:rsidR="00624E12" w:rsidRDefault="00624E12" w:rsidP="00B43401">
            <w:pPr>
              <w:pStyle w:val="NormalWeb"/>
              <w:ind w:right="34"/>
              <w:rPr>
                <w:rFonts w:ascii="Arial" w:hAnsi="Arial"/>
                <w:sz w:val="22"/>
                <w:szCs w:val="22"/>
              </w:rPr>
            </w:pPr>
            <w:r>
              <w:rPr>
                <w:rFonts w:ascii="Arial" w:hAnsi="Arial"/>
                <w:sz w:val="22"/>
                <w:szCs w:val="22"/>
              </w:rPr>
              <w:t>Student Name: Vadim Zaver</w:t>
            </w:r>
          </w:p>
          <w:p w14:paraId="615C24B2" w14:textId="77777777" w:rsidR="00624E12" w:rsidRDefault="00624E12" w:rsidP="00B43401">
            <w:pPr>
              <w:pStyle w:val="NormalWeb"/>
              <w:ind w:right="34"/>
              <w:rPr>
                <w:rFonts w:ascii="Arial" w:hAnsi="Arial"/>
                <w:sz w:val="22"/>
                <w:szCs w:val="22"/>
              </w:rPr>
            </w:pPr>
          </w:p>
          <w:p w14:paraId="26F8A2F9" w14:textId="77777777" w:rsidR="00624E12" w:rsidRDefault="00624E12" w:rsidP="00B43401">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Pr="005B5E9C">
              <w:rPr>
                <w:rFonts w:ascii="Arial" w:hAnsi="Arial"/>
                <w:sz w:val="22"/>
                <w:szCs w:val="22"/>
              </w:rPr>
              <w:t>2111154@student.uwtsd.ac.uk</w:t>
            </w:r>
          </w:p>
        </w:tc>
      </w:tr>
      <w:tr w:rsidR="00624E12" w14:paraId="0F9A2699" w14:textId="77777777" w:rsidTr="00B43401">
        <w:trPr>
          <w:trHeight w:val="849"/>
        </w:trPr>
        <w:tc>
          <w:tcPr>
            <w:tcW w:w="4788" w:type="dxa"/>
          </w:tcPr>
          <w:p w14:paraId="716AD6CD" w14:textId="77777777" w:rsidR="00624E12" w:rsidRDefault="00624E12" w:rsidP="00B43401">
            <w:pPr>
              <w:pStyle w:val="NormalWeb"/>
              <w:ind w:right="34"/>
              <w:rPr>
                <w:rFonts w:ascii="Arial" w:hAnsi="Arial"/>
                <w:sz w:val="22"/>
                <w:szCs w:val="22"/>
              </w:rPr>
            </w:pPr>
            <w:r>
              <w:rPr>
                <w:rFonts w:ascii="Arial" w:hAnsi="Arial"/>
                <w:sz w:val="22"/>
                <w:szCs w:val="22"/>
              </w:rPr>
              <w:t xml:space="preserve">Module code: </w:t>
            </w:r>
            <w:r w:rsidRPr="005B5E9C">
              <w:rPr>
                <w:rFonts w:ascii="Arial" w:hAnsi="Arial"/>
                <w:sz w:val="22"/>
                <w:szCs w:val="22"/>
              </w:rPr>
              <w:t>HPCA70</w:t>
            </w:r>
            <w:r>
              <w:rPr>
                <w:rFonts w:ascii="Arial" w:hAnsi="Arial"/>
                <w:sz w:val="22"/>
                <w:szCs w:val="22"/>
              </w:rPr>
              <w:t>27</w:t>
            </w:r>
          </w:p>
          <w:p w14:paraId="2ABF6F09" w14:textId="77777777" w:rsidR="00624E12" w:rsidRDefault="00624E12" w:rsidP="00B43401">
            <w:pPr>
              <w:pStyle w:val="NormalWeb"/>
              <w:ind w:right="34"/>
              <w:rPr>
                <w:rFonts w:ascii="Arial" w:hAnsi="Arial"/>
                <w:sz w:val="22"/>
                <w:szCs w:val="22"/>
              </w:rPr>
            </w:pPr>
          </w:p>
          <w:p w14:paraId="0D1369CA" w14:textId="77777777" w:rsidR="00624E12" w:rsidRDefault="00624E12" w:rsidP="00B43401">
            <w:pPr>
              <w:pStyle w:val="NormalWeb"/>
              <w:ind w:right="34"/>
              <w:rPr>
                <w:rFonts w:ascii="Arial" w:hAnsi="Arial"/>
                <w:sz w:val="22"/>
                <w:szCs w:val="22"/>
              </w:rPr>
            </w:pPr>
            <w:r>
              <w:rPr>
                <w:rFonts w:ascii="Arial" w:hAnsi="Arial"/>
                <w:sz w:val="22"/>
                <w:szCs w:val="22"/>
              </w:rPr>
              <w:t xml:space="preserve">Module title: </w:t>
            </w:r>
            <w:r w:rsidRPr="009F3A45">
              <w:rPr>
                <w:rFonts w:ascii="Arial" w:hAnsi="Arial"/>
                <w:sz w:val="22"/>
                <w:szCs w:val="22"/>
              </w:rPr>
              <w:t>Cosmology, Magic and Divination</w:t>
            </w:r>
          </w:p>
          <w:p w14:paraId="3CCE22BB" w14:textId="11E4371E" w:rsidR="00624E12" w:rsidRDefault="00624E12" w:rsidP="00B43401">
            <w:pPr>
              <w:pStyle w:val="NormalWeb"/>
              <w:ind w:right="34"/>
              <w:rPr>
                <w:rFonts w:ascii="Arial" w:hAnsi="Arial"/>
                <w:sz w:val="22"/>
                <w:szCs w:val="22"/>
              </w:rPr>
            </w:pPr>
            <w:r>
              <w:rPr>
                <w:rFonts w:ascii="Arial" w:hAnsi="Arial"/>
                <w:sz w:val="22"/>
                <w:szCs w:val="22"/>
              </w:rPr>
              <w:t xml:space="preserve">Word count: </w:t>
            </w:r>
            <w:r w:rsidR="006A47BC">
              <w:rPr>
                <w:rFonts w:ascii="Arial" w:hAnsi="Arial"/>
                <w:sz w:val="22"/>
                <w:szCs w:val="22"/>
              </w:rPr>
              <w:t>4711</w:t>
            </w:r>
          </w:p>
          <w:p w14:paraId="4B172A30" w14:textId="77777777" w:rsidR="00624E12" w:rsidRDefault="00624E12" w:rsidP="00B43401">
            <w:pPr>
              <w:pStyle w:val="NormalWeb"/>
              <w:ind w:right="34"/>
            </w:pPr>
          </w:p>
        </w:tc>
        <w:tc>
          <w:tcPr>
            <w:tcW w:w="2266" w:type="dxa"/>
            <w:gridSpan w:val="3"/>
          </w:tcPr>
          <w:p w14:paraId="52BA4D80" w14:textId="77777777" w:rsidR="00624E12" w:rsidRDefault="00624E12" w:rsidP="00B43401">
            <w:pPr>
              <w:pStyle w:val="NormalWeb"/>
              <w:ind w:right="34"/>
            </w:pPr>
            <w:r>
              <w:rPr>
                <w:rFonts w:ascii="Arial" w:hAnsi="Arial"/>
                <w:sz w:val="22"/>
                <w:szCs w:val="22"/>
              </w:rPr>
              <w:t>Student ID number:</w:t>
            </w:r>
            <w:r w:rsidRPr="005B5E9C">
              <w:rPr>
                <w:rFonts w:ascii="Arial" w:hAnsi="Arial"/>
                <w:sz w:val="22"/>
                <w:szCs w:val="22"/>
              </w:rPr>
              <w:t xml:space="preserve"> 2111154</w:t>
            </w:r>
          </w:p>
        </w:tc>
        <w:tc>
          <w:tcPr>
            <w:tcW w:w="1802" w:type="dxa"/>
          </w:tcPr>
          <w:p w14:paraId="503C0E13" w14:textId="77777777" w:rsidR="00624E12" w:rsidRDefault="00624E12" w:rsidP="00B43401">
            <w:pPr>
              <w:pStyle w:val="NormalWeb"/>
              <w:ind w:right="34"/>
            </w:pPr>
            <w:r>
              <w:rPr>
                <w:rFonts w:ascii="Arial" w:hAnsi="Arial"/>
                <w:sz w:val="22"/>
                <w:szCs w:val="22"/>
              </w:rPr>
              <w:t>Educational support needs:</w:t>
            </w:r>
          </w:p>
          <w:p w14:paraId="2AF4E24B" w14:textId="77777777" w:rsidR="00624E12" w:rsidRDefault="00624E12" w:rsidP="00B43401">
            <w:pPr>
              <w:pStyle w:val="NormalWeb"/>
              <w:ind w:right="34"/>
            </w:pPr>
            <w:r>
              <w:rPr>
                <w:rFonts w:ascii="Arial" w:hAnsi="Arial"/>
                <w:sz w:val="22"/>
                <w:szCs w:val="22"/>
              </w:rPr>
              <w:t>Yes</w:t>
            </w:r>
          </w:p>
        </w:tc>
      </w:tr>
      <w:tr w:rsidR="00624E12" w14:paraId="662EF778" w14:textId="77777777" w:rsidTr="00B43401">
        <w:trPr>
          <w:trHeight w:val="1139"/>
        </w:trPr>
        <w:tc>
          <w:tcPr>
            <w:tcW w:w="8856" w:type="dxa"/>
            <w:gridSpan w:val="5"/>
          </w:tcPr>
          <w:p w14:paraId="27C77CC5" w14:textId="770DBC71" w:rsidR="00624E12" w:rsidRDefault="00624E12" w:rsidP="00B43401">
            <w:pPr>
              <w:pStyle w:val="NormalWeb"/>
              <w:ind w:left="29" w:right="34"/>
            </w:pPr>
            <w:r>
              <w:rPr>
                <w:rFonts w:ascii="Arial" w:hAnsi="Arial"/>
                <w:sz w:val="22"/>
                <w:szCs w:val="22"/>
              </w:rPr>
              <w:t xml:space="preserve">Assignment title: </w:t>
            </w:r>
            <w:r w:rsidRPr="00624E12">
              <w:rPr>
                <w:rFonts w:ascii="Arial" w:hAnsi="Arial"/>
                <w:b/>
                <w:bCs/>
                <w:sz w:val="22"/>
                <w:szCs w:val="22"/>
              </w:rPr>
              <w:t>Analyse the roles of, and relationship between, cosmology and divination in Ancient Mesopotamia</w:t>
            </w:r>
          </w:p>
          <w:p w14:paraId="2B0A6C75" w14:textId="77777777" w:rsidR="00624E12" w:rsidRDefault="00624E12" w:rsidP="00B43401">
            <w:pPr>
              <w:pStyle w:val="NormalWeb"/>
              <w:ind w:right="34"/>
              <w:rPr>
                <w:rFonts w:ascii="Arial" w:hAnsi="Arial"/>
                <w:sz w:val="22"/>
                <w:szCs w:val="22"/>
              </w:rPr>
            </w:pPr>
          </w:p>
          <w:p w14:paraId="49EF84A4" w14:textId="77777777" w:rsidR="00624E12" w:rsidRDefault="00624E12" w:rsidP="00B43401">
            <w:pPr>
              <w:pStyle w:val="NormalWeb"/>
              <w:ind w:right="34"/>
              <w:rPr>
                <w:rFonts w:ascii="Arial" w:hAnsi="Arial"/>
                <w:sz w:val="22"/>
                <w:szCs w:val="22"/>
              </w:rPr>
            </w:pPr>
          </w:p>
          <w:p w14:paraId="04C07401" w14:textId="77777777" w:rsidR="00624E12" w:rsidRDefault="00624E12" w:rsidP="00B43401">
            <w:pPr>
              <w:pStyle w:val="NormalWeb"/>
              <w:ind w:right="34"/>
            </w:pPr>
            <w:r>
              <w:rPr>
                <w:rFonts w:ascii="Arial" w:hAnsi="Arial"/>
                <w:sz w:val="22"/>
                <w:szCs w:val="22"/>
              </w:rPr>
              <w:t>Assignment due date: 24/04/2023</w:t>
            </w:r>
          </w:p>
        </w:tc>
      </w:tr>
      <w:tr w:rsidR="00624E12" w14:paraId="3B296CFA" w14:textId="77777777" w:rsidTr="00B43401">
        <w:trPr>
          <w:trHeight w:val="978"/>
        </w:trPr>
        <w:tc>
          <w:tcPr>
            <w:tcW w:w="8856" w:type="dxa"/>
            <w:gridSpan w:val="5"/>
            <w:tcBorders>
              <w:bottom w:val="single" w:sz="4" w:space="0" w:color="000000"/>
            </w:tcBorders>
          </w:tcPr>
          <w:p w14:paraId="32D89DC5" w14:textId="77777777" w:rsidR="00624E12" w:rsidRDefault="00624E12" w:rsidP="00B43401">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w:t>
            </w:r>
            <w:r w:rsidRPr="00013526">
              <w:rPr>
                <w:rFonts w:ascii="Arial" w:hAnsi="Arial"/>
                <w:sz w:val="22"/>
                <w:szCs w:val="22"/>
              </w:rPr>
              <w:t>2</w:t>
            </w:r>
            <w:r w:rsidRPr="00013526">
              <w:rPr>
                <w:rFonts w:ascii="Arial" w:hAnsi="Arial"/>
                <w:sz w:val="22"/>
                <w:szCs w:val="22"/>
                <w:vertAlign w:val="superscript"/>
              </w:rPr>
              <w:t>nd</w:t>
            </w:r>
            <w:r>
              <w:rPr>
                <w:rFonts w:ascii="Arial" w:hAnsi="Arial"/>
                <w:sz w:val="22"/>
                <w:szCs w:val="22"/>
              </w:rPr>
              <w:t xml:space="preserve">       </w:t>
            </w:r>
            <w:r w:rsidRPr="006B79E8">
              <w:rPr>
                <w:rFonts w:ascii="Arial" w:hAnsi="Arial"/>
                <w:sz w:val="22"/>
                <w:szCs w:val="22"/>
              </w:rPr>
              <w:t>3</w:t>
            </w:r>
            <w:r w:rsidRPr="006B79E8">
              <w:rPr>
                <w:rFonts w:ascii="Arial" w:hAnsi="Arial"/>
                <w:sz w:val="22"/>
                <w:szCs w:val="22"/>
                <w:vertAlign w:val="superscript"/>
              </w:rPr>
              <w:t>rd</w:t>
            </w:r>
            <w:r>
              <w:rPr>
                <w:rFonts w:ascii="Arial" w:hAnsi="Arial"/>
                <w:sz w:val="22"/>
                <w:szCs w:val="22"/>
              </w:rPr>
              <w:t xml:space="preserve">        </w:t>
            </w:r>
            <w:r w:rsidRPr="006B79E8">
              <w:rPr>
                <w:rFonts w:ascii="Arial" w:hAnsi="Arial"/>
                <w:sz w:val="22"/>
                <w:szCs w:val="22"/>
                <w:highlight w:val="green"/>
              </w:rPr>
              <w:t>4</w:t>
            </w:r>
            <w:r w:rsidRPr="006B79E8">
              <w:rPr>
                <w:rFonts w:ascii="Arial" w:hAnsi="Arial"/>
                <w:sz w:val="22"/>
                <w:szCs w:val="22"/>
                <w:highlight w:val="green"/>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624E12" w14:paraId="2A6BEE95" w14:textId="77777777" w:rsidTr="00B43401">
        <w:trPr>
          <w:trHeight w:val="978"/>
        </w:trPr>
        <w:tc>
          <w:tcPr>
            <w:tcW w:w="8856" w:type="dxa"/>
            <w:gridSpan w:val="5"/>
            <w:shd w:val="clear" w:color="auto" w:fill="D9D9D9"/>
          </w:tcPr>
          <w:p w14:paraId="3F468791" w14:textId="77777777" w:rsidR="00624E12" w:rsidRDefault="00624E12" w:rsidP="00B43401">
            <w:pPr>
              <w:pStyle w:val="NormalWeb"/>
              <w:ind w:right="34"/>
            </w:pPr>
            <w:r>
              <w:rPr>
                <w:rFonts w:ascii="Arial" w:hAnsi="Arial"/>
                <w:sz w:val="22"/>
                <w:szCs w:val="22"/>
              </w:rPr>
              <w:t>I confirm that this is my original work and that I have adhered to the University policy on plagiarism.</w:t>
            </w:r>
          </w:p>
          <w:p w14:paraId="0FCB89DD" w14:textId="77777777" w:rsidR="00624E12" w:rsidRDefault="00624E12" w:rsidP="00B43401">
            <w:pPr>
              <w:pStyle w:val="NormalWeb"/>
              <w:ind w:right="34"/>
              <w:rPr>
                <w:rFonts w:ascii="Arial" w:hAnsi="Arial"/>
                <w:sz w:val="22"/>
                <w:szCs w:val="22"/>
              </w:rPr>
            </w:pPr>
            <w:r>
              <w:rPr>
                <w:rFonts w:ascii="Arial" w:hAnsi="Arial"/>
                <w:sz w:val="22"/>
                <w:szCs w:val="22"/>
              </w:rPr>
              <w:t>Signed ……/</w:t>
            </w:r>
            <w:proofErr w:type="spellStart"/>
            <w:r>
              <w:rPr>
                <w:rFonts w:ascii="Arial" w:hAnsi="Arial"/>
                <w:sz w:val="22"/>
                <w:szCs w:val="22"/>
              </w:rPr>
              <w:t>vadimzaver</w:t>
            </w:r>
            <w:proofErr w:type="spellEnd"/>
            <w:r>
              <w:rPr>
                <w:rFonts w:ascii="Arial" w:hAnsi="Arial"/>
                <w:sz w:val="22"/>
                <w:szCs w:val="22"/>
              </w:rPr>
              <w:t>/………………………………………………………</w:t>
            </w:r>
          </w:p>
          <w:p w14:paraId="0E74A201" w14:textId="77777777" w:rsidR="00624E12" w:rsidRDefault="00624E12" w:rsidP="00B43401">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2B77B51D" w14:textId="77777777" w:rsidR="00624E12" w:rsidRDefault="00624E12" w:rsidP="00B43401">
            <w:pPr>
              <w:pStyle w:val="NormalWeb"/>
              <w:ind w:right="34"/>
            </w:pPr>
            <w:r>
              <w:rPr>
                <w:rFonts w:ascii="Calibri" w:hAnsi="Calibri"/>
                <w:b/>
                <w:sz w:val="24"/>
                <w:szCs w:val="24"/>
              </w:rPr>
              <w:t>(as a substitute for your signature) to confirm that you agree to the above declaration.</w:t>
            </w:r>
          </w:p>
        </w:tc>
      </w:tr>
      <w:tr w:rsidR="00624E12" w14:paraId="4DD58825" w14:textId="77777777" w:rsidTr="00B43401">
        <w:trPr>
          <w:trHeight w:val="3972"/>
        </w:trPr>
        <w:tc>
          <w:tcPr>
            <w:tcW w:w="8856" w:type="dxa"/>
            <w:gridSpan w:val="5"/>
          </w:tcPr>
          <w:p w14:paraId="09AC83D4" w14:textId="77777777" w:rsidR="00624E12" w:rsidRDefault="00624E12" w:rsidP="00B43401">
            <w:pPr>
              <w:rPr>
                <w:rFonts w:ascii="Arial" w:hAnsi="Arial"/>
                <w:b/>
              </w:rPr>
            </w:pPr>
          </w:p>
          <w:p w14:paraId="3A4A0A3F" w14:textId="77777777" w:rsidR="00624E12" w:rsidRDefault="00624E12" w:rsidP="00B43401">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624E12" w14:paraId="31CBC2BD" w14:textId="77777777" w:rsidTr="00B43401">
              <w:tc>
                <w:tcPr>
                  <w:tcW w:w="6970" w:type="dxa"/>
                </w:tcPr>
                <w:p w14:paraId="4577EF80" w14:textId="77777777" w:rsidR="00624E12" w:rsidRDefault="00624E12" w:rsidP="00B43401">
                  <w:pPr>
                    <w:rPr>
                      <w:rFonts w:ascii="Arial" w:hAnsi="Arial"/>
                      <w:sz w:val="20"/>
                      <w:szCs w:val="20"/>
                    </w:rPr>
                  </w:pPr>
                </w:p>
                <w:p w14:paraId="252BC876" w14:textId="77777777" w:rsidR="00624E12" w:rsidRDefault="00624E12" w:rsidP="00B43401">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1BB60ADF" w14:textId="77777777" w:rsidR="00624E12" w:rsidRDefault="00624E12" w:rsidP="00B43401">
                  <w:pPr>
                    <w:rPr>
                      <w:rFonts w:ascii="Arial" w:hAnsi="Arial"/>
                      <w:sz w:val="20"/>
                      <w:szCs w:val="20"/>
                    </w:rPr>
                  </w:pPr>
                </w:p>
              </w:tc>
            </w:tr>
            <w:tr w:rsidR="00624E12" w14:paraId="0F1ADCB1" w14:textId="77777777" w:rsidTr="00B43401">
              <w:tc>
                <w:tcPr>
                  <w:tcW w:w="6970" w:type="dxa"/>
                </w:tcPr>
                <w:p w14:paraId="70FA8933" w14:textId="77777777" w:rsidR="00624E12" w:rsidRDefault="00624E12" w:rsidP="00B43401">
                  <w:pPr>
                    <w:rPr>
                      <w:rFonts w:ascii="Arial" w:hAnsi="Arial"/>
                      <w:sz w:val="20"/>
                      <w:szCs w:val="20"/>
                    </w:rPr>
                  </w:pPr>
                </w:p>
                <w:p w14:paraId="566E60BD" w14:textId="77777777" w:rsidR="00624E12" w:rsidRDefault="00624E12" w:rsidP="00B43401">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63820C33" w14:textId="77777777" w:rsidR="00624E12" w:rsidRDefault="00624E12" w:rsidP="00B43401">
                  <w:pPr>
                    <w:rPr>
                      <w:rFonts w:ascii="Arial" w:hAnsi="Arial"/>
                      <w:sz w:val="20"/>
                      <w:szCs w:val="20"/>
                    </w:rPr>
                  </w:pPr>
                </w:p>
              </w:tc>
            </w:tr>
            <w:tr w:rsidR="00624E12" w14:paraId="5B567BE1" w14:textId="77777777" w:rsidTr="00B43401">
              <w:tc>
                <w:tcPr>
                  <w:tcW w:w="6970" w:type="dxa"/>
                </w:tcPr>
                <w:p w14:paraId="149135D0" w14:textId="77777777" w:rsidR="00624E12" w:rsidRDefault="00624E12" w:rsidP="00B43401">
                  <w:pPr>
                    <w:rPr>
                      <w:rFonts w:ascii="Arial" w:hAnsi="Arial"/>
                      <w:sz w:val="20"/>
                      <w:szCs w:val="20"/>
                    </w:rPr>
                  </w:pPr>
                </w:p>
                <w:p w14:paraId="21CA394B" w14:textId="77777777" w:rsidR="00624E12" w:rsidRDefault="00624E12" w:rsidP="00B43401">
                  <w:pPr>
                    <w:rPr>
                      <w:rFonts w:ascii="Arial" w:hAnsi="Arial"/>
                      <w:sz w:val="20"/>
                      <w:szCs w:val="20"/>
                    </w:rPr>
                  </w:pPr>
                  <w:r>
                    <w:rPr>
                      <w:rFonts w:ascii="Arial" w:hAnsi="Arial"/>
                      <w:sz w:val="20"/>
                      <w:szCs w:val="20"/>
                    </w:rPr>
                    <w:t>External Examiner’s mark (if relevant)</w:t>
                  </w:r>
                </w:p>
              </w:tc>
              <w:tc>
                <w:tcPr>
                  <w:tcW w:w="1660" w:type="dxa"/>
                </w:tcPr>
                <w:p w14:paraId="6604A5B8" w14:textId="77777777" w:rsidR="00624E12" w:rsidRDefault="00624E12" w:rsidP="00B43401">
                  <w:pPr>
                    <w:rPr>
                      <w:rFonts w:ascii="Arial" w:hAnsi="Arial"/>
                      <w:sz w:val="20"/>
                      <w:szCs w:val="20"/>
                    </w:rPr>
                  </w:pPr>
                </w:p>
              </w:tc>
            </w:tr>
            <w:tr w:rsidR="00624E12" w14:paraId="6E0A874F" w14:textId="77777777" w:rsidTr="00B43401">
              <w:tc>
                <w:tcPr>
                  <w:tcW w:w="6970" w:type="dxa"/>
                </w:tcPr>
                <w:p w14:paraId="1FDB4021" w14:textId="77777777" w:rsidR="00624E12" w:rsidRDefault="00624E12" w:rsidP="00B43401">
                  <w:pPr>
                    <w:rPr>
                      <w:rFonts w:ascii="Arial" w:hAnsi="Arial"/>
                      <w:sz w:val="20"/>
                      <w:szCs w:val="20"/>
                    </w:rPr>
                  </w:pPr>
                </w:p>
                <w:p w14:paraId="39380037" w14:textId="77777777" w:rsidR="00624E12" w:rsidRDefault="00624E12" w:rsidP="00B43401">
                  <w:r>
                    <w:rPr>
                      <w:rFonts w:ascii="Arial" w:hAnsi="Arial"/>
                      <w:b/>
                      <w:sz w:val="20"/>
                      <w:szCs w:val="20"/>
                    </w:rPr>
                    <w:t>Final Mark</w:t>
                  </w:r>
                </w:p>
                <w:p w14:paraId="346D09BC" w14:textId="77777777" w:rsidR="00624E12" w:rsidRDefault="00624E12" w:rsidP="00B43401">
                  <w:pPr>
                    <w:rPr>
                      <w:rFonts w:ascii="Arial" w:hAnsi="Arial"/>
                      <w:sz w:val="20"/>
                      <w:szCs w:val="20"/>
                    </w:rPr>
                  </w:pPr>
                </w:p>
              </w:tc>
              <w:tc>
                <w:tcPr>
                  <w:tcW w:w="1660" w:type="dxa"/>
                </w:tcPr>
                <w:p w14:paraId="561B3D46" w14:textId="77777777" w:rsidR="00624E12" w:rsidRDefault="00624E12" w:rsidP="00B43401">
                  <w:pPr>
                    <w:rPr>
                      <w:rFonts w:ascii="Arial" w:hAnsi="Arial"/>
                      <w:sz w:val="20"/>
                      <w:szCs w:val="20"/>
                    </w:rPr>
                  </w:pPr>
                </w:p>
              </w:tc>
            </w:tr>
          </w:tbl>
          <w:p w14:paraId="24F5DC95" w14:textId="77777777" w:rsidR="00624E12" w:rsidRDefault="00624E12" w:rsidP="00B43401">
            <w:pPr>
              <w:pStyle w:val="NormalWeb"/>
              <w:ind w:left="142" w:right="34"/>
              <w:rPr>
                <w:rFonts w:ascii="Arial" w:hAnsi="Arial"/>
                <w:b/>
                <w:sz w:val="22"/>
                <w:szCs w:val="22"/>
              </w:rPr>
            </w:pPr>
          </w:p>
          <w:p w14:paraId="071C15C7" w14:textId="77777777" w:rsidR="00624E12" w:rsidRDefault="00624E12" w:rsidP="00B43401">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5B7C1802" w14:textId="77777777" w:rsidR="00624E12" w:rsidRDefault="00624E12" w:rsidP="00B43401">
            <w:pPr>
              <w:pStyle w:val="NormalWeb"/>
              <w:rPr>
                <w:rFonts w:ascii="Arial" w:hAnsi="Arial"/>
                <w:b/>
                <w:sz w:val="22"/>
                <w:szCs w:val="22"/>
              </w:rPr>
            </w:pPr>
          </w:p>
          <w:p w14:paraId="42B1DEB7" w14:textId="77777777" w:rsidR="00624E12" w:rsidRDefault="00624E12" w:rsidP="00B43401">
            <w:pPr>
              <w:pStyle w:val="NormalWeb"/>
              <w:rPr>
                <w:rFonts w:ascii="Arial" w:hAnsi="Arial"/>
                <w:b/>
                <w:sz w:val="22"/>
                <w:szCs w:val="22"/>
              </w:rPr>
            </w:pPr>
          </w:p>
          <w:p w14:paraId="3CB9F217" w14:textId="77777777" w:rsidR="00624E12" w:rsidRDefault="00624E12" w:rsidP="00B43401">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44892D81" w14:textId="77777777" w:rsidR="00624E12" w:rsidRDefault="00624E12" w:rsidP="00B43401">
            <w:pPr>
              <w:pStyle w:val="NormalWeb"/>
              <w:rPr>
                <w:rFonts w:ascii="Arial" w:hAnsi="Arial"/>
                <w:b/>
                <w:sz w:val="22"/>
                <w:szCs w:val="22"/>
              </w:rPr>
            </w:pPr>
          </w:p>
          <w:p w14:paraId="5DA37CD6" w14:textId="77777777" w:rsidR="00624E12" w:rsidRDefault="00624E12" w:rsidP="00B43401">
            <w:pPr>
              <w:pStyle w:val="NormalWeb"/>
              <w:rPr>
                <w:rFonts w:ascii="Arial" w:hAnsi="Arial"/>
                <w:b/>
                <w:sz w:val="22"/>
                <w:szCs w:val="22"/>
              </w:rPr>
            </w:pPr>
          </w:p>
          <w:p w14:paraId="63F908D0" w14:textId="77777777" w:rsidR="00624E12" w:rsidRDefault="00624E12" w:rsidP="00B43401">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63D4030E" w14:textId="77777777" w:rsidR="00624E12" w:rsidRDefault="00624E12" w:rsidP="00B43401">
            <w:pPr>
              <w:pStyle w:val="NormalWeb"/>
              <w:rPr>
                <w:rFonts w:ascii="Arial" w:hAnsi="Arial"/>
                <w:sz w:val="22"/>
                <w:szCs w:val="22"/>
              </w:rPr>
            </w:pPr>
            <w:r>
              <w:rPr>
                <w:rFonts w:ascii="Arial" w:hAnsi="Arial"/>
                <w:sz w:val="22"/>
                <w:szCs w:val="22"/>
              </w:rPr>
              <w:t>Comments:</w:t>
            </w:r>
          </w:p>
          <w:p w14:paraId="578614B7" w14:textId="77777777" w:rsidR="00624E12" w:rsidRDefault="00624E12" w:rsidP="00B43401">
            <w:pPr>
              <w:pStyle w:val="NormalWeb"/>
            </w:pPr>
          </w:p>
        </w:tc>
      </w:tr>
      <w:tr w:rsidR="00624E12" w14:paraId="2959E953" w14:textId="77777777" w:rsidTr="00B43401">
        <w:trPr>
          <w:trHeight w:val="492"/>
        </w:trPr>
        <w:tc>
          <w:tcPr>
            <w:tcW w:w="6768" w:type="dxa"/>
            <w:gridSpan w:val="3"/>
          </w:tcPr>
          <w:p w14:paraId="13D4E137" w14:textId="77777777" w:rsidR="00624E12" w:rsidRDefault="00624E12" w:rsidP="00B43401">
            <w:pPr>
              <w:pStyle w:val="NormalWeb"/>
              <w:ind w:left="142" w:right="34"/>
            </w:pPr>
            <w:r>
              <w:rPr>
                <w:rFonts w:ascii="Arial" w:hAnsi="Arial"/>
                <w:sz w:val="22"/>
                <w:szCs w:val="22"/>
              </w:rPr>
              <w:t>Marker’s signature:</w:t>
            </w:r>
          </w:p>
        </w:tc>
        <w:tc>
          <w:tcPr>
            <w:tcW w:w="2088" w:type="dxa"/>
            <w:gridSpan w:val="2"/>
          </w:tcPr>
          <w:p w14:paraId="68D0B26D" w14:textId="77777777" w:rsidR="00624E12" w:rsidRDefault="00624E12" w:rsidP="00B43401">
            <w:pPr>
              <w:pStyle w:val="NormalWeb"/>
              <w:ind w:right="34"/>
            </w:pPr>
            <w:r>
              <w:rPr>
                <w:rFonts w:ascii="Arial" w:hAnsi="Arial"/>
                <w:sz w:val="22"/>
                <w:szCs w:val="22"/>
              </w:rPr>
              <w:t>Date:</w:t>
            </w:r>
          </w:p>
        </w:tc>
      </w:tr>
      <w:tr w:rsidR="00624E12" w14:paraId="50077E88" w14:textId="77777777" w:rsidTr="00B43401">
        <w:tc>
          <w:tcPr>
            <w:tcW w:w="8856" w:type="dxa"/>
            <w:gridSpan w:val="5"/>
          </w:tcPr>
          <w:p w14:paraId="7958D3F0" w14:textId="77777777" w:rsidR="00624E12" w:rsidRDefault="00624E12" w:rsidP="00B43401">
            <w:pPr>
              <w:pStyle w:val="NormalWeb"/>
              <w:ind w:right="-334"/>
              <w:rPr>
                <w:rFonts w:ascii="Arial" w:hAnsi="Arial"/>
                <w:i/>
                <w:sz w:val="22"/>
                <w:szCs w:val="22"/>
              </w:rPr>
            </w:pPr>
          </w:p>
          <w:p w14:paraId="5FC7A6A1" w14:textId="77777777" w:rsidR="00624E12" w:rsidRDefault="00624E12" w:rsidP="00B43401">
            <w:pPr>
              <w:pStyle w:val="NormalWeb"/>
              <w:ind w:right="-334"/>
            </w:pPr>
            <w:r>
              <w:rPr>
                <w:rFonts w:ascii="Arial" w:hAnsi="Arial"/>
                <w:b/>
                <w:sz w:val="22"/>
                <w:szCs w:val="22"/>
              </w:rPr>
              <w:t>For completion by Marker 2/Moderator:</w:t>
            </w:r>
          </w:p>
          <w:p w14:paraId="095065DA" w14:textId="77777777" w:rsidR="00624E12" w:rsidRDefault="00624E12" w:rsidP="00B43401">
            <w:pPr>
              <w:pStyle w:val="NormalWeb"/>
              <w:ind w:right="-334"/>
              <w:rPr>
                <w:rFonts w:ascii="Arial" w:hAnsi="Arial"/>
                <w:b/>
                <w:sz w:val="22"/>
                <w:szCs w:val="22"/>
              </w:rPr>
            </w:pPr>
          </w:p>
          <w:p w14:paraId="6C601D3B" w14:textId="77777777" w:rsidR="00624E12" w:rsidRDefault="00624E12" w:rsidP="00B43401">
            <w:pPr>
              <w:pStyle w:val="NormalWeb"/>
              <w:ind w:right="-334"/>
            </w:pPr>
            <w:r>
              <w:rPr>
                <w:rFonts w:ascii="Arial" w:hAnsi="Arial"/>
                <w:sz w:val="22"/>
                <w:szCs w:val="22"/>
              </w:rPr>
              <w:t>Comments:</w:t>
            </w:r>
          </w:p>
          <w:p w14:paraId="3E4E53C0" w14:textId="77777777" w:rsidR="00624E12" w:rsidRDefault="00624E12" w:rsidP="00B43401">
            <w:pPr>
              <w:pStyle w:val="NormalWeb"/>
              <w:ind w:right="-334"/>
              <w:rPr>
                <w:rFonts w:ascii="Arial" w:hAnsi="Arial"/>
                <w:sz w:val="22"/>
                <w:szCs w:val="22"/>
              </w:rPr>
            </w:pPr>
          </w:p>
          <w:p w14:paraId="5DEFB534" w14:textId="77777777" w:rsidR="00624E12" w:rsidRDefault="00624E12" w:rsidP="00B43401">
            <w:pPr>
              <w:pStyle w:val="NormalWeb"/>
              <w:ind w:right="-334"/>
              <w:rPr>
                <w:rFonts w:ascii="Arial" w:hAnsi="Arial"/>
                <w:sz w:val="22"/>
                <w:szCs w:val="22"/>
              </w:rPr>
            </w:pPr>
          </w:p>
        </w:tc>
      </w:tr>
      <w:tr w:rsidR="00624E12" w14:paraId="0E99035F" w14:textId="77777777" w:rsidTr="00B43401">
        <w:trPr>
          <w:trHeight w:val="720"/>
        </w:trPr>
        <w:tc>
          <w:tcPr>
            <w:tcW w:w="5211" w:type="dxa"/>
            <w:gridSpan w:val="2"/>
          </w:tcPr>
          <w:p w14:paraId="4A8DFDCC" w14:textId="77777777" w:rsidR="00624E12" w:rsidRDefault="00624E12" w:rsidP="00B43401">
            <w:pPr>
              <w:pStyle w:val="NormalWeb"/>
              <w:ind w:right="-334"/>
            </w:pPr>
            <w:r>
              <w:rPr>
                <w:rFonts w:ascii="Arial" w:hAnsi="Arial"/>
                <w:sz w:val="22"/>
                <w:szCs w:val="22"/>
              </w:rPr>
              <w:t>Marker’s Signature:</w:t>
            </w:r>
          </w:p>
        </w:tc>
        <w:tc>
          <w:tcPr>
            <w:tcW w:w="3645" w:type="dxa"/>
            <w:gridSpan w:val="3"/>
          </w:tcPr>
          <w:p w14:paraId="444E6582" w14:textId="77777777" w:rsidR="00624E12" w:rsidRDefault="00624E12" w:rsidP="00B43401">
            <w:pPr>
              <w:pStyle w:val="NormalWeb"/>
              <w:ind w:right="-334"/>
            </w:pPr>
            <w:r>
              <w:rPr>
                <w:rFonts w:ascii="Arial" w:hAnsi="Arial"/>
                <w:sz w:val="22"/>
                <w:szCs w:val="22"/>
              </w:rPr>
              <w:t>Date:</w:t>
            </w:r>
          </w:p>
        </w:tc>
      </w:tr>
      <w:tr w:rsidR="00624E12" w14:paraId="012F5AA3" w14:textId="77777777" w:rsidTr="00B43401">
        <w:trPr>
          <w:trHeight w:val="720"/>
        </w:trPr>
        <w:tc>
          <w:tcPr>
            <w:tcW w:w="8856" w:type="dxa"/>
            <w:gridSpan w:val="5"/>
          </w:tcPr>
          <w:p w14:paraId="1F231081" w14:textId="77777777" w:rsidR="00624E12" w:rsidRDefault="00624E12" w:rsidP="00B43401">
            <w:r>
              <w:rPr>
                <w:rFonts w:ascii="Arial" w:hAnsi="Arial"/>
                <w:b/>
                <w:sz w:val="22"/>
                <w:szCs w:val="22"/>
              </w:rPr>
              <w:t>External Examiner’s comments (if relevant)</w:t>
            </w:r>
          </w:p>
          <w:p w14:paraId="1F3CF929" w14:textId="77777777" w:rsidR="00624E12" w:rsidRDefault="00624E12" w:rsidP="00B43401">
            <w:pPr>
              <w:pStyle w:val="NormalWeb"/>
              <w:ind w:right="-334"/>
              <w:rPr>
                <w:rFonts w:ascii="Arial" w:hAnsi="Arial"/>
                <w:sz w:val="22"/>
                <w:szCs w:val="22"/>
              </w:rPr>
            </w:pPr>
          </w:p>
        </w:tc>
      </w:tr>
      <w:tr w:rsidR="00624E12" w14:paraId="519C75D9" w14:textId="77777777" w:rsidTr="00B43401">
        <w:trPr>
          <w:trHeight w:val="720"/>
        </w:trPr>
        <w:tc>
          <w:tcPr>
            <w:tcW w:w="5211" w:type="dxa"/>
            <w:gridSpan w:val="2"/>
          </w:tcPr>
          <w:p w14:paraId="10B4D04C" w14:textId="77777777" w:rsidR="00624E12" w:rsidRDefault="00624E12" w:rsidP="00B43401">
            <w:r>
              <w:rPr>
                <w:rFonts w:ascii="Arial" w:hAnsi="Arial"/>
                <w:sz w:val="22"/>
                <w:szCs w:val="22"/>
              </w:rPr>
              <w:t>External Examiner’s Signature:</w:t>
            </w:r>
          </w:p>
        </w:tc>
        <w:tc>
          <w:tcPr>
            <w:tcW w:w="3645" w:type="dxa"/>
            <w:gridSpan w:val="3"/>
          </w:tcPr>
          <w:p w14:paraId="03A7A61E" w14:textId="77777777" w:rsidR="00624E12" w:rsidRDefault="00624E12" w:rsidP="00B43401">
            <w:r>
              <w:rPr>
                <w:rFonts w:ascii="Arial" w:hAnsi="Arial"/>
                <w:sz w:val="22"/>
                <w:szCs w:val="22"/>
              </w:rPr>
              <w:t>Date:</w:t>
            </w:r>
          </w:p>
        </w:tc>
      </w:tr>
    </w:tbl>
    <w:p w14:paraId="74252D10" w14:textId="77777777" w:rsidR="00624E12" w:rsidRDefault="00624E12" w:rsidP="005D5A0E">
      <w:pPr>
        <w:pStyle w:val="Subhead"/>
      </w:pPr>
    </w:p>
    <w:p w14:paraId="7CFF6D92" w14:textId="77777777" w:rsidR="00624E12" w:rsidRDefault="00624E12">
      <w:pPr>
        <w:rPr>
          <w:rFonts w:ascii="Times New Roman" w:eastAsia="Times New Roman" w:hAnsi="Times New Roman" w:cs="Times New Roman (Body CS)"/>
          <w:color w:val="000000" w:themeColor="text1"/>
        </w:rPr>
      </w:pPr>
      <w:r>
        <w:br w:type="page"/>
      </w:r>
    </w:p>
    <w:p w14:paraId="281F2261" w14:textId="1A5654C9" w:rsidR="00B945E6" w:rsidRDefault="00B945E6" w:rsidP="00B945E6">
      <w:pPr>
        <w:pStyle w:val="Subhead"/>
      </w:pPr>
      <w:r>
        <w:lastRenderedPageBreak/>
        <w:t>Introduction</w:t>
      </w:r>
    </w:p>
    <w:p w14:paraId="0E446D72" w14:textId="389E57D7" w:rsidR="00AD4A4B" w:rsidRPr="00AD4A4B" w:rsidRDefault="00660203" w:rsidP="00660203">
      <w:pPr>
        <w:pStyle w:val="BodyNoIndent"/>
      </w:pPr>
      <w:r>
        <w:t>T</w:t>
      </w:r>
      <w:r w:rsidR="00AD4A4B" w:rsidRPr="00AD4A4B">
        <w:t>he purpose of this essay is to examine ancient Mesopotamian cosmology and divination in light of ancient and modern sources which are treated as an intertext, and through an interdisciplinary approach to the subject. For analysis of texts, a self-made software application was used. Altogether, over 500 texts were used for preliminary analysis</w:t>
      </w:r>
      <w:r w:rsidR="00624E12">
        <w:t>.</w:t>
      </w:r>
      <w:r w:rsidR="00AD4A4B" w:rsidRPr="00AD4A4B">
        <w:t xml:space="preserve"> The research was the underwater part of the iceberg of this essay. The aim of the essay was to </w:t>
      </w:r>
      <w:r w:rsidRPr="00AD4A4B">
        <w:t>analyse</w:t>
      </w:r>
      <w:r w:rsidR="00AD4A4B" w:rsidRPr="00AD4A4B">
        <w:t xml:space="preserve"> the roles of both Mesopotamian cosmology and divination, and to establish the most relevant relationships between these and modern problems. There is a disparity of views and figures between ancient and modern scholars, as old scholars quote sources which were available at the time, and modern scholars rely mostly on newly found evidence. This essay will try to establish whether ancient Mesopotamian cosmology and divination are relevant for modern cosmology, economics, and politics.</w:t>
      </w:r>
    </w:p>
    <w:p w14:paraId="2AA29238" w14:textId="43BFAEE9" w:rsidR="001C6D25" w:rsidRDefault="001C6D25" w:rsidP="001C6D25">
      <w:pPr>
        <w:pStyle w:val="Subhead"/>
      </w:pPr>
      <w:r>
        <w:t>Definition of Cosmology</w:t>
      </w:r>
    </w:p>
    <w:p w14:paraId="18CF4100" w14:textId="4F30D240" w:rsidR="001C6D25" w:rsidRPr="001C6D25" w:rsidRDefault="001C6D25" w:rsidP="00521140">
      <w:pPr>
        <w:pStyle w:val="BodyNoIndent"/>
      </w:pPr>
      <w:r>
        <w:t>Cosmology ‘deals with the ways in which human beings locate themselves in relation to the cosmos, seen as the totality of everything. It has huge significance for almost every aspect of human behaviour.</w:t>
      </w:r>
      <w:r>
        <w:rPr>
          <w:rStyle w:val="FootnoteReference"/>
        </w:rPr>
        <w:footnoteReference w:id="1"/>
      </w:r>
    </w:p>
    <w:p w14:paraId="6F19BC4B" w14:textId="368DFB8A" w:rsidR="00FB1398" w:rsidRPr="00FB1398" w:rsidRDefault="00FB1398" w:rsidP="00BD0540">
      <w:pPr>
        <w:pStyle w:val="LongQuote"/>
      </w:pPr>
      <w:r>
        <w:t>There is no human society that does not somehow, in some way, relate its fears, concerns, hopes, and wishes to the sky, and to the organizing principle behind it, the cosmos. Neither is there any society that does not express at least some fascination with the sky and its mysteries.</w:t>
      </w:r>
      <w:r w:rsidR="00FB2C21">
        <w:rPr>
          <w:rStyle w:val="FootnoteReference"/>
        </w:rPr>
        <w:footnoteReference w:id="2"/>
      </w:r>
    </w:p>
    <w:p w14:paraId="08D121D2" w14:textId="3D20316D" w:rsidR="00B40E9A" w:rsidRDefault="00347F1A" w:rsidP="00B40E9A">
      <w:pPr>
        <w:pStyle w:val="Subhead"/>
      </w:pPr>
      <w:r>
        <w:t xml:space="preserve">Mesopotamian </w:t>
      </w:r>
      <w:r w:rsidR="00B40E9A">
        <w:t>Cosmology</w:t>
      </w:r>
    </w:p>
    <w:p w14:paraId="287D9240" w14:textId="123E1B8F" w:rsidR="00DC06EF" w:rsidRPr="00DC06EF" w:rsidRDefault="00DC06EF" w:rsidP="00E63C30">
      <w:pPr>
        <w:pStyle w:val="BodyNoIndent"/>
      </w:pPr>
      <w:r w:rsidRPr="00DC06EF">
        <w:t>Mesopotamian views of the creation, structure, and workings of the universe can be reconstructed from ancient Mesopotamian cuneiform texts.</w:t>
      </w:r>
    </w:p>
    <w:p w14:paraId="745E0CE6" w14:textId="33CC55AD" w:rsidR="00E63C30" w:rsidRDefault="00835514" w:rsidP="00E63C30">
      <w:pPr>
        <w:pStyle w:val="Body"/>
      </w:pPr>
      <w:r>
        <w:t>Earliest temples in Sumer were built around 6000BC,</w:t>
      </w:r>
      <w:r>
        <w:rPr>
          <w:rStyle w:val="FootnoteReference"/>
        </w:rPr>
        <w:footnoteReference w:id="3"/>
      </w:r>
      <w:r>
        <w:t xml:space="preserve"> and therefore the Sumerian religion likely existed at that time</w:t>
      </w:r>
      <w:r w:rsidR="00851347">
        <w:t>.</w:t>
      </w:r>
      <w:r w:rsidR="00176FDA">
        <w:t xml:space="preserve"> </w:t>
      </w:r>
      <w:r>
        <w:t>According to Frazer, religion is ‘a propitiation or conciliation of powers superior to man which are believed to direct and control the course of nature and of human life</w:t>
      </w:r>
      <w:r w:rsidR="00E63C30">
        <w:t>’</w:t>
      </w:r>
      <w:r>
        <w:t>.</w:t>
      </w:r>
      <w:r>
        <w:rPr>
          <w:rStyle w:val="FootnoteReference"/>
        </w:rPr>
        <w:footnoteReference w:id="4"/>
      </w:r>
      <w:r>
        <w:t xml:space="preserve"> </w:t>
      </w:r>
      <w:r w:rsidR="00A902AD">
        <w:t>In</w:t>
      </w:r>
      <w:r w:rsidR="00E63C30">
        <w:t xml:space="preserve"> </w:t>
      </w:r>
      <w:r w:rsidR="00E63C30" w:rsidRPr="00E63C30">
        <w:t>Mesopotamian religion, gods were connected to planets, so cosmology was an integral part of the religion.</w:t>
      </w:r>
    </w:p>
    <w:p w14:paraId="379F3136" w14:textId="77777777" w:rsidR="00B0188A" w:rsidRDefault="00B0188A" w:rsidP="00B0188A">
      <w:pPr>
        <w:pStyle w:val="LongQuote"/>
      </w:pPr>
      <w:r>
        <w:t xml:space="preserve">Celestial gods, such as the moon god Nanna, the sun god Utu, and </w:t>
      </w:r>
      <w:proofErr w:type="spellStart"/>
      <w:r>
        <w:t>Inana</w:t>
      </w:r>
      <w:proofErr w:type="spellEnd"/>
      <w:r>
        <w:t>, the planet Venus, were viewed as manifest in the heavenly bodies and as the personified powers in these natural phenomena.</w:t>
      </w:r>
      <w:r>
        <w:rPr>
          <w:rStyle w:val="FootnoteReference"/>
        </w:rPr>
        <w:footnoteReference w:id="5"/>
      </w:r>
    </w:p>
    <w:p w14:paraId="7A02D8AF" w14:textId="67358F63" w:rsidR="00F021A5" w:rsidRDefault="00E63C30" w:rsidP="00B0188A">
      <w:pPr>
        <w:pStyle w:val="BodyNoIndent"/>
      </w:pPr>
      <w:r w:rsidRPr="00E63C30">
        <w:t xml:space="preserve">Sumerian city Uruk was the first city on the planet. </w:t>
      </w:r>
      <w:proofErr w:type="spellStart"/>
      <w:r w:rsidRPr="00E63C30">
        <w:t>Uruk's</w:t>
      </w:r>
      <w:proofErr w:type="spellEnd"/>
      <w:r w:rsidRPr="00E63C30">
        <w:t xml:space="preserve"> king was also the high priest of the temple of Anu, the sky god</w:t>
      </w:r>
      <w:r w:rsidR="00F021A5">
        <w:t>:</w:t>
      </w:r>
    </w:p>
    <w:p w14:paraId="555AF615" w14:textId="380852AE" w:rsidR="00F021A5" w:rsidRDefault="00F021A5" w:rsidP="00F021A5">
      <w:pPr>
        <w:pStyle w:val="LongQuote"/>
      </w:pPr>
      <w:r>
        <w:t>The king was the high priest (</w:t>
      </w:r>
      <w:proofErr w:type="spellStart"/>
      <w:r>
        <w:t>en</w:t>
      </w:r>
      <w:proofErr w:type="spellEnd"/>
      <w:r>
        <w:t xml:space="preserve"> in Sumerian) of the city-god, the human administrator of the city on behalf of the god, the latter being the ideological head of the city.</w:t>
      </w:r>
      <w:r>
        <w:rPr>
          <w:rStyle w:val="FootnoteReference"/>
        </w:rPr>
        <w:footnoteReference w:id="6"/>
      </w:r>
    </w:p>
    <w:p w14:paraId="60F1E617" w14:textId="341302F2" w:rsidR="002A30CE" w:rsidRDefault="00FC2674" w:rsidP="00804043">
      <w:pPr>
        <w:pStyle w:val="BodyNoIndent"/>
      </w:pPr>
      <w:r>
        <w:t xml:space="preserve">The latest data say that </w:t>
      </w:r>
      <w:r w:rsidR="00DE4AD2">
        <w:t xml:space="preserve">the </w:t>
      </w:r>
      <w:r>
        <w:t xml:space="preserve">House of Heaven </w:t>
      </w:r>
      <w:r w:rsidR="00A902AD">
        <w:t xml:space="preserve">temple </w:t>
      </w:r>
      <w:r w:rsidR="008E2D34">
        <w:t xml:space="preserve">was </w:t>
      </w:r>
      <w:r>
        <w:t>built in Uruk between 3500BC and 3100BC and was 4,500 m</w:t>
      </w:r>
      <w:r w:rsidRPr="00A04D3E">
        <w:rPr>
          <w:rStyle w:val="Superscript"/>
        </w:rPr>
        <w:t>2</w:t>
      </w:r>
      <w:r>
        <w:t xml:space="preserve"> in size. St Paul</w:t>
      </w:r>
      <w:r w:rsidR="00804043">
        <w:t>’s</w:t>
      </w:r>
      <w:r>
        <w:t xml:space="preserve"> </w:t>
      </w:r>
      <w:r w:rsidR="00804043">
        <w:t>C</w:t>
      </w:r>
      <w:r>
        <w:t>athedral in London is 5,100 m</w:t>
      </w:r>
      <w:r w:rsidRPr="00A04D3E">
        <w:rPr>
          <w:rStyle w:val="Superscript"/>
        </w:rPr>
        <w:t>2</w:t>
      </w:r>
      <w:r>
        <w:t xml:space="preserve"> in size, but the House of Heaven was built on top of </w:t>
      </w:r>
      <w:r w:rsidR="00302BD2">
        <w:t>13</w:t>
      </w:r>
      <w:r w:rsidR="00804043">
        <w:t>-</w:t>
      </w:r>
      <w:r w:rsidR="00302BD2">
        <w:t>metre</w:t>
      </w:r>
      <w:r w:rsidR="00804043">
        <w:t>-high</w:t>
      </w:r>
      <w:r>
        <w:t xml:space="preserve"> high </w:t>
      </w:r>
      <w:r w:rsidR="00302BD2">
        <w:t xml:space="preserve">man-made </w:t>
      </w:r>
      <w:r>
        <w:t>terrace</w:t>
      </w:r>
      <w:r w:rsidR="00A902AD">
        <w:t>.</w:t>
      </w:r>
      <w:r>
        <w:t xml:space="preserve"> </w:t>
      </w:r>
      <w:r w:rsidR="00A902AD">
        <w:t>It</w:t>
      </w:r>
      <w:r>
        <w:t xml:space="preserve"> would have taken ‘1,500 people working ten hours a day for five years to build just this 13-metre-high (43 ft) platform’.</w:t>
      </w:r>
      <w:r>
        <w:rPr>
          <w:rStyle w:val="FootnoteReference"/>
        </w:rPr>
        <w:footnoteReference w:id="7"/>
      </w:r>
      <w:r>
        <w:t xml:space="preserve"> </w:t>
      </w:r>
      <w:r w:rsidR="00F021A5">
        <w:t xml:space="preserve"> </w:t>
      </w:r>
      <w:r w:rsidR="00D061F5">
        <w:t>Uruk</w:t>
      </w:r>
      <w:r w:rsidR="002A30CE">
        <w:t xml:space="preserve"> used </w:t>
      </w:r>
      <w:r w:rsidR="00A902AD">
        <w:t xml:space="preserve">a </w:t>
      </w:r>
      <w:r w:rsidR="002A30CE">
        <w:t>complex system of irrigation — long or herring bone fields, which greatly increase</w:t>
      </w:r>
      <w:r w:rsidR="00804043">
        <w:t>d</w:t>
      </w:r>
      <w:r w:rsidR="002A30CE">
        <w:t xml:space="preserve"> </w:t>
      </w:r>
      <w:r w:rsidR="00A902AD">
        <w:t xml:space="preserve">availability of irrigated </w:t>
      </w:r>
      <w:r w:rsidR="002A30CE">
        <w:t>agricultural land. The system was administrated and run by the temple:</w:t>
      </w:r>
    </w:p>
    <w:p w14:paraId="3B14FD1D" w14:textId="77777777" w:rsidR="002A30CE" w:rsidRDefault="002A30CE" w:rsidP="00BD0540">
      <w:pPr>
        <w:pStyle w:val="LongQuote"/>
      </w:pPr>
      <w:r>
        <w:lastRenderedPageBreak/>
        <w:t>The long fields therefore required the presence of a central coordinating agency for their planning and management.</w:t>
      </w:r>
      <w:r>
        <w:rPr>
          <w:rStyle w:val="FootnoteReference"/>
        </w:rPr>
        <w:footnoteReference w:id="8"/>
      </w:r>
    </w:p>
    <w:p w14:paraId="3DCAE11E" w14:textId="645B5A0E" w:rsidR="00804043" w:rsidRPr="00804043" w:rsidRDefault="00804043" w:rsidP="00804043">
      <w:pPr>
        <w:pStyle w:val="BodyNoIndent"/>
      </w:pPr>
      <w:r w:rsidRPr="00804043">
        <w:t>In Uruk, it was the priests of the temple who followed the will of the gods and provided the knowledge and management needed to efficiently run a complex agricultural system. As a result of the temple's coordination, there were three to five times more irrigated lands than if the land had been used by individuals. Childe compares Mesopotamia, after it had been cul</w:t>
      </w:r>
      <w:r w:rsidR="00082AA7">
        <w:t>tured</w:t>
      </w:r>
      <w:r w:rsidRPr="00804043">
        <w:t xml:space="preserve"> by the temple, to Eden</w:t>
      </w:r>
      <w:r w:rsidR="003B272D">
        <w:t>:</w:t>
      </w:r>
    </w:p>
    <w:p w14:paraId="0AA5A7DA" w14:textId="08EA50C1" w:rsidR="0039583E" w:rsidRDefault="0039583E" w:rsidP="00BD0540">
      <w:pPr>
        <w:pStyle w:val="LongQuote"/>
      </w:pPr>
      <w:r>
        <w:t>If once the flood waters could be controlled and canalized, the swamps drained, and the arid banks watered, it could be made a Garden of Eden. The soil was so fertile that a hundred-fold return was not impossible.</w:t>
      </w:r>
      <w:r>
        <w:rPr>
          <w:rStyle w:val="FootnoteReference"/>
        </w:rPr>
        <w:footnoteReference w:id="9"/>
      </w:r>
    </w:p>
    <w:p w14:paraId="642AE6C2" w14:textId="0E7A42C8" w:rsidR="00243857" w:rsidRDefault="00AC60D3" w:rsidP="00AC60D3">
      <w:pPr>
        <w:pStyle w:val="BodyNoIndent"/>
      </w:pPr>
      <w:r>
        <w:t xml:space="preserve">The </w:t>
      </w:r>
      <w:r w:rsidR="00CB7945">
        <w:t xml:space="preserve">Temple was </w:t>
      </w:r>
      <w:r>
        <w:t>directly involved in producing astronomical observations:</w:t>
      </w:r>
    </w:p>
    <w:p w14:paraId="019CC713" w14:textId="2D9C9DA9" w:rsidR="00243857" w:rsidRDefault="00243857" w:rsidP="00243857">
      <w:pPr>
        <w:pStyle w:val="LongQuote"/>
      </w:pPr>
      <w:r>
        <w:t>The duties of the son include making observations (</w:t>
      </w:r>
      <w:proofErr w:type="spellStart"/>
      <w:r>
        <w:t>nasaru</w:t>
      </w:r>
      <w:proofErr w:type="spellEnd"/>
      <w:r>
        <w:t>*), preparing tables (</w:t>
      </w:r>
      <w:proofErr w:type="spellStart"/>
      <w:r>
        <w:t>tersitu</w:t>
      </w:r>
      <w:proofErr w:type="spellEnd"/>
      <w:r>
        <w:t xml:space="preserve">*) and Normal Star Almanacs (at least the same word, meshi*, is used), and deliver them, working together with 5 </w:t>
      </w:r>
      <w:proofErr w:type="gramStart"/>
      <w:r>
        <w:t>other</w:t>
      </w:r>
      <w:proofErr w:type="gramEnd"/>
      <w:r>
        <w:t xml:space="preserve"> named "scribes of Enuma* Anu Enlil."</w:t>
      </w:r>
      <w:r>
        <w:rPr>
          <w:rStyle w:val="FootnoteReference"/>
        </w:rPr>
        <w:footnoteReference w:id="10"/>
      </w:r>
    </w:p>
    <w:p w14:paraId="19444019" w14:textId="5864D97A" w:rsidR="00A775F6" w:rsidRPr="00A775F6" w:rsidRDefault="00A775F6" w:rsidP="00A775F6">
      <w:pPr>
        <w:pStyle w:val="BodyNoIndent"/>
      </w:pPr>
      <w:r w:rsidRPr="00A775F6">
        <w:t>The job was transferred from father to son, implying that there was a tradition that went back in time. There are ongoing debates on whether astronomy and astrology played an important role in Mesopotamian cosmology. Ancient scholars claim that ancient knowledge of astronomy dates back to the times of Adam and Abraham. Mesopotamia is said to be the land of Adam, and the Sumerian city of Ur is claimed to be the place where Abraham lived.</w:t>
      </w:r>
    </w:p>
    <w:p w14:paraId="69D1038D" w14:textId="4118144C" w:rsidR="00BD0540" w:rsidRPr="00BD0540" w:rsidRDefault="00BD0540" w:rsidP="0069018B">
      <w:pPr>
        <w:pStyle w:val="LongQuote"/>
      </w:pPr>
      <w:r>
        <w:t xml:space="preserve">Abraham and his wife and Lot came with </w:t>
      </w:r>
      <w:proofErr w:type="spellStart"/>
      <w:r>
        <w:t>Terah</w:t>
      </w:r>
      <w:proofErr w:type="spellEnd"/>
      <w:r>
        <w:t xml:space="preserve"> his father from Ur of the Chaldees. This Ur was, as we know now, one of the chief Babylonian cities in early times, it being especially celebrated on account of its temple dedicated to the moon-god.</w:t>
      </w:r>
      <w:r>
        <w:rPr>
          <w:rStyle w:val="FootnoteReference"/>
        </w:rPr>
        <w:footnoteReference w:id="11"/>
      </w:r>
    </w:p>
    <w:p w14:paraId="2C9AAF36" w14:textId="357B430E" w:rsidR="002A30CE" w:rsidRDefault="00895B3E" w:rsidP="002A30CE">
      <w:pPr>
        <w:pStyle w:val="BodyNoIndent"/>
      </w:pPr>
      <w:r w:rsidRPr="00895B3E">
        <w:t>Josephus claims that astronomy and astrology were invented in Mesopotamia by the grandchildren of Adam</w:t>
      </w:r>
      <w:r w:rsidR="002A30CE">
        <w:t>:</w:t>
      </w:r>
    </w:p>
    <w:p w14:paraId="454078EB" w14:textId="70F32FDB" w:rsidR="002A30CE" w:rsidRPr="00FF7484" w:rsidRDefault="002A30CE" w:rsidP="00BD0540">
      <w:pPr>
        <w:pStyle w:val="LongQuote"/>
      </w:pPr>
      <w:r w:rsidRPr="00FF7484">
        <w:t xml:space="preserve">They also were the inventors of that peculiar sort of wisdom which is concerned with the heavenly bodies, and their order. </w:t>
      </w:r>
      <w:r>
        <w:br/>
      </w:r>
      <w:r w:rsidRPr="00FF7484">
        <w:t>And that their inventions might not be lost before they were sufficiently known, upon Adam's prediction that the world was to be destroyed at one time by the force of fire, and at another time by the violence and quantity of water, they made two pillars; the one of brick, the other of stone: they inscribed their discoveries on them both.</w:t>
      </w:r>
      <w:r>
        <w:rPr>
          <w:rStyle w:val="FootnoteReference"/>
        </w:rPr>
        <w:footnoteReference w:id="12"/>
      </w:r>
    </w:p>
    <w:p w14:paraId="075BCD29" w14:textId="09C8F7CD" w:rsidR="00895B3E" w:rsidRPr="00895B3E" w:rsidRDefault="00895B3E" w:rsidP="00895B3E">
      <w:pPr>
        <w:pStyle w:val="BodyNoIndent"/>
      </w:pPr>
      <w:r w:rsidRPr="00895B3E">
        <w:t>Modern scholars claim that astrology and mathematical astronomy were developed in Babylon</w:t>
      </w:r>
      <w:r w:rsidR="006A47BC">
        <w:t>.</w:t>
      </w:r>
      <w:r w:rsidRPr="00895B3E">
        <w:t xml:space="preserve"> According to Oppenheim, mathematical astronomy could not have been part of divination techniques, but rather a pure science with an unknown purpose to us.</w:t>
      </w:r>
    </w:p>
    <w:p w14:paraId="6325E91F" w14:textId="6C592BF7" w:rsidR="00412271" w:rsidRPr="00412271" w:rsidRDefault="008A5E8B" w:rsidP="00612121">
      <w:pPr>
        <w:pStyle w:val="LongQuote"/>
      </w:pPr>
      <w:r>
        <w:t xml:space="preserve">Any serious investigation of the history of Mesopotamian civilization has to face the problem of the sudden emergence of mathematical astronomy about </w:t>
      </w:r>
      <w:r w:rsidR="00B63CAB">
        <w:t>5</w:t>
      </w:r>
      <w:r>
        <w:t xml:space="preserve">00 B.C. </w:t>
      </w:r>
      <w:r w:rsidR="00612121">
        <w:t>[…]</w:t>
      </w:r>
    </w:p>
    <w:p w14:paraId="3F17453C" w14:textId="31A8EA5D" w:rsidR="00412271" w:rsidRDefault="00412271" w:rsidP="00412271">
      <w:pPr>
        <w:pStyle w:val="LongQuote"/>
      </w:pPr>
      <w:r>
        <w:t>the level of sophistication of the mathematical astronomy, in terms of its predictive range and underlying conceptual grasp of phenomena, far exceeds anything reflected in the omen literature. A disparity between the astronomy of the horoscopes and that of the contemporaneous mathematical astronomy must also be acknowledged</w:t>
      </w:r>
      <w:r w:rsidR="00393E84">
        <w:t>.</w:t>
      </w:r>
      <w:r>
        <w:rPr>
          <w:rStyle w:val="FootnoteReference"/>
        </w:rPr>
        <w:footnoteReference w:id="13"/>
      </w:r>
    </w:p>
    <w:p w14:paraId="4FABE34A" w14:textId="6D972013" w:rsidR="00EB436A" w:rsidRDefault="00A80BC1" w:rsidP="00A80BC1">
      <w:pPr>
        <w:pStyle w:val="BodyNoIndent"/>
      </w:pPr>
      <w:r>
        <w:t xml:space="preserve">These claims based on dating of the available tablets. </w:t>
      </w:r>
      <w:r w:rsidR="000E6DA7">
        <w:t xml:space="preserve">However, there is an assumption that the tablets are the originals and not copies. In Europe, works of ancient writers were copied in monasteries and a work could have a dozen copies. </w:t>
      </w:r>
      <w:r w:rsidR="003F580D">
        <w:t>Obviously,</w:t>
      </w:r>
      <w:r w:rsidR="000E6DA7">
        <w:t xml:space="preserve"> it would be wrong do date the ancient work by the last </w:t>
      </w:r>
      <w:r w:rsidR="000E6DA7">
        <w:lastRenderedPageBreak/>
        <w:t xml:space="preserve">copy. </w:t>
      </w:r>
      <w:r w:rsidR="00EB436A">
        <w:t>Robson reports that that the Babylonian Astronomical Diaries are copies and that the originals might be much older:</w:t>
      </w:r>
    </w:p>
    <w:p w14:paraId="103B5E22" w14:textId="097A7F20" w:rsidR="00EB436A" w:rsidRPr="00F0649E" w:rsidRDefault="00EB436A" w:rsidP="00EB436A">
      <w:pPr>
        <w:pStyle w:val="LongQuote"/>
      </w:pPr>
      <w:r>
        <w:t xml:space="preserve">The Babylonian Astronomical Diaries comprise the longest-running and perhaps most important observational dataset from the ancient world. </w:t>
      </w:r>
      <w:r w:rsidR="000E6DA7">
        <w:t>[…]</w:t>
      </w:r>
      <w:r>
        <w:t xml:space="preserve"> Yet the surviving manuscripts may be decades or even centuries younger than the original from which they were copied.</w:t>
      </w:r>
      <w:r>
        <w:rPr>
          <w:rStyle w:val="FootnoteReference"/>
        </w:rPr>
        <w:footnoteReference w:id="14"/>
      </w:r>
    </w:p>
    <w:p w14:paraId="35E0083C" w14:textId="2A6751C1" w:rsidR="00352D80" w:rsidRDefault="00C24ABC" w:rsidP="00352D80">
      <w:pPr>
        <w:pStyle w:val="BodyNoIndent"/>
      </w:pPr>
      <w:r w:rsidRPr="00C24ABC">
        <w:t>There is a possibility that the originals might be copies too. As some cuneiform tablets have survived for over 5,000 years, one can speculate that the originals could be even older, not by decades or centuries, but by millennia. This could mean that the dating of Mesopotamian astronomy could be pushed back by thousands of years and be closer to the ancient scholars' estimates.</w:t>
      </w:r>
    </w:p>
    <w:p w14:paraId="5B483C53" w14:textId="58B81B20" w:rsidR="00352D80" w:rsidRDefault="00352D80" w:rsidP="00B93831">
      <w:pPr>
        <w:pStyle w:val="Body"/>
      </w:pPr>
      <w:r w:rsidRPr="00352D80">
        <w:t>Dating Mesopotamian astronomy and astrology by 500 BC is based on tablets, which mention astrology and are dated around that time. A multidisciplinary approach could be applied to the situation. The claim is based solely on a technical dating and does not take into account the history of Babylon. In 539 BC, Babylon was taken by the Persians. Until that date, temples, scribes, astronomy, and astrology were likely financed by sponsors</w:t>
      </w:r>
      <w:r>
        <w:t xml:space="preserve"> — </w:t>
      </w:r>
      <w:r w:rsidRPr="00352D80">
        <w:t>kings and royalty. A good example is Ashurbanipal, who was interested in learning languages and acquiring knowledge, and on whose surviving library most of the information on ancient Mesopotamia is based. However, after the Persians took Babylon in 539 BC, there were constant uprisings in Babylonia for about 50 years. For a short time, Babylon was even retaken from the Persians. But the city was quickly taken back by the Persians and the rebellions were crushed. During these wars, the pre-539 BC sponsors, who were financing the temple and its astronomical activities, were killed or exiled.</w:t>
      </w:r>
      <w:r>
        <w:t xml:space="preserve"> </w:t>
      </w:r>
    </w:p>
    <w:p w14:paraId="355F3FCE" w14:textId="060E8381" w:rsidR="002D7350" w:rsidRPr="00D809B0" w:rsidRDefault="002D7350" w:rsidP="002D7350">
      <w:pPr>
        <w:pStyle w:val="LongQuote"/>
      </w:pPr>
      <w:r>
        <w:t>These people, as described by Oppenheim, depended on the king for their livelihood, and they sometimes speak of their material needs in their letters. It is obvious that they were employed for a service that was of vital importance for the king and the whole country […] Whatever their fates were during the Achaemenid period, they made great progress in analysing and computing astronomical phenomena.</w:t>
      </w:r>
      <w:r>
        <w:rPr>
          <w:rStyle w:val="FootnoteReference"/>
        </w:rPr>
        <w:footnoteReference w:id="15"/>
      </w:r>
    </w:p>
    <w:p w14:paraId="64041478" w14:textId="71072476" w:rsidR="00D83E18" w:rsidRDefault="00CE1E72" w:rsidP="00D83E18">
      <w:pPr>
        <w:pStyle w:val="BodyNoIndent"/>
      </w:pPr>
      <w:r w:rsidRPr="00CE1E72">
        <w:t>With no income for research, astrology might have been invented around 500 BC, as Oppenheim claims. Or, it could have been developed much earlier and was only accessible to sponsors. However, around 500 BC, it was made accessible to the masses with a view to generate income.</w:t>
      </w:r>
      <w:r w:rsidR="00D83E18">
        <w:t xml:space="preserve"> </w:t>
      </w:r>
      <w:r w:rsidR="00D83E18" w:rsidRPr="00D83E18">
        <w:t>Babylon was taken from the Persians two hundred years later by Alexander the Great in 331 BC. After his death in Babylon in 321 BC, Seleucia</w:t>
      </w:r>
      <w:r w:rsidR="00D83E18">
        <w:t xml:space="preserve"> — </w:t>
      </w:r>
      <w:r w:rsidR="00D83E18" w:rsidRPr="00D83E18">
        <w:t>a new capital of Babylonia</w:t>
      </w:r>
      <w:r w:rsidR="00D83E18">
        <w:t xml:space="preserve"> </w:t>
      </w:r>
      <w:r w:rsidR="00D83E18" w:rsidRPr="00D83E18">
        <w:t xml:space="preserve">was set up around 306 BC, in the place where the Tigris and Euphrates rivers merge. In 275 BC, the remaining population of Babylon was moved to Seleucia, but the temple and its staff were left behind. Pliny the Elder wrote around 75 </w:t>
      </w:r>
      <w:proofErr w:type="gramStart"/>
      <w:r w:rsidR="00D83E18" w:rsidRPr="00D83E18">
        <w:t>AD</w:t>
      </w:r>
      <w:proofErr w:type="gramEnd"/>
      <w:r w:rsidR="00D83E18" w:rsidRPr="00D83E18">
        <w:t>:</w:t>
      </w:r>
    </w:p>
    <w:p w14:paraId="0E048CEB" w14:textId="0E35B1BC" w:rsidR="00D67A09" w:rsidRPr="00D67A09" w:rsidRDefault="009B57CC" w:rsidP="00BD0540">
      <w:pPr>
        <w:pStyle w:val="LongQuote"/>
      </w:pPr>
      <w:r>
        <w:t>The Euphrates flows through the city, with marvellous embankments on either side. The temple of Jupiter Belus in Babylon is still standing—Be</w:t>
      </w:r>
      <w:r w:rsidR="008C1E00">
        <w:t>lu</w:t>
      </w:r>
      <w:r>
        <w:t xml:space="preserve">s was the </w:t>
      </w:r>
      <w:r w:rsidRPr="008C1E00">
        <w:t>discoverer</w:t>
      </w:r>
      <w:r>
        <w:t xml:space="preserve"> of the sci</w:t>
      </w:r>
      <w:r w:rsidR="008C1E00">
        <w:t>e</w:t>
      </w:r>
      <w:r>
        <w:t xml:space="preserve">nce of astronomy; but in all other respects the place has gone back to a desert, having been drained of its population by the proximity of Seleucia, founded for that purpose by Nicator not quite 90 miles away, at the point where the </w:t>
      </w:r>
      <w:r w:rsidR="00C46074">
        <w:t>canalised</w:t>
      </w:r>
      <w:r>
        <w:t xml:space="preserve"> Euphrates joins the Tigris.</w:t>
      </w:r>
      <w:r w:rsidR="00C46074">
        <w:rPr>
          <w:rStyle w:val="FootnoteReference"/>
        </w:rPr>
        <w:footnoteReference w:id="16"/>
      </w:r>
    </w:p>
    <w:p w14:paraId="78CDC39C" w14:textId="019C472F" w:rsidR="00206929" w:rsidRPr="00206929" w:rsidRDefault="00206929" w:rsidP="00206929">
      <w:pPr>
        <w:pStyle w:val="BodyNoIndent"/>
      </w:pPr>
      <w:r w:rsidRPr="00206929">
        <w:t>The timeline is truly amazing. Some 600 years (539 BC - 75 AD) without finance and 350 years (275 BC - 75 AD) in a deserted city. As astrology was developed, according to scholars, around 500 BC, the reasonable question to ask is: what were the projects on which the Babylonians were working for some 600 years? According to Swerdlow, some Babylonian astronomical projects were centuries-long</w:t>
      </w:r>
      <w:r>
        <w:t>:</w:t>
      </w:r>
    </w:p>
    <w:p w14:paraId="55002873" w14:textId="573820C4" w:rsidR="00DA143B" w:rsidRDefault="00DA143B" w:rsidP="00DA143B">
      <w:pPr>
        <w:pStyle w:val="LongQuote"/>
      </w:pPr>
      <w:r>
        <w:t xml:space="preserve">Otherwise, the Diaries changed little in design although they were compiled over a rather long time. </w:t>
      </w:r>
      <w:r w:rsidR="002B2BE8">
        <w:t>[…]</w:t>
      </w:r>
      <w:r>
        <w:t xml:space="preserve"> After all, 300 years is a long time to wait for results. Which will bring about a </w:t>
      </w:r>
      <w:r>
        <w:lastRenderedPageBreak/>
        <w:t>lot of questions: how was such an observation program kept going? who financed it? who could hope to use it? We know very little about this aspect of the texts.</w:t>
      </w:r>
      <w:r>
        <w:rPr>
          <w:rStyle w:val="FootnoteReference"/>
        </w:rPr>
        <w:footnoteReference w:id="17"/>
      </w:r>
    </w:p>
    <w:p w14:paraId="5E8E4AC7" w14:textId="53685280" w:rsidR="00E859DE" w:rsidRPr="00E859DE" w:rsidRDefault="00E859DE" w:rsidP="00E859DE">
      <w:pPr>
        <w:pStyle w:val="BodyNoIndent"/>
      </w:pPr>
      <w:r w:rsidRPr="00E859DE">
        <w:t>300 years wait for results is an incredibly long time by modern standards. But this length of time for a single project adds weight to ancient reports that Babylonian astronomical observations go back a long time. Pliny the Elder writes:</w:t>
      </w:r>
    </w:p>
    <w:p w14:paraId="7678A382" w14:textId="43F0E315" w:rsidR="009D2BE3" w:rsidRPr="009D2BE3" w:rsidRDefault="009D2BE3" w:rsidP="00BD0540">
      <w:pPr>
        <w:pStyle w:val="LongQuote"/>
      </w:pPr>
      <w:proofErr w:type="spellStart"/>
      <w:r>
        <w:t>Epigenes</w:t>
      </w:r>
      <w:proofErr w:type="spellEnd"/>
      <w:r>
        <w:t xml:space="preserve">, an authority of the first rank, teaches that the Babylonians had astronomical observations for 730,000 years inscribed on baked bricks; and those who give the shortest period, </w:t>
      </w:r>
      <w:proofErr w:type="spellStart"/>
      <w:r>
        <w:t>Berosus</w:t>
      </w:r>
      <w:proofErr w:type="spellEnd"/>
      <w:r>
        <w:t xml:space="preserve"> and </w:t>
      </w:r>
      <w:proofErr w:type="spellStart"/>
      <w:r>
        <w:t>Critodemus</w:t>
      </w:r>
      <w:proofErr w:type="spellEnd"/>
      <w:r>
        <w:t xml:space="preserve">, make it 490,000 years; from which it appears that the alphabet </w:t>
      </w:r>
      <w:r w:rsidRPr="009D2BE3">
        <w:t>has</w:t>
      </w:r>
      <w:r>
        <w:t xml:space="preserve"> been in use from very ancient times.</w:t>
      </w:r>
      <w:r>
        <w:rPr>
          <w:rStyle w:val="FootnoteReference"/>
        </w:rPr>
        <w:footnoteReference w:id="18"/>
      </w:r>
    </w:p>
    <w:p w14:paraId="637D0B29" w14:textId="6B64C5A6" w:rsidR="003978C1" w:rsidRDefault="00E859DE" w:rsidP="006A47BC">
      <w:pPr>
        <w:pStyle w:val="BodyNoIndent"/>
      </w:pPr>
      <w:r w:rsidRPr="00E859DE">
        <w:t xml:space="preserve">Ancient sources report that Mesopotamian writing, math, astronomy, cosmology, and divination date back to the times of Adam. These accounts are based on the information received from primary sources, such as </w:t>
      </w:r>
      <w:proofErr w:type="spellStart"/>
      <w:r w:rsidRPr="00E859DE">
        <w:t>Berossus</w:t>
      </w:r>
      <w:proofErr w:type="spellEnd"/>
      <w:r w:rsidRPr="00E859DE">
        <w:t>, a priest at the temple in Babylon. Modern scholars base their judgement on the dating of the tablets found.</w:t>
      </w:r>
      <w:r w:rsidR="006A47BC">
        <w:t xml:space="preserve"> </w:t>
      </w:r>
      <w:r w:rsidR="003978C1" w:rsidRPr="003978C1">
        <w:t>Sumerian writing evolved from accounting, as initially writing was used for keeping track of things. One could argue that the invention of writing was a result of divination, as the temple was running the economy and accounting was a part of the process.</w:t>
      </w:r>
    </w:p>
    <w:p w14:paraId="6A347BFD" w14:textId="4952BB74" w:rsidR="003978C1" w:rsidRDefault="003978C1" w:rsidP="003978C1">
      <w:pPr>
        <w:pStyle w:val="Body"/>
      </w:pPr>
      <w:r>
        <w:t>In 1872, George Smith deciphered cuneiform and it caused a sensation, as the tablet he read mentioned the biblical flood. Between 500,000 and 2,000,000 tablets have been excavated, but only around five percent of these have been read.</w:t>
      </w:r>
      <w:r w:rsidR="00885D6B">
        <w:rPr>
          <w:rStyle w:val="FootnoteReference"/>
        </w:rPr>
        <w:footnoteReference w:id="19"/>
      </w:r>
      <w:r>
        <w:t xml:space="preserve"> Sumerians also wrote on wooden boards, but none of these have been preserved. The major sources of information on Ancient Mesopotamian cosmology are a few partly-preserved poems. Ancient Mesopotamian cosmology is intrinsically connected with religion. The gods created the universe, and then created humans to be their servants. There is a change in attitude towards the gods over a period of a thousand years, between Sumer and Akkad, between Bilgamesh and Gilgamesh, between 3000 BC and 2000 BC. The Sumerian attitude to the gods was that they created man to be their servant. This servant attitude was no longer present in Akkad; Gilgamesh</w:t>
      </w:r>
      <w:r w:rsidR="00FD6ADE">
        <w:t xml:space="preserve"> and Enkidu</w:t>
      </w:r>
      <w:r>
        <w:t xml:space="preserve"> challenge the gods</w:t>
      </w:r>
      <w:r w:rsidR="00FD6ADE">
        <w:t>,</w:t>
      </w:r>
      <w:r>
        <w:t xml:space="preserve"> def</w:t>
      </w:r>
      <w:r w:rsidR="00FD6ADE">
        <w:t>y</w:t>
      </w:r>
      <w:r>
        <w:t xml:space="preserve"> their will,</w:t>
      </w:r>
      <w:r w:rsidR="00FD6ADE">
        <w:t xml:space="preserve"> </w:t>
      </w:r>
      <w:r>
        <w:t xml:space="preserve">laughs </w:t>
      </w:r>
      <w:r w:rsidR="00FD6ADE">
        <w:t>at them</w:t>
      </w:r>
      <w:r>
        <w:t>.</w:t>
      </w:r>
    </w:p>
    <w:p w14:paraId="49A9849B" w14:textId="20F14079" w:rsidR="00885D6B" w:rsidRDefault="00885D6B" w:rsidP="00071A96">
      <w:pPr>
        <w:pStyle w:val="Body"/>
      </w:pPr>
      <w:r w:rsidRPr="00885D6B">
        <w:t xml:space="preserve">For cosmology analysis, it is important to establish a timeline of cosmological progression and regression. Babylonian cosmological theory and mathematical astronomy, dated by Oppenheim to 500 BC, was valid until 1600 (Kepler). Babylonian mathematical apparatus was partly valid until 2000 AD (mathematical reference tables were only replaced by computer spreadsheets around that time). Even today, Babylonian math surpasses modern A-Level requirements. </w:t>
      </w:r>
      <w:r>
        <w:t>There</w:t>
      </w:r>
      <w:r w:rsidRPr="00885D6B">
        <w:t xml:space="preserve"> is a regression of almost 2000 years. However, modern scholars might be wrong in dating the Babylonian advances to 500 BC. Babylon might not be the highest point of ancient cosmology, but just a point on a regression slope. Homer's Iliad precedes this point by almost 300 years and is thought to have a connection to earlier Mesopotamian myths. The main artefact of the Iliad is the Shield of Achilles, which likely has astronomical and astrological significance. Homer describes the shield as:</w:t>
      </w:r>
    </w:p>
    <w:p w14:paraId="39C1975F" w14:textId="77777777" w:rsidR="006C4FAE" w:rsidRDefault="006C4FAE" w:rsidP="00BD0540">
      <w:pPr>
        <w:pStyle w:val="LongQuote"/>
      </w:pPr>
      <w:r>
        <w:t>There he made the earth and there the sky and the sea</w:t>
      </w:r>
    </w:p>
    <w:p w14:paraId="52D8E68F" w14:textId="77777777" w:rsidR="006C4FAE" w:rsidRDefault="006C4FAE" w:rsidP="00BD0540">
      <w:pPr>
        <w:pStyle w:val="LongQuote"/>
      </w:pPr>
      <w:r>
        <w:t>and the inexhaustible blazing sun and the moon rounding full</w:t>
      </w:r>
    </w:p>
    <w:p w14:paraId="6611EDFD" w14:textId="77777777" w:rsidR="006C4FAE" w:rsidRDefault="006C4FAE" w:rsidP="00BD0540">
      <w:pPr>
        <w:pStyle w:val="LongQuote"/>
      </w:pPr>
      <w:r>
        <w:t>and there. the constellations, all that crown the heavens,</w:t>
      </w:r>
    </w:p>
    <w:p w14:paraId="58E3EE48" w14:textId="77777777" w:rsidR="006C4FAE" w:rsidRDefault="006C4FAE" w:rsidP="00BD0540">
      <w:pPr>
        <w:pStyle w:val="LongQuote"/>
      </w:pPr>
      <w:r>
        <w:t>the Pleiades and the Hyades. Orion in all his power too</w:t>
      </w:r>
    </w:p>
    <w:p w14:paraId="3B392529" w14:textId="77777777" w:rsidR="006C4FAE" w:rsidRDefault="006C4FAE" w:rsidP="00BD0540">
      <w:pPr>
        <w:pStyle w:val="LongQuote"/>
      </w:pPr>
      <w:r>
        <w:t>and the Great Bear that mankind also calls the Wagon:</w:t>
      </w:r>
    </w:p>
    <w:p w14:paraId="1A536A0B" w14:textId="77777777" w:rsidR="006C4FAE" w:rsidRDefault="006C4FAE" w:rsidP="00BD0540">
      <w:pPr>
        <w:pStyle w:val="LongQuote"/>
      </w:pPr>
      <w:r>
        <w:t>she wheels on her axis always fixed, watching the Hunter,</w:t>
      </w:r>
    </w:p>
    <w:p w14:paraId="0D17DACD" w14:textId="77777777" w:rsidR="006C4FAE" w:rsidRDefault="006C4FAE" w:rsidP="00BD0540">
      <w:pPr>
        <w:pStyle w:val="LongQuote"/>
      </w:pPr>
      <w:r>
        <w:t>and she alone is denied a plunge in the Ocean's baths.</w:t>
      </w:r>
      <w:r w:rsidRPr="003D5435">
        <w:rPr>
          <w:rStyle w:val="FootnoteReference"/>
        </w:rPr>
        <w:footnoteReference w:id="20"/>
      </w:r>
    </w:p>
    <w:p w14:paraId="43D646C5" w14:textId="320E77AC" w:rsidR="00885D6B" w:rsidRPr="00885D6B" w:rsidRDefault="00885D6B" w:rsidP="00FC33F4">
      <w:pPr>
        <w:pStyle w:val="BodyNoIndent"/>
      </w:pPr>
      <w:r w:rsidRPr="00885D6B">
        <w:t>All astronomical bodies on the shield were on the Babylonian omen list, and the shield represents the ancient Mesopotamian cosmological model</w:t>
      </w:r>
      <w:r>
        <w:t xml:space="preserve"> — </w:t>
      </w:r>
      <w:r w:rsidRPr="00885D6B">
        <w:t xml:space="preserve">round Earth surrounded by an ocean with a sky vault above, </w:t>
      </w:r>
      <w:r>
        <w:t xml:space="preserve">and a set of astronomical bodies </w:t>
      </w:r>
      <w:r w:rsidRPr="00885D6B">
        <w:t xml:space="preserve">likely representing an omen. As Gilgamesh was preceded by </w:t>
      </w:r>
      <w:r w:rsidRPr="00885D6B">
        <w:lastRenderedPageBreak/>
        <w:t>Bilgamesh by a thousand years, and Gilgamesh influenced Homer's writings, the origins of Babylonian knowledge might go back millennia. Mesopotamian cosmology goes to the roots of the ancient Mesopotamian civilization and has influenced other parts of the ancient world, and indirectly, modern civilization.</w:t>
      </w:r>
    </w:p>
    <w:p w14:paraId="5AED6EFC" w14:textId="321BC40D" w:rsidR="00AF68E3" w:rsidRDefault="00AF68E3" w:rsidP="00AF68E3">
      <w:pPr>
        <w:pStyle w:val="Subhead"/>
      </w:pPr>
      <w:r>
        <w:t>Definition of Divination</w:t>
      </w:r>
    </w:p>
    <w:p w14:paraId="55D92BA1" w14:textId="5A450934" w:rsidR="00D618DF" w:rsidRDefault="00AF68E3" w:rsidP="00BD0540">
      <w:pPr>
        <w:pStyle w:val="LongQuote"/>
      </w:pPr>
      <w:r>
        <w:t>Basically, divination represents a technique of communication with the supernatural forces that are supposed to shape the history of the individual as well as that of the group. It presupposes the belief that these powers are able and, at times, willing to communicate their intentions and that they are interested in the well-being of the individual or the group—in other words, that if evil is predicted or threatened, it can be averted through appropriate means.</w:t>
      </w:r>
      <w:r w:rsidR="00D84527">
        <w:rPr>
          <w:rStyle w:val="FootnoteReference"/>
        </w:rPr>
        <w:footnoteReference w:id="21"/>
      </w:r>
    </w:p>
    <w:p w14:paraId="78FD9219" w14:textId="2C7B22D5" w:rsidR="00EA6EF4" w:rsidRDefault="00EA6EF4" w:rsidP="00EA6EF4">
      <w:pPr>
        <w:pStyle w:val="Subhead"/>
      </w:pPr>
      <w:r>
        <w:t>Role of divination in Mesopotamia</w:t>
      </w:r>
    </w:p>
    <w:p w14:paraId="0B12BBB3" w14:textId="561D8C65" w:rsidR="00D618DF" w:rsidRDefault="00BF305F" w:rsidP="002B3B36">
      <w:pPr>
        <w:pStyle w:val="BodyNoIndent"/>
      </w:pPr>
      <w:r w:rsidRPr="00BF305F">
        <w:t>Divination was an important part of life in ancient Mesopotamia. It was used to gain insight into the future, to make decisions, and to gain knowledge about the gods will. Divination was used to interpret omens, dreams, and other signs from the gods. It was also used to predict the outcome of battles.</w:t>
      </w:r>
      <w:r w:rsidR="002B3B36">
        <w:t xml:space="preserve"> </w:t>
      </w:r>
      <w:r w:rsidRPr="00BF305F">
        <w:t xml:space="preserve">Divination </w:t>
      </w:r>
      <w:r w:rsidR="00D20DC5">
        <w:t xml:space="preserve">was used </w:t>
      </w:r>
      <w:r w:rsidR="00DC40F2">
        <w:t xml:space="preserve">to </w:t>
      </w:r>
      <w:r w:rsidRPr="00BF305F">
        <w:t>make decisions that would be beneficial to the people.</w:t>
      </w:r>
      <w:r w:rsidR="002B3B36">
        <w:t xml:space="preserve"> </w:t>
      </w:r>
      <w:r w:rsidR="005E763D">
        <w:t>One of the earliest forms of Mesopotamian divination could be celestial divination. The basis for Babylonian astronomy and astrology</w:t>
      </w:r>
      <w:r w:rsidR="00A73EC6">
        <w:t xml:space="preserve">, which </w:t>
      </w:r>
      <w:r w:rsidR="00105E64">
        <w:t>Oppenheim</w:t>
      </w:r>
      <w:r w:rsidR="00A73EC6">
        <w:t xml:space="preserve"> date by </w:t>
      </w:r>
      <w:r w:rsidR="00105E64">
        <w:t>500</w:t>
      </w:r>
      <w:r w:rsidR="00A73EC6">
        <w:t>BC,</w:t>
      </w:r>
      <w:r w:rsidR="00105E64">
        <w:rPr>
          <w:rStyle w:val="FootnoteReference"/>
        </w:rPr>
        <w:footnoteReference w:id="22"/>
      </w:r>
      <w:r w:rsidR="005E763D">
        <w:t xml:space="preserve"> was sexagesimal numbers system:</w:t>
      </w:r>
    </w:p>
    <w:p w14:paraId="0AEAD858" w14:textId="77777777" w:rsidR="005E763D" w:rsidRDefault="005E763D" w:rsidP="00BD0540">
      <w:pPr>
        <w:pStyle w:val="LongQuote"/>
      </w:pPr>
      <w:r>
        <w:t>We now know that the Babylonian "arithmetical methods" profoundly influenced ancient astronomy and its mediaeval descendants, to mention only the sexagesimal place value system (including the use of a symbol for zero).</w:t>
      </w:r>
      <w:r>
        <w:rPr>
          <w:rStyle w:val="FootnoteReference"/>
        </w:rPr>
        <w:footnoteReference w:id="23"/>
      </w:r>
    </w:p>
    <w:p w14:paraId="11D89BC6" w14:textId="576682BB" w:rsidR="003D7C59" w:rsidRDefault="005E763D" w:rsidP="008F7CC7">
      <w:pPr>
        <w:pStyle w:val="BodyNoIndent"/>
      </w:pPr>
      <w:r>
        <w:t>Resent finding in Uruk show that the system wasn’t developed in Babylon, but was used by Sumerians</w:t>
      </w:r>
      <w:r w:rsidR="003D7C59">
        <w:t xml:space="preserve"> probably from the </w:t>
      </w:r>
      <w:r w:rsidR="00B205AE">
        <w:t>dawn of humanity. According Friberg, people of Mesopotamia were using ‘p</w:t>
      </w:r>
      <w:r w:rsidR="00B205AE" w:rsidRPr="00B205AE">
        <w:t>reliterate number tokens possibly representing sexagesimal</w:t>
      </w:r>
      <w:r w:rsidR="00B205AE">
        <w:t xml:space="preserve"> </w:t>
      </w:r>
      <w:r w:rsidR="00B205AE" w:rsidRPr="00B205AE">
        <w:t>numbers</w:t>
      </w:r>
      <w:r w:rsidR="00B205AE">
        <w:t>’,</w:t>
      </w:r>
      <w:r w:rsidR="00B205AE">
        <w:rPr>
          <w:rStyle w:val="FootnoteReference"/>
        </w:rPr>
        <w:footnoteReference w:id="24"/>
      </w:r>
      <w:r w:rsidR="00B205AE">
        <w:t xml:space="preserve"> since 8300BC</w:t>
      </w:r>
      <w:r w:rsidR="00F86C5C">
        <w:t xml:space="preserve"> and sexagesimal numbers were used since at least 3200BC.</w:t>
      </w:r>
      <w:r w:rsidR="0005207B">
        <w:rPr>
          <w:rStyle w:val="FootnoteReference"/>
        </w:rPr>
        <w:footnoteReference w:id="25"/>
      </w:r>
      <w:r w:rsidR="008F7CC7">
        <w:t xml:space="preserve"> According to Friberg, double-entry bookkeeping</w:t>
      </w:r>
      <w:r w:rsidR="002B3B36">
        <w:t>,</w:t>
      </w:r>
      <w:r w:rsidR="008F7CC7">
        <w:t xml:space="preserve"> </w:t>
      </w:r>
      <w:r w:rsidR="007C370A">
        <w:t xml:space="preserve">which </w:t>
      </w:r>
      <w:r w:rsidR="008F7CC7">
        <w:t xml:space="preserve">was used on tablets from Uruk, </w:t>
      </w:r>
      <w:r w:rsidR="007C370A">
        <w:t xml:space="preserve">is </w:t>
      </w:r>
      <w:r w:rsidR="008F7CC7">
        <w:t>dated by 3200BC.</w:t>
      </w:r>
      <w:r w:rsidR="008F7CC7">
        <w:rPr>
          <w:rStyle w:val="FootnoteReference"/>
        </w:rPr>
        <w:footnoteReference w:id="26"/>
      </w:r>
      <w:r w:rsidR="008F7CC7">
        <w:t xml:space="preserve"> Officially double-entry bookkeeping was invented 4700 years late by Luca </w:t>
      </w:r>
      <w:proofErr w:type="spellStart"/>
      <w:r w:rsidR="008F7CC7">
        <w:t>Pacioli</w:t>
      </w:r>
      <w:proofErr w:type="spellEnd"/>
      <w:r w:rsidR="008F7CC7">
        <w:t>:</w:t>
      </w:r>
    </w:p>
    <w:p w14:paraId="6D8ED6EA" w14:textId="24C99F49" w:rsidR="007C370A" w:rsidRDefault="003D7C59" w:rsidP="00BD0540">
      <w:pPr>
        <w:pStyle w:val="LongQuote"/>
      </w:pPr>
      <w:r w:rsidRPr="003D7C59">
        <w:t xml:space="preserve">The first known documentation of the double-entry system was first recorded in 1494 by Luca </w:t>
      </w:r>
      <w:proofErr w:type="spellStart"/>
      <w:r w:rsidRPr="003D7C59">
        <w:t>Pacioli</w:t>
      </w:r>
      <w:proofErr w:type="spellEnd"/>
      <w:r w:rsidRPr="003D7C59">
        <w:t>, who is widely known today as the “Father of Accounting” because of the book he published that year detailing the concepts of the double-entry bookkeeping method.</w:t>
      </w:r>
      <w:r>
        <w:rPr>
          <w:rStyle w:val="FootnoteReference"/>
        </w:rPr>
        <w:footnoteReference w:id="27"/>
      </w:r>
    </w:p>
    <w:p w14:paraId="08CDE5DD" w14:textId="5BE66EB2" w:rsidR="00190F0E" w:rsidRDefault="002B3B36" w:rsidP="002B3B36">
      <w:pPr>
        <w:pStyle w:val="BodyNoIndent"/>
      </w:pPr>
      <w:r>
        <w:t>The use of sexagesimal numbers and double-entry shows that the mathematical and accounting knowledge of the Sumerians was sophisticated. Building the House of Heaven temple in Uruk, which rivals and, in some ways, surpasses St Paul's Cathedral in London, indicates that architecture, astronomy, and astrology knowledge were likely also present at that time and could have been equally sophisticated.</w:t>
      </w:r>
      <w:r>
        <w:t xml:space="preserve"> </w:t>
      </w:r>
      <w:r w:rsidR="00CF13B8">
        <w:t xml:space="preserve">Babylonian mathematical astronomy is dated by </w:t>
      </w:r>
      <w:r w:rsidR="00105E64">
        <w:t>Oppenheim</w:t>
      </w:r>
      <w:r w:rsidR="00CF13B8">
        <w:t xml:space="preserve"> by 500BC.</w:t>
      </w:r>
      <w:r w:rsidR="00105E64">
        <w:rPr>
          <w:rStyle w:val="FootnoteReference"/>
        </w:rPr>
        <w:footnoteReference w:id="28"/>
      </w:r>
      <w:r w:rsidR="00CF13B8">
        <w:t xml:space="preserve"> </w:t>
      </w:r>
      <w:r w:rsidR="00190F0E">
        <w:t>According to Swerdlow</w:t>
      </w:r>
      <w:r w:rsidR="00A44A7E">
        <w:t>,</w:t>
      </w:r>
      <w:r w:rsidR="00190F0E">
        <w:t xml:space="preserve"> Babylonian astronomy</w:t>
      </w:r>
      <w:r w:rsidR="00CF13B8">
        <w:t xml:space="preserve"> was current until </w:t>
      </w:r>
      <w:r w:rsidR="00A44A7E">
        <w:t xml:space="preserve">the </w:t>
      </w:r>
      <w:r w:rsidR="00CF13B8">
        <w:t>times of Kepler (1571-1630)</w:t>
      </w:r>
      <w:r w:rsidR="00190F0E">
        <w:t>:</w:t>
      </w:r>
    </w:p>
    <w:p w14:paraId="1040D0FD" w14:textId="1768B821" w:rsidR="00190F0E" w:rsidRDefault="00190F0E" w:rsidP="00190F0E">
      <w:pPr>
        <w:pStyle w:val="LongQuote"/>
      </w:pPr>
      <w:r>
        <w:lastRenderedPageBreak/>
        <w:t>Early astronomy dealt with events such as eclipses and the first and last visibility of the moon, planets and stars after (or before) a period of time during which their close proximity to the sun prevented them from being seen. Babylonian theories accurately predicted these events. Their underlying parameters are of such good quality that they merged into Greek astronomy and continued to be the backbone of astronomical knowledge up to the time of Kepler.</w:t>
      </w:r>
      <w:r>
        <w:rPr>
          <w:rStyle w:val="FootnoteReference"/>
        </w:rPr>
        <w:footnoteReference w:id="29"/>
      </w:r>
    </w:p>
    <w:p w14:paraId="2E6DDFF2" w14:textId="662B2444" w:rsidR="00A44A7E" w:rsidRPr="00A44A7E" w:rsidRDefault="00A44A7E" w:rsidP="00A44A7E">
      <w:pPr>
        <w:pStyle w:val="BodyNoIndent"/>
      </w:pPr>
      <w:r w:rsidRPr="00A44A7E">
        <w:t>St. Paul was built between 1675 and 1710, and double-entry bookkeeping was invented in 1494. Civilizations do develop at a certain pace, and innovations come in clusters. In Europe, double-entry bookkeeping, advances in architecture, and astronomy came roughly at the same historical period. Following this logic, one might assume that astronomy and astrology were developed and advanced in Sumer in the same historical period as their advances in double-entry bookkeeping and architecture. The sexagesimal number system, required for the development of astronomy, was used in Sumer since 8000 BC. Therefore, celestial divination might have been used in Mesopotamia much earlier than 500 BC, as suggested by Swerdlow.</w:t>
      </w:r>
    </w:p>
    <w:p w14:paraId="2DDDC16F" w14:textId="363F78DC" w:rsidR="00D63B33" w:rsidRDefault="000E7ACC" w:rsidP="00D63B33">
      <w:pPr>
        <w:pStyle w:val="Subhead"/>
      </w:pPr>
      <w:r>
        <w:t>Economic</w:t>
      </w:r>
    </w:p>
    <w:p w14:paraId="0EEA5083" w14:textId="718C810B" w:rsidR="00D63B33" w:rsidRPr="00D63B33" w:rsidRDefault="00D63B33" w:rsidP="00D63B33">
      <w:pPr>
        <w:pStyle w:val="BodyNoIndent"/>
      </w:pPr>
      <w:r w:rsidRPr="00D63B33">
        <w:t>Divination in Mesopotamia was used for important political and economic decisions. In ancient Sumer, kings were believed to be appointed by the will of the gods. This concept is still used by many modern monarchies. The concept of divine kingship implied taking care of one's homeland: the king was responsible for the well-being of his people.</w:t>
      </w:r>
    </w:p>
    <w:p w14:paraId="13B17E51" w14:textId="6AE53954" w:rsidR="00D871AA" w:rsidRDefault="00D871AA" w:rsidP="00BD0540">
      <w:pPr>
        <w:pStyle w:val="LongQuote"/>
      </w:pPr>
      <w:r>
        <w:t xml:space="preserve">Old Babylonian characterizations of the divine king imply that the king had to make a crucial contribution to cosmic order. He had either to restrain his innate tendency to unleash violence on his own people or, more positively, conform to a tightly circumscribed mode of correct </w:t>
      </w:r>
      <w:proofErr w:type="spellStart"/>
      <w:r>
        <w:t>behavior</w:t>
      </w:r>
      <w:proofErr w:type="spellEnd"/>
      <w:r>
        <w:t>.</w:t>
      </w:r>
      <w:r w:rsidR="001542BD">
        <w:rPr>
          <w:rStyle w:val="FootnoteReference"/>
        </w:rPr>
        <w:footnoteReference w:id="30"/>
      </w:r>
    </w:p>
    <w:p w14:paraId="3179D97A" w14:textId="1B207197" w:rsidR="00C60CCE" w:rsidRPr="00C60CCE" w:rsidRDefault="00C60CCE" w:rsidP="00C60CCE">
      <w:pPr>
        <w:pStyle w:val="BodyNoIndent"/>
      </w:pPr>
      <w:r w:rsidRPr="00C60CCE">
        <w:t>One lesser-known role of divination was annulment of debt. Clean slates were a religious and cosmological procedure. At major religious festivals, the king would announce the will of the gods</w:t>
      </w:r>
      <w:r>
        <w:t xml:space="preserve"> — </w:t>
      </w:r>
      <w:r w:rsidRPr="00C60CCE">
        <w:t>debt cancellation. Mesopotamian economy went on for thousands of years without major collapses, which happened in other parts of the world during various historical periods, including modern times.</w:t>
      </w:r>
    </w:p>
    <w:p w14:paraId="3744EC69" w14:textId="23F6C4D6" w:rsidR="00520A38" w:rsidRPr="00520A38" w:rsidRDefault="00801D0D" w:rsidP="00BD0540">
      <w:pPr>
        <w:pStyle w:val="LongQuote"/>
      </w:pPr>
      <w:r>
        <w:t>What saved Mesopotamia from such a fate? Part of the answer lies in the complex of practices known as divine kingship. In an epoch when economic relations were viewed as part of the natural order that rulers were charged with overseeing, debt amnesties were simultaneously worldly and cosmological. Royal inscriptions show that rulers viewed debt annulments as fulfilling their sacred obligation to their city-gods. Commemorated in their year-names, and often by foundation deposits in temples or other civic buildings, these amnesties appear to have been proclaimed at a major public festival, replete with rituals of social renewal such as Babylon’s ruler raising a sacred torch.</w:t>
      </w:r>
      <w:r>
        <w:rPr>
          <w:rStyle w:val="FootnoteReference"/>
        </w:rPr>
        <w:footnoteReference w:id="31"/>
      </w:r>
    </w:p>
    <w:p w14:paraId="0BEAF836" w14:textId="62CEECBC" w:rsidR="00EA6EF4" w:rsidRDefault="00EA6EF4" w:rsidP="00EA6EF4">
      <w:pPr>
        <w:pStyle w:val="Subhead"/>
      </w:pPr>
      <w:r>
        <w:t xml:space="preserve">Relationship between cosmology and divination in </w:t>
      </w:r>
      <w:r w:rsidR="00BF305F">
        <w:t xml:space="preserve">ancient </w:t>
      </w:r>
      <w:r>
        <w:t>Mesopotamia</w:t>
      </w:r>
    </w:p>
    <w:p w14:paraId="75D6622C" w14:textId="5718A0BB" w:rsidR="00FB0F22" w:rsidRPr="00F83AFD" w:rsidRDefault="00FB0F22" w:rsidP="00624E12">
      <w:pPr>
        <w:pStyle w:val="BodyNoIndent"/>
      </w:pPr>
      <w:r w:rsidRPr="00FB0F22">
        <w:t>The Mesopotamian gods resided in the heavens and they were actually planets and stars.</w:t>
      </w:r>
      <w:r>
        <w:t xml:space="preserve"> </w:t>
      </w:r>
      <w:r w:rsidR="00192835">
        <w:t xml:space="preserve">According to </w:t>
      </w:r>
      <w:proofErr w:type="spellStart"/>
      <w:r w:rsidR="00192835">
        <w:t>Selz</w:t>
      </w:r>
      <w:proofErr w:type="spellEnd"/>
      <w:r w:rsidR="00192835">
        <w:t xml:space="preserve"> </w:t>
      </w:r>
      <w:r>
        <w:t>—</w:t>
      </w:r>
      <w:r w:rsidR="00192835">
        <w:t xml:space="preserve"> </w:t>
      </w:r>
      <w:r w:rsidR="000E7ACC">
        <w:t>‘</w:t>
      </w:r>
      <w:proofErr w:type="spellStart"/>
      <w:r w:rsidR="000E7ACC">
        <w:t>Inana</w:t>
      </w:r>
      <w:proofErr w:type="spellEnd"/>
      <w:r w:rsidR="000E7ACC">
        <w:t xml:space="preserve"> was identified with the planet Venus already in the Uruk IV-III </w:t>
      </w:r>
      <w:proofErr w:type="gramStart"/>
      <w:r w:rsidR="000E7ACC">
        <w:t>periods</w:t>
      </w:r>
      <w:r w:rsidR="00192835">
        <w:t>’</w:t>
      </w:r>
      <w:proofErr w:type="gramEnd"/>
      <w:r w:rsidR="000E7ACC">
        <w:t>.</w:t>
      </w:r>
      <w:r w:rsidR="00192835">
        <w:rPr>
          <w:rStyle w:val="FootnoteReference"/>
        </w:rPr>
        <w:footnoteReference w:id="32"/>
      </w:r>
      <w:r>
        <w:t xml:space="preserve"> </w:t>
      </w:r>
      <w:r w:rsidRPr="00FB0F22">
        <w:t xml:space="preserve">By observing heavenly bodies, Mesopotamians were sure that they were observing gods and tried to interpret the movements of planets and stars as the will of gods. Therefore, Mesopotamian divination included observation of heavenly bodies and interpreting their movements, and was part of </w:t>
      </w:r>
      <w:r w:rsidRPr="00FB0F22">
        <w:lastRenderedPageBreak/>
        <w:t>Mesopotamian religion. These observations were later called astronomy and astrology, and as they were part of the religion, they may date as far back as the Mesopotamian religion. The Mesopotamian divination was closely connected to observing the movements of planets representing gods. The interpretation of the will of gods likely was sought from the birth of Mesopotamian religion. As astronomy and astrology, as well as cosmology, were part of the celestial divination process, these must have emerged at the same time as the Mesopotamian religion or were developed shortly afterwards. As the first discovered temples in Mesopotamia are dated approximately 6000 BC, astronomical and astrological observations were likely used at that time or shortly afterwards for divination purposes.</w:t>
      </w:r>
      <w:r>
        <w:t xml:space="preserve"> </w:t>
      </w:r>
      <w:r>
        <w:t>Jones reports that</w:t>
      </w:r>
      <w:r>
        <w:t>:</w:t>
      </w:r>
    </w:p>
    <w:p w14:paraId="0092A715" w14:textId="0C1BF423" w:rsidR="00BD6164" w:rsidRDefault="00BD6164" w:rsidP="00BD0540">
      <w:pPr>
        <w:pStyle w:val="LongQuote"/>
      </w:pPr>
      <w:r>
        <w:t xml:space="preserve">Old Babylonian literary tablets implied that the divinity of the king reflected the vital role he had to play to ensure an ordered cosmos in the face of divine unpredictability. </w:t>
      </w:r>
      <w:r w:rsidR="00534B40">
        <w:t xml:space="preserve">[…] </w:t>
      </w:r>
      <w:r>
        <w:t xml:space="preserve">None of these versions of divine government came with strong connotations of stable cosmic order. The sky god </w:t>
      </w:r>
      <w:proofErr w:type="gramStart"/>
      <w:r>
        <w:t>An</w:t>
      </w:r>
      <w:proofErr w:type="gramEnd"/>
      <w:r>
        <w:t xml:space="preserve"> was </w:t>
      </w:r>
      <w:r w:rsidRPr="00BD6164">
        <w:t>something</w:t>
      </w:r>
      <w:r>
        <w:t xml:space="preserve"> of a cipher. Enlil certainly wielded force, but tended to do so in a destructive manner.</w:t>
      </w:r>
      <w:r>
        <w:rPr>
          <w:rStyle w:val="FootnoteReference"/>
        </w:rPr>
        <w:footnoteReference w:id="33"/>
      </w:r>
    </w:p>
    <w:p w14:paraId="15FCF684" w14:textId="5F9D1E9E" w:rsidR="00FB0F22" w:rsidRPr="00FB0F22" w:rsidRDefault="00FB0F22" w:rsidP="00FB0F22">
      <w:pPr>
        <w:pStyle w:val="BodyNoIndent"/>
      </w:pPr>
      <w:r w:rsidRPr="00FB0F22">
        <w:t>The cosmic order in Mesopotamian myths, as well as in other cultures, is disrupted by war and the replacement of gods. Could it be that scholars are trying to read Mesopotamian myths backwards and then unsuccessfully attempting to make sense of them? Perhaps the right approach to the ancient Mesopotamian cosmology, divination, and religion lies elsewhere.</w:t>
      </w:r>
    </w:p>
    <w:p w14:paraId="51EA10F7" w14:textId="63B22C15" w:rsidR="003B522B" w:rsidRDefault="003B522B" w:rsidP="00E57DED">
      <w:pPr>
        <w:pStyle w:val="Body"/>
      </w:pPr>
      <w:r w:rsidRPr="003B522B">
        <w:t xml:space="preserve">Could it be that </w:t>
      </w:r>
      <w:proofErr w:type="spellStart"/>
      <w:r w:rsidRPr="003B522B">
        <w:t>Euhemerus</w:t>
      </w:r>
      <w:proofErr w:type="spellEnd"/>
      <w:r w:rsidRPr="003B522B">
        <w:t xml:space="preserve"> of Messene was right saying that historical accounts become myths? Sometimes, to solve a complex problem, one needs to throw away assumptions and rethink whether the constants are indeed constants and not variables. Everyone today assumes that the cosmos is an ordered and stable place, and it has been so for billions of years. Mesopotamian gods were planets, and the cosmos for ancient Mesopotamians was mostly the Solar System. NASA publishes ephemerides, which tell us the 'exact' positions the planets held hundreds of thousands of years ago. However, these are just backward forecasts, which are based on the unchecked assumption that the Solar System has never been disturbed, and that in recent history no large heavenly body has disturbed the cosmic order.</w:t>
      </w:r>
      <w:r>
        <w:t xml:space="preserve"> </w:t>
      </w:r>
    </w:p>
    <w:p w14:paraId="52203BD1" w14:textId="39D60CB4" w:rsidR="00BD6164" w:rsidRDefault="003B522B" w:rsidP="00E57DED">
      <w:pPr>
        <w:pStyle w:val="Body"/>
      </w:pPr>
      <w:r w:rsidRPr="003B522B">
        <w:t>One could look at the publication of the NASA ephemerides from an interdisciplinary position. If a bank manager were to receive a 300,000-year business forecast based on a simple mathematical formula, the report would be rejected for a variety of reasons, one of which would be that no due diligence was applied to the information in the report</w:t>
      </w:r>
      <w:r>
        <w:t xml:space="preserve"> — </w:t>
      </w:r>
      <w:r w:rsidRPr="003B522B">
        <w:t>no investigation, audit, or review was performed to confirm facts or details of the matter under consideration. Another view could come from the world of computer programming, where recently a computer programmer lost his business and went to prison, all because he didn't test his financial stock market software properly and, as a result, his customers incurred huge financial losses. The very least NASA should have done is investigate ancient astronomical sources. The oldest sources of ancient cosmological events are the ancient Mesopotamian myths. If one looks at these not as creations of human imagination but as important historical records, then important information emerges.</w:t>
      </w:r>
      <w:r>
        <w:t xml:space="preserve"> </w:t>
      </w:r>
      <w:proofErr w:type="gramStart"/>
      <w:r w:rsidR="00E86F8F">
        <w:t>Rochberg</w:t>
      </w:r>
      <w:proofErr w:type="gramEnd"/>
      <w:r w:rsidR="00E86F8F">
        <w:t xml:space="preserve"> reports that:</w:t>
      </w:r>
      <w:r w:rsidR="00380E4F">
        <w:t xml:space="preserve"> </w:t>
      </w:r>
    </w:p>
    <w:p w14:paraId="39B7E881" w14:textId="60CBBBA2" w:rsidR="000D0229" w:rsidRDefault="00A952D9" w:rsidP="00934349">
      <w:pPr>
        <w:pStyle w:val="LongQuote"/>
      </w:pPr>
      <w:r>
        <w:t xml:space="preserve">a commentary to the protasis the planet Venus “sports a beard” </w:t>
      </w:r>
      <w:r w:rsidR="0043232D">
        <w:t>[…]</w:t>
      </w:r>
      <w:r>
        <w:t xml:space="preserve"> The beard of Venus is therefore a figurative description for a radiance of the</w:t>
      </w:r>
      <w:r w:rsidR="00512FCD">
        <w:t xml:space="preserve"> </w:t>
      </w:r>
      <w:r>
        <w:t>planet.</w:t>
      </w:r>
      <w:r w:rsidR="00512FCD">
        <w:rPr>
          <w:rStyle w:val="FootnoteReference"/>
        </w:rPr>
        <w:footnoteReference w:id="34"/>
      </w:r>
    </w:p>
    <w:p w14:paraId="2C4A4585" w14:textId="23529117" w:rsidR="003B522B" w:rsidRPr="003B522B" w:rsidRDefault="003B522B" w:rsidP="003B522B">
      <w:pPr>
        <w:pStyle w:val="BodyNoIndent"/>
      </w:pPr>
      <w:r w:rsidRPr="003B522B">
        <w:t xml:space="preserve">However, there are ancient Mesopotamian seals which feature literally and not metaphorically bearded Venus. Clearly, Rochberg is focused on her field of expertise and is concerned with metaphors and not cosmology, but from an interdisciplinary point of view, one can see that in historical times there were at least two reports which feature the closest to Earth planet with a plume of debris. As beards in ancient Mesopotamia were quite long, and beards in myths could be much longer than the body, the planet Venus's 'beard' could have been tens of thousands of </w:t>
      </w:r>
      <w:r w:rsidRPr="003B522B">
        <w:t>kilometres</w:t>
      </w:r>
      <w:r w:rsidRPr="003B522B">
        <w:t xml:space="preserve"> long. Venus is the only planet in the Solar System which rotates clockwise.</w:t>
      </w:r>
    </w:p>
    <w:p w14:paraId="79352675" w14:textId="50622C83" w:rsidR="00B772D2" w:rsidRPr="00B772D2" w:rsidRDefault="00B772D2" w:rsidP="00B772D2">
      <w:pPr>
        <w:pStyle w:val="LongQuote"/>
      </w:pPr>
      <w:r w:rsidRPr="00B772D2">
        <w:lastRenderedPageBreak/>
        <w:t>An explanation for the backward, or retrograde, rotation is not certain. A long-held theory is that Venus once rotated as the other planets do, but was struck billions of years ago by a planet-size object. The impact and its aftermath caused the rotation to change directions or flipped the planetary axis.</w:t>
      </w:r>
      <w:r>
        <w:rPr>
          <w:rStyle w:val="FootnoteReference"/>
        </w:rPr>
        <w:footnoteReference w:id="35"/>
      </w:r>
    </w:p>
    <w:p w14:paraId="53811811" w14:textId="6D45C10C" w:rsidR="002A58AC" w:rsidRDefault="00B772D2" w:rsidP="00B0188A">
      <w:pPr>
        <w:pStyle w:val="BodyNoIndent"/>
      </w:pPr>
      <w:r>
        <w:t xml:space="preserve">Venus’s high temperature of the surface is currently explained by </w:t>
      </w:r>
      <w:r w:rsidR="00C46CE8">
        <w:t xml:space="preserve">runaway greenhouse effect. If it is greenhouse effect, the planet should be heating, if it was a collision, then the planet should be cooling. </w:t>
      </w:r>
      <w:r w:rsidR="00556AFA">
        <w:t xml:space="preserve">There is little data on Venus’s temperature dynamics. </w:t>
      </w:r>
      <w:r w:rsidR="00C46CE8">
        <w:t>Another thing is that before the impact Venus could have been close</w:t>
      </w:r>
      <w:r w:rsidR="00556AFA">
        <w:t>r</w:t>
      </w:r>
      <w:r w:rsidR="00C46CE8">
        <w:t xml:space="preserve"> to Earth and ‘the radiant star, Venus, the great light which fills the holy heavens,</w:t>
      </w:r>
      <w:r w:rsidR="00C46CE8">
        <w:rPr>
          <w:rStyle w:val="FootnoteReference"/>
        </w:rPr>
        <w:footnoteReference w:id="36"/>
      </w:r>
      <w:r w:rsidR="00C46CE8">
        <w:t xml:space="preserve"> might not been a metaphor</w:t>
      </w:r>
      <w:r w:rsidR="00E86F8F">
        <w:t xml:space="preserve"> and Mesopotamian description of Venus as a warrior planet also could be an indication of a closer orbit</w:t>
      </w:r>
      <w:r w:rsidR="00C46CE8">
        <w:t>.</w:t>
      </w:r>
      <w:r w:rsidR="00B0188A">
        <w:t xml:space="preserve"> </w:t>
      </w:r>
      <w:r w:rsidR="00556AFA">
        <w:t xml:space="preserve">There is a number of astronomical symbols </w:t>
      </w:r>
      <w:r w:rsidR="00E56ACA">
        <w:t>on ancient Mesopotamian artefacts, which do not represent cosmos known to us. It</w:t>
      </w:r>
      <w:r w:rsidR="002A58AC">
        <w:t xml:space="preserve"> is NASA’s </w:t>
      </w:r>
      <w:r w:rsidR="00076BE1">
        <w:t>fiduciary</w:t>
      </w:r>
      <w:r w:rsidR="00E56ACA">
        <w:t xml:space="preserve"> dut</w:t>
      </w:r>
      <w:r w:rsidR="00076BE1">
        <w:t>y</w:t>
      </w:r>
      <w:r w:rsidR="002A58AC">
        <w:t xml:space="preserve"> to perform due diligence procedures on </w:t>
      </w:r>
      <w:r w:rsidR="00076BE1">
        <w:t>published data</w:t>
      </w:r>
      <w:r w:rsidR="002A58AC">
        <w:t xml:space="preserve">, and the </w:t>
      </w:r>
      <w:r w:rsidR="00B0188A">
        <w:t xml:space="preserve">agency’s </w:t>
      </w:r>
      <w:r w:rsidR="002A58AC">
        <w:t xml:space="preserve">first step should be </w:t>
      </w:r>
      <w:r w:rsidR="00076BE1">
        <w:t>reviewing</w:t>
      </w:r>
      <w:r w:rsidR="002A58AC">
        <w:t xml:space="preserve"> ancient astronomical accounts</w:t>
      </w:r>
      <w:r w:rsidR="00B0188A">
        <w:t xml:space="preserve"> as they could be providing false information to the US government and the whole world.</w:t>
      </w:r>
    </w:p>
    <w:p w14:paraId="4E738590" w14:textId="7355DCD4" w:rsidR="00EA6EF4" w:rsidRDefault="003B522B" w:rsidP="003B522B">
      <w:pPr>
        <w:pStyle w:val="BodyNoIndent"/>
      </w:pPr>
      <w:r w:rsidRPr="003B522B">
        <w:t xml:space="preserve">Venus's high temperature of the surface is currently explained by a runaway greenhouse effect. If it is a greenhouse effect, the planet should be heating; if it was a collision, then the planet should be cooling. There is little data on Venus's temperature dynamics. Another thing is that before the impact, Venus could have been closer to Earth, and </w:t>
      </w:r>
      <w:r>
        <w:t>‘</w:t>
      </w:r>
      <w:r w:rsidRPr="003B522B">
        <w:t>the radiant star, Venus, the great light which fills the holy heavens</w:t>
      </w:r>
      <w:r>
        <w:t>’</w:t>
      </w:r>
      <w:r w:rsidRPr="003B522B">
        <w:t xml:space="preserve"> might not have been a metaphor and Mesopotamian description of Venus as a warrior planet could also be an indication of a closer orbit. There are a number of astronomical symbols on ancient Mesopotamian artifacts, which do not represent the cosmos known to us. It is NASA's fiduciary duty to perform due diligence procedures on published data, and the agency's first step should be reviewing ancient astronomical accounts</w:t>
      </w:r>
      <w:r>
        <w:t>.</w:t>
      </w:r>
      <w:r w:rsidRPr="003B522B">
        <w:t xml:space="preserve"> </w:t>
      </w:r>
      <w:r>
        <w:t>By not doing it the agency</w:t>
      </w:r>
      <w:r w:rsidRPr="003B522B">
        <w:t xml:space="preserve"> could be providing false information to the US government and the whole world.</w:t>
      </w:r>
    </w:p>
    <w:p w14:paraId="15031F04" w14:textId="03090481" w:rsidR="00AC560E" w:rsidRDefault="00AC560E" w:rsidP="00AC560E">
      <w:pPr>
        <w:pStyle w:val="Subhead"/>
      </w:pPr>
      <w:r>
        <w:t>Conclusion</w:t>
      </w:r>
    </w:p>
    <w:p w14:paraId="2A3D040B" w14:textId="77777777" w:rsidR="003B522B" w:rsidRDefault="003740D7" w:rsidP="008655C6">
      <w:pPr>
        <w:pStyle w:val="BodyNoIndent"/>
      </w:pPr>
      <w:r>
        <w:t>Ancient Mesopotamia</w:t>
      </w:r>
      <w:r w:rsidR="00CB78C5">
        <w:t>n</w:t>
      </w:r>
      <w:r>
        <w:t xml:space="preserve"> cosmology </w:t>
      </w:r>
      <w:r w:rsidR="00CB78C5">
        <w:t xml:space="preserve">was </w:t>
      </w:r>
      <w:r>
        <w:t>connected with Mesopotamian religion. Astronomical observations were part of Mesopotamian religion from the beginning</w:t>
      </w:r>
      <w:r w:rsidR="00CB78C5">
        <w:t xml:space="preserve"> as the priests needed to know the will of gods — planets</w:t>
      </w:r>
      <w:r>
        <w:t>. Mesopotamian cosmology is largely ignored by modern cosmology</w:t>
      </w:r>
      <w:r w:rsidR="00CB78C5">
        <w:t xml:space="preserve">, but it could be an important source of information on the movements of celestial bodies in the past. </w:t>
      </w:r>
    </w:p>
    <w:p w14:paraId="2C6ADF24" w14:textId="7ABD12D5" w:rsidR="0040540B" w:rsidRDefault="003B522B" w:rsidP="0040540B">
      <w:pPr>
        <w:pStyle w:val="BodyNoIndent"/>
      </w:pPr>
      <w:r w:rsidRPr="003B522B">
        <w:t>Ancient Mesopotamian cosmology was connected with Mesopotamian religion. Astronomical observations were part of Mesopotamian religion from the beginning, as the priests needed to know the will of the god</w:t>
      </w:r>
      <w:r>
        <w:t xml:space="preserve">s — </w:t>
      </w:r>
      <w:r w:rsidRPr="003B522B">
        <w:t>planets</w:t>
      </w:r>
      <w:r>
        <w:t xml:space="preserve"> and stars</w:t>
      </w:r>
      <w:r w:rsidRPr="003B522B">
        <w:t>. Mesopotamian cosmology is largely ignored by modern cosmology, but it could be an important source of information on the movements of celestial bodies in the past.</w:t>
      </w:r>
      <w:r w:rsidR="0040540B">
        <w:t xml:space="preserve"> </w:t>
      </w:r>
      <w:r w:rsidR="00CB78C5">
        <w:t xml:space="preserve">The </w:t>
      </w:r>
      <w:r w:rsidR="0040540B">
        <w:t xml:space="preserve">ancient astronomical </w:t>
      </w:r>
      <w:r w:rsidR="00CB78C5">
        <w:t>accounts</w:t>
      </w:r>
      <w:r w:rsidR="0040540B">
        <w:t>,</w:t>
      </w:r>
      <w:r w:rsidR="00CB78C5">
        <w:t xml:space="preserve"> </w:t>
      </w:r>
      <w:r w:rsidR="0040540B">
        <w:t xml:space="preserve">like ones </w:t>
      </w:r>
      <w:r w:rsidR="00CB78C5">
        <w:t>of</w:t>
      </w:r>
      <w:r w:rsidR="008655C6">
        <w:t xml:space="preserve"> a</w:t>
      </w:r>
      <w:r w:rsidR="003740D7">
        <w:t xml:space="preserve"> </w:t>
      </w:r>
      <w:r w:rsidR="00CB78C5">
        <w:t xml:space="preserve">‘bearded Venus’ need to be </w:t>
      </w:r>
      <w:r w:rsidR="00FD49CF">
        <w:t>investigated.</w:t>
      </w:r>
    </w:p>
    <w:p w14:paraId="13464C66" w14:textId="5E0B8368" w:rsidR="0040540B" w:rsidRDefault="0040540B" w:rsidP="0040540B">
      <w:pPr>
        <w:pStyle w:val="Body"/>
      </w:pPr>
      <w:r>
        <w:t xml:space="preserve">Celestial divination was an important part of Mesopotamian divination. However, modern and ancient scholars are divided on the timing of its emergence. Modern scholars claim it emerged </w:t>
      </w:r>
      <w:r>
        <w:t>around</w:t>
      </w:r>
      <w:r>
        <w:t xml:space="preserve"> 500 BC, while ancient scholars quote dates much further in history. Nevertheless, celestial divination is linked to Mesopotamian religion and likely emerged around the time of the birth of religion. The first known temples in Sumer date around 6000 BC, so it is safe to assume that modern scholars are too conservative with their estimates.</w:t>
      </w:r>
    </w:p>
    <w:p w14:paraId="293BE588" w14:textId="008ABE5E" w:rsidR="00034064" w:rsidRDefault="00034064" w:rsidP="003740D7">
      <w:pPr>
        <w:pStyle w:val="Body"/>
      </w:pPr>
      <w:r w:rsidRPr="00034064">
        <w:t>Mesopotamian divination had important economic aspects. Following divination advice and writing off debts at major religious festivals kept the Mesopotamian economy going for thousands of years. Mesopotamian knowledge could be instrumental in solving modern economic problems. There is a disparity between governing in ancient Mesopotamia and in the modern world, with the latter lacking important qualities found in Mesopotamian governing.</w:t>
      </w:r>
    </w:p>
    <w:p w14:paraId="15608FEF" w14:textId="1DD9A683" w:rsidR="00F60D28" w:rsidRDefault="00034064" w:rsidP="006A47BC">
      <w:pPr>
        <w:pStyle w:val="Body"/>
      </w:pPr>
      <w:r w:rsidRPr="00034064">
        <w:t xml:space="preserve">The large parts of Mesopotamian knowledge, which were arguably acquired through divination, were still current until recent times. Knowledge was transferred from Mesopotamia to the rest of the world through various channels. The origins of this knowledge are contested. Some of it </w:t>
      </w:r>
      <w:r w:rsidRPr="00034064">
        <w:lastRenderedPageBreak/>
        <w:t>was lost, and it could be that modern civilization in many ways built on the Mesopotamian knowledge, missing some vital parts, and is in fact a Frankenstein copy of a divine project. A modernist attitude towards ancient Mesopotamian knowledge could be detrimental and cause economic, political, and existential threats.</w:t>
      </w:r>
      <w:r w:rsidR="00F60D28">
        <w:br w:type="page"/>
      </w:r>
    </w:p>
    <w:p w14:paraId="77992BC7" w14:textId="13CF2724" w:rsidR="00034064" w:rsidRDefault="00F60D28" w:rsidP="00F60D28">
      <w:pPr>
        <w:pStyle w:val="Subhead"/>
      </w:pPr>
      <w:r>
        <w:lastRenderedPageBreak/>
        <w:t>Bibliography</w:t>
      </w:r>
    </w:p>
    <w:p w14:paraId="0D1D480E" w14:textId="3761E880" w:rsidR="00F60D28" w:rsidRDefault="00F60D28">
      <w:pPr>
        <w:rPr>
          <w:rFonts w:ascii="Times New Roman" w:hAnsi="Times New Roman"/>
          <w:sz w:val="22"/>
        </w:rPr>
      </w:pPr>
    </w:p>
    <w:p w14:paraId="4C8507D3" w14:textId="77777777" w:rsidR="00F60D28" w:rsidRPr="00F60D28" w:rsidRDefault="00F60D28" w:rsidP="00F60D28">
      <w:pPr>
        <w:pStyle w:val="Bibliography"/>
        <w:rPr>
          <w:rFonts w:ascii="Times New Roman" w:hAnsi="Times New Roman" w:cs="Times New Roman"/>
          <w:sz w:val="22"/>
        </w:rPr>
      </w:pPr>
      <w:r>
        <w:rPr>
          <w:sz w:val="22"/>
        </w:rPr>
        <w:fldChar w:fldCharType="begin"/>
      </w:r>
      <w:r>
        <w:rPr>
          <w:sz w:val="22"/>
        </w:rPr>
        <w:instrText xml:space="preserve"> ADDIN ZOTERO_BIBL {"uncited":[],"omitted":[],"custom":[]} CSL_BIBLIOGRAPHY </w:instrText>
      </w:r>
      <w:r>
        <w:rPr>
          <w:sz w:val="22"/>
        </w:rPr>
        <w:fldChar w:fldCharType="separate"/>
      </w:r>
      <w:r w:rsidRPr="00F60D28">
        <w:rPr>
          <w:rFonts w:ascii="Times New Roman" w:hAnsi="Times New Roman" w:cs="Times New Roman"/>
          <w:sz w:val="22"/>
        </w:rPr>
        <w:t xml:space="preserve">Campion, Nicholas, </w:t>
      </w:r>
      <w:r w:rsidRPr="00F60D28">
        <w:rPr>
          <w:rFonts w:ascii="Times New Roman" w:hAnsi="Times New Roman" w:cs="Times New Roman"/>
          <w:i/>
          <w:iCs/>
          <w:sz w:val="22"/>
        </w:rPr>
        <w:t>Astrology and Cosmology in the World’s Religions</w:t>
      </w:r>
      <w:r w:rsidRPr="00F60D28">
        <w:rPr>
          <w:rFonts w:ascii="Times New Roman" w:hAnsi="Times New Roman" w:cs="Times New Roman"/>
          <w:sz w:val="22"/>
        </w:rPr>
        <w:t xml:space="preserve"> (NYU Press, 2012)</w:t>
      </w:r>
    </w:p>
    <w:p w14:paraId="268A19E6"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Collins, Paul, </w:t>
      </w:r>
      <w:r w:rsidRPr="00F60D28">
        <w:rPr>
          <w:rFonts w:ascii="Times New Roman" w:hAnsi="Times New Roman" w:cs="Times New Roman"/>
          <w:i/>
          <w:iCs/>
          <w:sz w:val="22"/>
        </w:rPr>
        <w:t>The Sumerians: Lost Civilizations</w:t>
      </w:r>
      <w:r w:rsidRPr="00F60D28">
        <w:rPr>
          <w:rFonts w:ascii="Times New Roman" w:hAnsi="Times New Roman" w:cs="Times New Roman"/>
          <w:sz w:val="22"/>
        </w:rPr>
        <w:t xml:space="preserve"> (</w:t>
      </w:r>
      <w:proofErr w:type="spellStart"/>
      <w:r w:rsidRPr="00F60D28">
        <w:rPr>
          <w:rFonts w:ascii="Times New Roman" w:hAnsi="Times New Roman" w:cs="Times New Roman"/>
          <w:sz w:val="22"/>
        </w:rPr>
        <w:t>Reaktion</w:t>
      </w:r>
      <w:proofErr w:type="spellEnd"/>
      <w:r w:rsidRPr="00F60D28">
        <w:rPr>
          <w:rFonts w:ascii="Times New Roman" w:hAnsi="Times New Roman" w:cs="Times New Roman"/>
          <w:sz w:val="22"/>
        </w:rPr>
        <w:t xml:space="preserve"> Books, 2021)</w:t>
      </w:r>
    </w:p>
    <w:p w14:paraId="1B1043C8"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‘Double Entry - Overview, History, How It Works, Example’ &lt;https://corporatefinanceinstitute.com/resources/accounting/double-entry/&gt; [accessed 20 April 2023]</w:t>
      </w:r>
    </w:p>
    <w:p w14:paraId="5A04FE1C"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Elder, Pliny the, </w:t>
      </w:r>
      <w:r w:rsidRPr="00F60D28">
        <w:rPr>
          <w:rFonts w:ascii="Times New Roman" w:hAnsi="Times New Roman" w:cs="Times New Roman"/>
          <w:i/>
          <w:iCs/>
          <w:sz w:val="22"/>
        </w:rPr>
        <w:t>Pliny the Elder: The Natural History Book VII (with Book VIII 1-34)</w:t>
      </w:r>
      <w:r w:rsidRPr="00F60D28">
        <w:rPr>
          <w:rFonts w:ascii="Times New Roman" w:hAnsi="Times New Roman" w:cs="Times New Roman"/>
          <w:sz w:val="22"/>
        </w:rPr>
        <w:t xml:space="preserve"> (Bloomsbury Publishing, 2015)</w:t>
      </w:r>
    </w:p>
    <w:p w14:paraId="0C9569B1"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Franchesca</w:t>
      </w:r>
      <w:proofErr w:type="spellEnd"/>
      <w:r w:rsidRPr="00F60D28">
        <w:rPr>
          <w:rFonts w:ascii="Times New Roman" w:hAnsi="Times New Roman" w:cs="Times New Roman"/>
          <w:sz w:val="22"/>
        </w:rPr>
        <w:t xml:space="preserve"> Rochberg, ‘Mesopotamian Cosmology’, in </w:t>
      </w:r>
      <w:r w:rsidRPr="00F60D28">
        <w:rPr>
          <w:rFonts w:ascii="Times New Roman" w:hAnsi="Times New Roman" w:cs="Times New Roman"/>
          <w:i/>
          <w:iCs/>
          <w:sz w:val="22"/>
        </w:rPr>
        <w:t>A Companion to the Ancient Near East</w:t>
      </w:r>
      <w:r w:rsidRPr="00F60D28">
        <w:rPr>
          <w:rFonts w:ascii="Times New Roman" w:hAnsi="Times New Roman" w:cs="Times New Roman"/>
          <w:sz w:val="22"/>
        </w:rPr>
        <w:t>, ed. by Daniel C. Snell (Blackwell Pub., 2005), pp. 315–29</w:t>
      </w:r>
    </w:p>
    <w:p w14:paraId="5B0465E5"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Friberg, J., </w:t>
      </w:r>
      <w:r w:rsidRPr="00F60D28">
        <w:rPr>
          <w:rFonts w:ascii="Times New Roman" w:hAnsi="Times New Roman" w:cs="Times New Roman"/>
          <w:i/>
          <w:iCs/>
          <w:sz w:val="22"/>
        </w:rPr>
        <w:t xml:space="preserve">The Early Roots of Babylonian Mathematics: Metrological Relations in a Group of Semi-Pictographic Tablets of the </w:t>
      </w:r>
      <w:proofErr w:type="spellStart"/>
      <w:r w:rsidRPr="00F60D28">
        <w:rPr>
          <w:rFonts w:ascii="Times New Roman" w:hAnsi="Times New Roman" w:cs="Times New Roman"/>
          <w:i/>
          <w:iCs/>
          <w:sz w:val="22"/>
        </w:rPr>
        <w:t>Jemdet</w:t>
      </w:r>
      <w:proofErr w:type="spellEnd"/>
      <w:r w:rsidRPr="00F60D28">
        <w:rPr>
          <w:rFonts w:ascii="Times New Roman" w:hAnsi="Times New Roman" w:cs="Times New Roman"/>
          <w:i/>
          <w:iCs/>
          <w:sz w:val="22"/>
        </w:rPr>
        <w:t xml:space="preserve"> Nasr Type, Probably from Uruk-</w:t>
      </w:r>
      <w:proofErr w:type="spellStart"/>
      <w:r w:rsidRPr="00F60D28">
        <w:rPr>
          <w:rFonts w:ascii="Times New Roman" w:hAnsi="Times New Roman" w:cs="Times New Roman"/>
          <w:i/>
          <w:iCs/>
          <w:sz w:val="22"/>
        </w:rPr>
        <w:t>Warka</w:t>
      </w:r>
      <w:proofErr w:type="spellEnd"/>
      <w:r w:rsidRPr="00F60D28">
        <w:rPr>
          <w:rFonts w:ascii="Times New Roman" w:hAnsi="Times New Roman" w:cs="Times New Roman"/>
          <w:sz w:val="22"/>
        </w:rPr>
        <w:t xml:space="preserve">, 1978, </w:t>
      </w:r>
      <w:r w:rsidRPr="00F60D28">
        <w:rPr>
          <w:rFonts w:ascii="Times New Roman" w:hAnsi="Times New Roman" w:cs="Times New Roman"/>
          <w:smallCaps/>
          <w:sz w:val="22"/>
        </w:rPr>
        <w:t>II</w:t>
      </w:r>
    </w:p>
    <w:p w14:paraId="52C5DDAE"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Friberg, </w:t>
      </w:r>
      <w:proofErr w:type="spellStart"/>
      <w:r w:rsidRPr="00F60D28">
        <w:rPr>
          <w:rFonts w:ascii="Times New Roman" w:hAnsi="Times New Roman" w:cs="Times New Roman"/>
          <w:sz w:val="22"/>
        </w:rPr>
        <w:t>Jöran</w:t>
      </w:r>
      <w:proofErr w:type="spellEnd"/>
      <w:r w:rsidRPr="00F60D28">
        <w:rPr>
          <w:rFonts w:ascii="Times New Roman" w:hAnsi="Times New Roman" w:cs="Times New Roman"/>
          <w:sz w:val="22"/>
        </w:rPr>
        <w:t xml:space="preserve">, ‘Three Thousand Years of Sexagesimal Numbers in Mesopotamian Mathematical Texts’, </w:t>
      </w:r>
      <w:r w:rsidRPr="00F60D28">
        <w:rPr>
          <w:rFonts w:ascii="Times New Roman" w:hAnsi="Times New Roman" w:cs="Times New Roman"/>
          <w:i/>
          <w:iCs/>
          <w:sz w:val="22"/>
        </w:rPr>
        <w:t>Archive for History of Exact Sciences</w:t>
      </w:r>
      <w:r w:rsidRPr="00F60D28">
        <w:rPr>
          <w:rFonts w:ascii="Times New Roman" w:hAnsi="Times New Roman" w:cs="Times New Roman"/>
          <w:sz w:val="22"/>
        </w:rPr>
        <w:t>, 73.2 (2019), 183–216</w:t>
      </w:r>
    </w:p>
    <w:p w14:paraId="0BD62DBD"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Haubold</w:t>
      </w:r>
      <w:proofErr w:type="spellEnd"/>
      <w:r w:rsidRPr="00F60D28">
        <w:rPr>
          <w:rFonts w:ascii="Times New Roman" w:hAnsi="Times New Roman" w:cs="Times New Roman"/>
          <w:sz w:val="22"/>
        </w:rPr>
        <w:t xml:space="preserve">, Johannes, John Steele, Kathryn Stevens, and Robson, Eleanor, ‘Who Wrote the Babylonian Astronomical Diaries?’, in </w:t>
      </w:r>
      <w:r w:rsidRPr="00F60D28">
        <w:rPr>
          <w:rFonts w:ascii="Times New Roman" w:hAnsi="Times New Roman" w:cs="Times New Roman"/>
          <w:i/>
          <w:iCs/>
          <w:sz w:val="22"/>
        </w:rPr>
        <w:t>Keeping Watch in Babylon: The Astronomical Diaries in Context</w:t>
      </w:r>
      <w:r w:rsidRPr="00F60D28">
        <w:rPr>
          <w:rFonts w:ascii="Times New Roman" w:hAnsi="Times New Roman" w:cs="Times New Roman"/>
          <w:sz w:val="22"/>
        </w:rPr>
        <w:t xml:space="preserve"> (BRILL, 2019), pp. 120–53</w:t>
      </w:r>
    </w:p>
    <w:p w14:paraId="32A550C0"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Homer, </w:t>
      </w:r>
      <w:r w:rsidRPr="00F60D28">
        <w:rPr>
          <w:rFonts w:ascii="Times New Roman" w:hAnsi="Times New Roman" w:cs="Times New Roman"/>
          <w:i/>
          <w:iCs/>
          <w:sz w:val="22"/>
        </w:rPr>
        <w:t>The Iliad</w:t>
      </w:r>
      <w:r w:rsidRPr="00F60D28">
        <w:rPr>
          <w:rFonts w:ascii="Times New Roman" w:hAnsi="Times New Roman" w:cs="Times New Roman"/>
          <w:sz w:val="22"/>
        </w:rPr>
        <w:t xml:space="preserve"> (Penguin, 1991)</w:t>
      </w:r>
    </w:p>
    <w:p w14:paraId="0B17AC39"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Hudson, Michael, ‘Reconstructing the Origins of Interest-Bearing Debt and the Logic of Clean Slates’, in </w:t>
      </w:r>
      <w:r w:rsidRPr="00F60D28">
        <w:rPr>
          <w:rFonts w:ascii="Times New Roman" w:hAnsi="Times New Roman" w:cs="Times New Roman"/>
          <w:i/>
          <w:iCs/>
          <w:sz w:val="22"/>
        </w:rPr>
        <w:t>Debt and Economic Renewal in the Ancient Near East</w:t>
      </w:r>
      <w:r w:rsidRPr="00F60D28">
        <w:rPr>
          <w:rFonts w:ascii="Times New Roman" w:hAnsi="Times New Roman" w:cs="Times New Roman"/>
          <w:sz w:val="22"/>
        </w:rPr>
        <w:t xml:space="preserve">, ed. by Marc Van de </w:t>
      </w:r>
      <w:proofErr w:type="spellStart"/>
      <w:r w:rsidRPr="00F60D28">
        <w:rPr>
          <w:rFonts w:ascii="Times New Roman" w:hAnsi="Times New Roman" w:cs="Times New Roman"/>
          <w:sz w:val="22"/>
        </w:rPr>
        <w:t>Mieroop</w:t>
      </w:r>
      <w:proofErr w:type="spellEnd"/>
      <w:r w:rsidRPr="00F60D28">
        <w:rPr>
          <w:rFonts w:ascii="Times New Roman" w:hAnsi="Times New Roman" w:cs="Times New Roman"/>
          <w:sz w:val="22"/>
        </w:rPr>
        <w:t xml:space="preserve"> and Hudson Michael (CDL Press, 2002)</w:t>
      </w:r>
    </w:p>
    <w:p w14:paraId="2636AB59"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Hudson, Michael, Marc Van de </w:t>
      </w:r>
      <w:proofErr w:type="spellStart"/>
      <w:r w:rsidRPr="00F60D28">
        <w:rPr>
          <w:rFonts w:ascii="Times New Roman" w:hAnsi="Times New Roman" w:cs="Times New Roman"/>
          <w:sz w:val="22"/>
        </w:rPr>
        <w:t>Mieroop</w:t>
      </w:r>
      <w:proofErr w:type="spellEnd"/>
      <w:r w:rsidRPr="00F60D28">
        <w:rPr>
          <w:rFonts w:ascii="Times New Roman" w:hAnsi="Times New Roman" w:cs="Times New Roman"/>
          <w:sz w:val="22"/>
        </w:rPr>
        <w:t xml:space="preserve">, and Institute for the Study of Long-Term Economic Trends, </w:t>
      </w:r>
      <w:r w:rsidRPr="00F60D28">
        <w:rPr>
          <w:rFonts w:ascii="Times New Roman" w:hAnsi="Times New Roman" w:cs="Times New Roman"/>
          <w:i/>
          <w:iCs/>
          <w:sz w:val="22"/>
        </w:rPr>
        <w:t>Debt and Economic Renewal in the Ancient Near East</w:t>
      </w:r>
      <w:r w:rsidRPr="00F60D28">
        <w:rPr>
          <w:rFonts w:ascii="Times New Roman" w:hAnsi="Times New Roman" w:cs="Times New Roman"/>
          <w:sz w:val="22"/>
        </w:rPr>
        <w:t xml:space="preserve"> (CDL Press, 2002)</w:t>
      </w:r>
    </w:p>
    <w:p w14:paraId="1A58485B"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Josephus, Flavius, </w:t>
      </w:r>
      <w:r w:rsidRPr="00F60D28">
        <w:rPr>
          <w:rFonts w:ascii="Times New Roman" w:hAnsi="Times New Roman" w:cs="Times New Roman"/>
          <w:i/>
          <w:iCs/>
          <w:sz w:val="22"/>
        </w:rPr>
        <w:t>Josephus: Complete Works</w:t>
      </w:r>
      <w:r w:rsidRPr="00F60D28">
        <w:rPr>
          <w:rFonts w:ascii="Times New Roman" w:hAnsi="Times New Roman" w:cs="Times New Roman"/>
          <w:sz w:val="22"/>
        </w:rPr>
        <w:t xml:space="preserve"> (T. Nelson Publishers, 1998)</w:t>
      </w:r>
    </w:p>
    <w:p w14:paraId="47DC886D"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Liverani</w:t>
      </w:r>
      <w:proofErr w:type="spellEnd"/>
      <w:r w:rsidRPr="00F60D28">
        <w:rPr>
          <w:rFonts w:ascii="Times New Roman" w:hAnsi="Times New Roman" w:cs="Times New Roman"/>
          <w:sz w:val="22"/>
        </w:rPr>
        <w:t xml:space="preserve">, Mario, </w:t>
      </w:r>
      <w:r w:rsidRPr="00F60D28">
        <w:rPr>
          <w:rFonts w:ascii="Times New Roman" w:hAnsi="Times New Roman" w:cs="Times New Roman"/>
          <w:i/>
          <w:iCs/>
          <w:sz w:val="22"/>
        </w:rPr>
        <w:t>The Ancient Near East: History, Society and Economy</w:t>
      </w:r>
      <w:r w:rsidRPr="00F60D28">
        <w:rPr>
          <w:rFonts w:ascii="Times New Roman" w:hAnsi="Times New Roman" w:cs="Times New Roman"/>
          <w:sz w:val="22"/>
        </w:rPr>
        <w:t xml:space="preserve"> (Routledge, 2013)</w:t>
      </w:r>
    </w:p>
    <w:p w14:paraId="726A8E5E"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 </w:t>
      </w:r>
      <w:r w:rsidRPr="00F60D28">
        <w:rPr>
          <w:rFonts w:ascii="Times New Roman" w:hAnsi="Times New Roman" w:cs="Times New Roman"/>
          <w:i/>
          <w:iCs/>
          <w:sz w:val="22"/>
        </w:rPr>
        <w:t>Uruk: The First City</w:t>
      </w:r>
      <w:r w:rsidRPr="00F60D28">
        <w:rPr>
          <w:rFonts w:ascii="Times New Roman" w:hAnsi="Times New Roman" w:cs="Times New Roman"/>
          <w:sz w:val="22"/>
        </w:rPr>
        <w:t xml:space="preserve"> (Equinox, 2006)</w:t>
      </w:r>
    </w:p>
    <w:p w14:paraId="7CE4A501"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Neugebauer, O., </w:t>
      </w:r>
      <w:r w:rsidRPr="00F60D28">
        <w:rPr>
          <w:rFonts w:ascii="Times New Roman" w:hAnsi="Times New Roman" w:cs="Times New Roman"/>
          <w:i/>
          <w:iCs/>
          <w:sz w:val="22"/>
        </w:rPr>
        <w:t>A History of Ancient Mathematical Astronomy</w:t>
      </w:r>
      <w:r w:rsidRPr="00F60D28">
        <w:rPr>
          <w:rFonts w:ascii="Times New Roman" w:hAnsi="Times New Roman" w:cs="Times New Roman"/>
          <w:sz w:val="22"/>
        </w:rPr>
        <w:t xml:space="preserve"> (Springer Science &amp; Business Media, 2012)</w:t>
      </w:r>
    </w:p>
    <w:p w14:paraId="6A9B171D"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Oppenheim, Adolf Leo, </w:t>
      </w:r>
      <w:r w:rsidRPr="00F60D28">
        <w:rPr>
          <w:rFonts w:ascii="Times New Roman" w:hAnsi="Times New Roman" w:cs="Times New Roman"/>
          <w:i/>
          <w:iCs/>
          <w:sz w:val="22"/>
        </w:rPr>
        <w:t>Ancient Mesopotamia: Portrait of a Dead Civilization</w:t>
      </w:r>
      <w:r w:rsidRPr="00F60D28">
        <w:rPr>
          <w:rFonts w:ascii="Times New Roman" w:hAnsi="Times New Roman" w:cs="Times New Roman"/>
          <w:sz w:val="22"/>
        </w:rPr>
        <w:t xml:space="preserve"> (University of Chicago Press, 1972)</w:t>
      </w:r>
    </w:p>
    <w:p w14:paraId="5AD2A832"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Philip Jones, ‘Divine and Non-Divine Kingship’, in </w:t>
      </w:r>
      <w:r w:rsidRPr="00F60D28">
        <w:rPr>
          <w:rFonts w:ascii="Times New Roman" w:hAnsi="Times New Roman" w:cs="Times New Roman"/>
          <w:i/>
          <w:iCs/>
          <w:sz w:val="22"/>
        </w:rPr>
        <w:t>A Companion to the Ancient Near East</w:t>
      </w:r>
      <w:r w:rsidRPr="00F60D28">
        <w:rPr>
          <w:rFonts w:ascii="Times New Roman" w:hAnsi="Times New Roman" w:cs="Times New Roman"/>
          <w:sz w:val="22"/>
        </w:rPr>
        <w:t>, ed. by Daniel C. Snell (Blackwell Pub., 2005), pp. 330–42</w:t>
      </w:r>
    </w:p>
    <w:p w14:paraId="5E8B7F3F"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Radau</w:t>
      </w:r>
      <w:proofErr w:type="spellEnd"/>
      <w:r w:rsidRPr="00F60D28">
        <w:rPr>
          <w:rFonts w:ascii="Times New Roman" w:hAnsi="Times New Roman" w:cs="Times New Roman"/>
          <w:sz w:val="22"/>
        </w:rPr>
        <w:t xml:space="preserve">, Hugo, </w:t>
      </w:r>
      <w:r w:rsidRPr="00F60D28">
        <w:rPr>
          <w:rFonts w:ascii="Times New Roman" w:hAnsi="Times New Roman" w:cs="Times New Roman"/>
          <w:i/>
          <w:iCs/>
          <w:sz w:val="22"/>
        </w:rPr>
        <w:t>The Creation-Story of Genesis I.: A Sumerian Theogony and Cosmogony,</w:t>
      </w:r>
      <w:r w:rsidRPr="00F60D28">
        <w:rPr>
          <w:rFonts w:ascii="Times New Roman" w:hAnsi="Times New Roman" w:cs="Times New Roman"/>
          <w:sz w:val="22"/>
        </w:rPr>
        <w:t xml:space="preserve"> (Open court Publishing Company, 1902)</w:t>
      </w:r>
    </w:p>
    <w:p w14:paraId="289D821C"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Ray, C. Claiborne, ‘Planets Spinning the “Wrong” Way’, </w:t>
      </w:r>
      <w:r w:rsidRPr="00F60D28">
        <w:rPr>
          <w:rFonts w:ascii="Times New Roman" w:hAnsi="Times New Roman" w:cs="Times New Roman"/>
          <w:i/>
          <w:iCs/>
          <w:sz w:val="22"/>
        </w:rPr>
        <w:t>The New York Times</w:t>
      </w:r>
      <w:r w:rsidRPr="00F60D28">
        <w:rPr>
          <w:rFonts w:ascii="Times New Roman" w:hAnsi="Times New Roman" w:cs="Times New Roman"/>
          <w:sz w:val="22"/>
        </w:rPr>
        <w:t>, 17 October 2016, section Science &lt;https://www.nytimes.com/2016/10/18/science/planets-spinning-the-wrong-way.html&gt; [accessed 23 April 2023]</w:t>
      </w:r>
    </w:p>
    <w:p w14:paraId="3D952711"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lastRenderedPageBreak/>
        <w:t xml:space="preserve">Rochberg, Francesca, </w:t>
      </w:r>
      <w:r w:rsidRPr="00F60D28">
        <w:rPr>
          <w:rFonts w:ascii="Times New Roman" w:hAnsi="Times New Roman" w:cs="Times New Roman"/>
          <w:i/>
          <w:iCs/>
          <w:sz w:val="22"/>
        </w:rPr>
        <w:t>The Heavenly Writing: Divination, Horoscopy, and Astronomy in Mesopotamian Culture</w:t>
      </w:r>
      <w:r w:rsidRPr="00F60D28">
        <w:rPr>
          <w:rFonts w:ascii="Times New Roman" w:hAnsi="Times New Roman" w:cs="Times New Roman"/>
          <w:sz w:val="22"/>
        </w:rPr>
        <w:t xml:space="preserve"> (Cambridge University Press, 2004)</w:t>
      </w:r>
    </w:p>
    <w:p w14:paraId="1E08882D"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Selz</w:t>
      </w:r>
      <w:proofErr w:type="spellEnd"/>
      <w:r w:rsidRPr="00F60D28">
        <w:rPr>
          <w:rFonts w:ascii="Times New Roman" w:hAnsi="Times New Roman" w:cs="Times New Roman"/>
          <w:sz w:val="22"/>
        </w:rPr>
        <w:t xml:space="preserve">, </w:t>
      </w:r>
      <w:proofErr w:type="spellStart"/>
      <w:r w:rsidRPr="00F60D28">
        <w:rPr>
          <w:rFonts w:ascii="Times New Roman" w:hAnsi="Times New Roman" w:cs="Times New Roman"/>
          <w:sz w:val="22"/>
        </w:rPr>
        <w:t>Gebhard</w:t>
      </w:r>
      <w:proofErr w:type="spellEnd"/>
      <w:r w:rsidRPr="00F60D28">
        <w:rPr>
          <w:rFonts w:ascii="Times New Roman" w:hAnsi="Times New Roman" w:cs="Times New Roman"/>
          <w:sz w:val="22"/>
        </w:rPr>
        <w:t xml:space="preserve"> J., ‘The Holy Drum, the Spear, and the Harp. Towards an Understanding of the Problems of Deification in the Third Millennium Mesopotamia’, in </w:t>
      </w:r>
      <w:r w:rsidRPr="00F60D28">
        <w:rPr>
          <w:rFonts w:ascii="Times New Roman" w:hAnsi="Times New Roman" w:cs="Times New Roman"/>
          <w:i/>
          <w:iCs/>
          <w:sz w:val="22"/>
        </w:rPr>
        <w:t>Sumerian Gods and Their Representations</w:t>
      </w:r>
      <w:r w:rsidRPr="00F60D28">
        <w:rPr>
          <w:rFonts w:ascii="Times New Roman" w:hAnsi="Times New Roman" w:cs="Times New Roman"/>
          <w:sz w:val="22"/>
        </w:rPr>
        <w:t>, ed. by Irving L. Finkel and Markham J. Geller (STYX Publications, 1997), pp. 167–213</w:t>
      </w:r>
    </w:p>
    <w:p w14:paraId="485CE763"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Swerdlow, Noel M., </w:t>
      </w:r>
      <w:r w:rsidRPr="00F60D28">
        <w:rPr>
          <w:rFonts w:ascii="Times New Roman" w:hAnsi="Times New Roman" w:cs="Times New Roman"/>
          <w:i/>
          <w:iCs/>
          <w:sz w:val="22"/>
        </w:rPr>
        <w:t>Ancient Astronomy and Celestial Divination</w:t>
      </w:r>
      <w:r w:rsidRPr="00F60D28">
        <w:rPr>
          <w:rFonts w:ascii="Times New Roman" w:hAnsi="Times New Roman" w:cs="Times New Roman"/>
          <w:sz w:val="22"/>
        </w:rPr>
        <w:t xml:space="preserve"> (MIT Press, 1999)</w:t>
      </w:r>
    </w:p>
    <w:p w14:paraId="2F258DEB"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University, Stanford, Stanford, and California 94305, ‘New Cuneiform Tablet Acquired by Special Collections’, </w:t>
      </w:r>
      <w:r w:rsidRPr="00F60D28">
        <w:rPr>
          <w:rFonts w:ascii="Times New Roman" w:hAnsi="Times New Roman" w:cs="Times New Roman"/>
          <w:i/>
          <w:iCs/>
          <w:sz w:val="22"/>
        </w:rPr>
        <w:t>Stanford Libraries</w:t>
      </w:r>
      <w:r w:rsidRPr="00F60D28">
        <w:rPr>
          <w:rFonts w:ascii="Times New Roman" w:hAnsi="Times New Roman" w:cs="Times New Roman"/>
          <w:sz w:val="22"/>
        </w:rPr>
        <w:t xml:space="preserve"> &lt;https://library.stanford.edu/blogs/special-collections-unbound/2020/01/new-cuneiform-tablet-acquired-special-collections&gt; [accessed 24 April 2023]</w:t>
      </w:r>
    </w:p>
    <w:p w14:paraId="42213ECE" w14:textId="33333297" w:rsidR="00F60D28" w:rsidRDefault="00F60D28">
      <w:pPr>
        <w:rPr>
          <w:rFonts w:ascii="Times New Roman" w:hAnsi="Times New Roman"/>
          <w:sz w:val="22"/>
        </w:rPr>
      </w:pPr>
      <w:r>
        <w:rPr>
          <w:rFonts w:ascii="Times New Roman" w:hAnsi="Times New Roman"/>
          <w:sz w:val="22"/>
        </w:rPr>
        <w:fldChar w:fldCharType="end"/>
      </w:r>
    </w:p>
    <w:p w14:paraId="4E2896D5" w14:textId="77777777" w:rsidR="00F60D28" w:rsidRDefault="00F60D28">
      <w:pPr>
        <w:rPr>
          <w:rFonts w:ascii="Times New Roman" w:hAnsi="Times New Roman"/>
          <w:sz w:val="22"/>
        </w:rPr>
      </w:pPr>
      <w:r>
        <w:rPr>
          <w:rFonts w:ascii="Times New Roman" w:hAnsi="Times New Roman"/>
          <w:sz w:val="22"/>
        </w:rPr>
        <w:br w:type="page"/>
      </w:r>
    </w:p>
    <w:p w14:paraId="079D28CF" w14:textId="77777777" w:rsidR="00F60D28" w:rsidRDefault="00F60D28">
      <w:pPr>
        <w:rPr>
          <w:rFonts w:ascii="Times New Roman" w:hAnsi="Times New Roman"/>
          <w:sz w:val="22"/>
        </w:rPr>
      </w:pPr>
    </w:p>
    <w:p w14:paraId="022CFA6A" w14:textId="6B1A0B43" w:rsidR="00D62055" w:rsidRDefault="00D62055">
      <w:pPr>
        <w:rPr>
          <w:rFonts w:ascii="Times New Roman" w:eastAsia="Times New Roman" w:hAnsi="Times New Roman" w:cs="Times New Roman (Body CS)"/>
          <w:color w:val="000000" w:themeColor="text1"/>
        </w:rPr>
      </w:pPr>
    </w:p>
    <w:p w14:paraId="0F420129" w14:textId="61C22B85" w:rsidR="00D62055" w:rsidRDefault="00D62055" w:rsidP="00D62055">
      <w:pPr>
        <w:pStyle w:val="Subhead"/>
      </w:pPr>
      <w:r>
        <w:t xml:space="preserve">Appendix </w:t>
      </w:r>
      <w:r w:rsidR="00F60D28">
        <w:t>1</w:t>
      </w:r>
      <w:r>
        <w:t xml:space="preserve"> Artist interpretation of the Shield of Achilles</w:t>
      </w:r>
    </w:p>
    <w:p w14:paraId="72333E70" w14:textId="77777777" w:rsidR="00D62055" w:rsidRDefault="00D62055" w:rsidP="00071A96">
      <w:pPr>
        <w:pStyle w:val="Body"/>
      </w:pPr>
    </w:p>
    <w:p w14:paraId="32EF368A" w14:textId="77777777" w:rsidR="00D62055" w:rsidRDefault="00D62055" w:rsidP="00071A96">
      <w:pPr>
        <w:pStyle w:val="Body"/>
      </w:pPr>
    </w:p>
    <w:p w14:paraId="1E0C1CAF" w14:textId="77777777" w:rsidR="00D62055" w:rsidRDefault="00D62055" w:rsidP="00071A96">
      <w:pPr>
        <w:pStyle w:val="Body"/>
      </w:pPr>
      <w:r>
        <w:rPr>
          <w:noProof/>
        </w:rPr>
        <w:drawing>
          <wp:inline distT="0" distB="0" distL="0" distR="0" wp14:anchorId="4958A852" wp14:editId="693E2C3A">
            <wp:extent cx="4889456" cy="505841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912676" cy="5082432"/>
                    </a:xfrm>
                    <a:prstGeom prst="rect">
                      <a:avLst/>
                    </a:prstGeom>
                  </pic:spPr>
                </pic:pic>
              </a:graphicData>
            </a:graphic>
          </wp:inline>
        </w:drawing>
      </w:r>
    </w:p>
    <w:p w14:paraId="51B5232A" w14:textId="2783EA3B" w:rsidR="00D62055" w:rsidRDefault="00D62055" w:rsidP="00D62055">
      <w:pPr>
        <w:pStyle w:val="Caption"/>
      </w:pPr>
      <w:r>
        <w:t xml:space="preserve">Figure </w:t>
      </w:r>
      <w:r>
        <w:fldChar w:fldCharType="begin"/>
      </w:r>
      <w:r>
        <w:instrText xml:space="preserve"> SEQ Figure \* ARABIC </w:instrText>
      </w:r>
      <w:r>
        <w:fldChar w:fldCharType="separate"/>
      </w:r>
      <w:r w:rsidR="00A55030">
        <w:rPr>
          <w:noProof/>
        </w:rPr>
        <w:t>1</w:t>
      </w:r>
      <w:r>
        <w:fldChar w:fldCharType="end"/>
      </w:r>
      <w:r>
        <w:t xml:space="preserve"> </w:t>
      </w:r>
      <w:r w:rsidRPr="00730245">
        <w:t xml:space="preserve">An interpretation of the Shield of Achilles design described in Book 18 of the Iliad, by Angelo </w:t>
      </w:r>
      <w:proofErr w:type="spellStart"/>
      <w:r w:rsidRPr="00730245">
        <w:t>Monticelli</w:t>
      </w:r>
      <w:proofErr w:type="spellEnd"/>
      <w:r w:rsidRPr="00730245">
        <w:t xml:space="preserve"> (1778-1837)</w:t>
      </w:r>
      <w:r>
        <w:t xml:space="preserve"> Copyright expired in 1907.</w:t>
      </w:r>
    </w:p>
    <w:p w14:paraId="2D12E7F0" w14:textId="77777777" w:rsidR="00D62055" w:rsidRPr="008A4BE2" w:rsidRDefault="00D62055" w:rsidP="00D62055"/>
    <w:p w14:paraId="02AF043B" w14:textId="65032FCA" w:rsidR="004A7CA1" w:rsidRDefault="004A7CA1">
      <w:pPr>
        <w:rPr>
          <w:rFonts w:ascii="Times New Roman" w:hAnsi="Times New Roman"/>
          <w:sz w:val="22"/>
        </w:rPr>
      </w:pPr>
    </w:p>
    <w:p w14:paraId="19648204" w14:textId="710C6AF9" w:rsidR="00AD2985" w:rsidRPr="00D62055" w:rsidRDefault="00AD2985" w:rsidP="00071A96">
      <w:pPr>
        <w:pStyle w:val="Body"/>
      </w:pPr>
    </w:p>
    <w:sectPr w:rsidR="00AD2985" w:rsidRPr="00D6205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1223C" w14:textId="77777777" w:rsidR="007011F4" w:rsidRDefault="007011F4" w:rsidP="006C4FAE">
      <w:r>
        <w:separator/>
      </w:r>
    </w:p>
  </w:endnote>
  <w:endnote w:type="continuationSeparator" w:id="0">
    <w:p w14:paraId="43029D21" w14:textId="77777777" w:rsidR="007011F4" w:rsidRDefault="007011F4" w:rsidP="006C4F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071EE" w14:textId="76BF48A4" w:rsidR="00556AFA" w:rsidRDefault="00556AFA" w:rsidP="00661065">
    <w:pPr>
      <w:pStyle w:val="Footer"/>
      <w:ind w:right="360"/>
    </w:pPr>
    <w:r>
      <w:t xml:space="preserve">Vadim Zaver 2111154                                                                                      page </w:t>
    </w:r>
    <w:r>
      <w:fldChar w:fldCharType="begin"/>
    </w:r>
    <w:r>
      <w:instrText xml:space="preserve"> PAGE  \* MERGEFORMAT </w:instrText>
    </w:r>
    <w:r>
      <w:fldChar w:fldCharType="separate"/>
    </w:r>
    <w:r>
      <w:t>1</w:t>
    </w:r>
    <w:r>
      <w:fldChar w:fldCharType="end"/>
    </w:r>
    <w:r>
      <w:t xml:space="preserve"> of </w:t>
    </w:r>
    <w:fldSimple w:instr=" NUMPAGES  \* MERGEFORMAT ">
      <w:r>
        <w:t>15</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8C1943" w14:textId="77777777" w:rsidR="007011F4" w:rsidRDefault="007011F4" w:rsidP="006C4FAE">
      <w:r>
        <w:separator/>
      </w:r>
    </w:p>
  </w:footnote>
  <w:footnote w:type="continuationSeparator" w:id="0">
    <w:p w14:paraId="61659558" w14:textId="77777777" w:rsidR="007011F4" w:rsidRDefault="007011F4" w:rsidP="006C4FAE">
      <w:r>
        <w:continuationSeparator/>
      </w:r>
    </w:p>
  </w:footnote>
  <w:footnote w:id="1">
    <w:p w14:paraId="7EB09D31" w14:textId="43DEED30" w:rsidR="00556AFA" w:rsidRDefault="00556AFA">
      <w:pPr>
        <w:pStyle w:val="FootnoteText"/>
      </w:pPr>
      <w:r>
        <w:rPr>
          <w:rStyle w:val="FootnoteReference"/>
        </w:rPr>
        <w:footnoteRef/>
      </w:r>
      <w:r>
        <w:t xml:space="preserve"> </w:t>
      </w:r>
      <w:r>
        <w:fldChar w:fldCharType="begin"/>
      </w:r>
      <w:r>
        <w:instrText xml:space="preserve"> ADDIN ZOTERO_ITEM CSL_CITATION {"citationID":"JdZliTW9","properties":{"formattedCitation":"Nicholas Campion, {\\i{}Astrology and Cosmology in the World\\uc0\\u8217{}s Religions} (NYU Press, 2012), p. 10.","plainCitation":"Nicholas Campion, Astrology and Cosmology in the World’s Religions (NYU Press, 2012), p. 10.","noteIndex":1},"citationItems":[{"id":378,"uris":["http://zotero.org/users/local/2JfuX8dL/items/FJQW2DCP"],"itemData":{"id":378,"type":"book","abstract":"When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earth.Astrology and Cosmology in the World’s Religions 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 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topics.","ISBN":"978-0-8147-0842-2","language":"en","note":"Google-Books-ID: MxSr1NT3BLoC","number-of-pages":"285","publisher":"NYU Press","source":"Google Books","title":"Astrology and Cosmology in the World’s Religions","author":[{"family":"Campion","given":"Nicholas"}],"issued":{"date-parts":[["2012",6,11]]}},"locator":"10","label":"page"}],"schema":"https://github.com/citation-style-language/schema/raw/master/csl-citation.json"} </w:instrText>
      </w:r>
      <w:r>
        <w:fldChar w:fldCharType="separate"/>
      </w:r>
      <w:r w:rsidRPr="001C6D25">
        <w:rPr>
          <w:rFonts w:ascii="Calibri" w:cs="Calibri"/>
        </w:rPr>
        <w:t xml:space="preserve">Nicholas Campion, </w:t>
      </w:r>
      <w:r w:rsidRPr="001C6D25">
        <w:rPr>
          <w:rFonts w:ascii="Calibri" w:cs="Calibri"/>
          <w:i/>
          <w:iCs/>
        </w:rPr>
        <w:t>Astrology and Cosmology in the World’s Religions</w:t>
      </w:r>
      <w:r w:rsidRPr="001C6D25">
        <w:rPr>
          <w:rFonts w:ascii="Calibri" w:cs="Calibri"/>
        </w:rPr>
        <w:t xml:space="preserve"> (NYU Press, 2012), p. 10.</w:t>
      </w:r>
      <w:r>
        <w:fldChar w:fldCharType="end"/>
      </w:r>
    </w:p>
  </w:footnote>
  <w:footnote w:id="2">
    <w:p w14:paraId="7FF7B878" w14:textId="1FBAA4E6" w:rsidR="00556AFA" w:rsidRDefault="00556AFA">
      <w:pPr>
        <w:pStyle w:val="FootnoteText"/>
      </w:pPr>
      <w:r>
        <w:rPr>
          <w:rStyle w:val="FootnoteReference"/>
        </w:rPr>
        <w:footnoteRef/>
      </w:r>
      <w:r>
        <w:t xml:space="preserve"> </w:t>
      </w:r>
      <w:r>
        <w:fldChar w:fldCharType="begin"/>
      </w:r>
      <w:r>
        <w:instrText xml:space="preserve"> ADDIN ZOTERO_ITEM CSL_CITATION {"citationID":"QTpDGq5x","properties":{"formattedCitation":"Campion, p. 1.","plainCitation":"Campion, p. 1.","noteIndex":2},"citationItems":[{"id":378,"uris":["http://zotero.org/users/local/2JfuX8dL/items/FJQW2DCP"],"itemData":{"id":378,"type":"book","abstract":"When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earth.Astrology and Cosmology in the World’s Religions 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 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topics.","ISBN":"978-0-8147-0842-2","language":"en","note":"Google-Books-ID: MxSr1NT3BLoC","number-of-pages":"285","publisher":"NYU Press","source":"Google Books","title":"Astrology and Cosmology in the World’s Religions","author":[{"family":"Campion","given":"Nicholas"}],"issued":{"date-parts":[["2012",6,11]]}},"locator":"1","label":"page"}],"schema":"https://github.com/citation-style-language/schema/raw/master/csl-citation.json"} </w:instrText>
      </w:r>
      <w:r>
        <w:fldChar w:fldCharType="separate"/>
      </w:r>
      <w:r>
        <w:rPr>
          <w:rFonts w:ascii="Calibri" w:cs="Calibri"/>
        </w:rPr>
        <w:t>Campion, p. 1.</w:t>
      </w:r>
      <w:r>
        <w:fldChar w:fldCharType="end"/>
      </w:r>
    </w:p>
  </w:footnote>
  <w:footnote w:id="3">
    <w:p w14:paraId="38A3EC96" w14:textId="4B34CF1A" w:rsidR="00556AFA" w:rsidRDefault="00556AFA" w:rsidP="00835514">
      <w:pPr>
        <w:pStyle w:val="FootnoteText"/>
      </w:pPr>
      <w:r>
        <w:rPr>
          <w:rStyle w:val="FootnoteReference"/>
        </w:rPr>
        <w:footnoteRef/>
      </w:r>
      <w:r>
        <w:t xml:space="preserve"> </w:t>
      </w:r>
      <w:r>
        <w:fldChar w:fldCharType="begin"/>
      </w:r>
      <w:r>
        <w:instrText xml:space="preserve"> ADDIN ZOTERO_ITEM CSL_CITATION {"citationID":"PDsipmRV","properties":{"formattedCitation":"Mario Liverani, {\\i{}Uruk: The First City} (Equinox, 2006), p. 23.","plainCitation":"Mario Liverani, Uruk: The First City (Equinox, 2006), p. 23.","noteIndex":3},"citationItems":[{"id":374,"uris":["http://zotero.org/users/local/2JfuX8dL/items/9ZBX8VIC"],"itemData":{"id":374,"type":"book","abstract":"Uruk: the First City is the first fully historical analysis of the origins of the city and of the state in southern Mesopotamia, the region providing the earliest evidence in world history related to these seminal developments. Contrasting his approach -- which has been influenced by V. Gordan Childe and by Marxist theorywith the neo-evolutionist ideas of (especially) American anthropological theory, the author argues that the innovations that took place during the Uruk period (most of the fourth millennium B.C.) were a true revolution that fundamentally changed all aspects of society and culture. This book is unique in its historical approach and its combination of archaeological and textual sources. It develops an argument that weaves together a vast amount of information and places it within a context of contemporary scholarly debates on such questions as the ancient economy and world systems.It explains the roots of these debates briefly without talking down to the reader. The book is accessible to a wider audience, while it also provides a cogent argument about the processes involved to the specialist in the field.","ISBN":"978-1-84553-193-5","language":"en","note":"Google-Books-ID: 84FtQgAACAAJ","number-of-pages":"97","publisher":"Equinox","source":"Google Books","title":"Uruk: The First City","title-short":"Uruk","author":[{"family":"Liverani","given":"Mario"}],"issued":{"date-parts":[["2006"]]}},"locator":"23","label":"page"}],"schema":"https://github.com/citation-style-language/schema/raw/master/csl-citation.json"} </w:instrText>
      </w:r>
      <w:r>
        <w:fldChar w:fldCharType="separate"/>
      </w:r>
      <w:r w:rsidRPr="00D84527">
        <w:rPr>
          <w:rFonts w:ascii="Calibri" w:cs="Calibri"/>
        </w:rPr>
        <w:t xml:space="preserve">Mario Liverani, </w:t>
      </w:r>
      <w:r w:rsidRPr="00D84527">
        <w:rPr>
          <w:rFonts w:ascii="Calibri" w:cs="Calibri"/>
          <w:i/>
          <w:iCs/>
        </w:rPr>
        <w:t>Uruk: The First City</w:t>
      </w:r>
      <w:r w:rsidRPr="00D84527">
        <w:rPr>
          <w:rFonts w:ascii="Calibri" w:cs="Calibri"/>
        </w:rPr>
        <w:t xml:space="preserve"> (Equinox, 2006), p. 23.</w:t>
      </w:r>
      <w:r>
        <w:fldChar w:fldCharType="end"/>
      </w:r>
    </w:p>
  </w:footnote>
  <w:footnote w:id="4">
    <w:p w14:paraId="03B7FFB3" w14:textId="16F35F17" w:rsidR="00556AFA" w:rsidRDefault="00556AFA" w:rsidP="00835514">
      <w:pPr>
        <w:pStyle w:val="FootnoteText"/>
      </w:pPr>
      <w:r>
        <w:rPr>
          <w:rStyle w:val="FootnoteReference"/>
        </w:rPr>
        <w:footnoteRef/>
      </w:r>
      <w:r>
        <w:t xml:space="preserve"> </w:t>
      </w:r>
      <w:r>
        <w:fldChar w:fldCharType="begin"/>
      </w:r>
      <w:r>
        <w:instrText xml:space="preserve"> ADDIN ZOTERO_ITEM CSL_CITATION {"citationID":"8vZZK2o2","properties":{"formattedCitation":"Campion, p. 8.","plainCitation":"Campion, p. 8.","noteIndex":4},"citationItems":[{"id":378,"uris":["http://zotero.org/users/local/2JfuX8dL/items/FJQW2DCP"],"itemData":{"id":378,"type":"book","abstract":"When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earth.Astrology and Cosmology in the World’s Religions 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 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topics.","ISBN":"978-0-8147-0842-2","language":"en","note":"Google-Books-ID: MxSr1NT3BLoC","number-of-pages":"285","publisher":"NYU Press","source":"Google Books","title":"Astrology and Cosmology in the World’s Religions","author":[{"family":"Campion","given":"Nicholas"}],"issued":{"date-parts":[["2012",6,11]]}},"locator":"8","label":"page"}],"schema":"https://github.com/citation-style-language/schema/raw/master/csl-citation.json"} </w:instrText>
      </w:r>
      <w:r>
        <w:fldChar w:fldCharType="separate"/>
      </w:r>
      <w:r>
        <w:rPr>
          <w:noProof/>
        </w:rPr>
        <w:t>Campion, p. 8.</w:t>
      </w:r>
      <w:r>
        <w:fldChar w:fldCharType="end"/>
      </w:r>
    </w:p>
  </w:footnote>
  <w:footnote w:id="5">
    <w:p w14:paraId="712FC832" w14:textId="5C9A9FD9" w:rsidR="00556AFA" w:rsidRDefault="00556AFA" w:rsidP="00B0188A">
      <w:pPr>
        <w:pStyle w:val="FootnoteText"/>
      </w:pPr>
      <w:r>
        <w:rPr>
          <w:rStyle w:val="FootnoteReference"/>
        </w:rPr>
        <w:footnoteRef/>
      </w:r>
      <w:r>
        <w:t xml:space="preserve"> </w:t>
      </w:r>
      <w:r>
        <w:fldChar w:fldCharType="begin"/>
      </w:r>
      <w:r>
        <w:instrText xml:space="preserve"> ADDIN ZOTERO_ITEM CSL_CITATION {"citationID":"PbCcgCGA","properties":{"formattedCitation":"Franchesca Rochberg, \\uc0\\u8216{}Mesopotamian Cosmology\\uc0\\u8217{}, in {\\i{}A Companion to the Ancient Near East}, ed. by Daniel C. Snell (Blackwell Pub., 2005), pp. 315\\uc0\\u8211{}29 (p. 319).","plainCitation":"Franchesca Rochberg, ‘Mesopotamian Cosmology’, in A Companion to the Ancient Near East, ed. by Daniel C. Snell (Blackwell Pub., 2005), pp. 315–29 (p. 319).","noteIndex":5},"citationItems":[{"id":386,"uris":["http://zotero.org/users/local/2JfuX8dL/items/7F8G2GWT"],"itemData":{"id":386,"type":"chapter","abstract":"A Companion to the Ancient Near East offers students and general readers a comprehensive overview of Near Eastern civilization from the Bronze Age to the conquests of Alexander the Great. Written by leading experts, the book examines all the major civilizations of the region, including the Sumerians, Hittites, Babylonians, Assyrians, Israelites, and Persians. The Companion provides a survey of both the history of the Ancient Near East and the sources for studying the period. It places special emphasis on social and cultural history and also covers the legacy of the Ancient Near East in the med.","container-title":"A Companion to the Ancient Near East","ISBN":"978-1-78268-573-9","language":"en","note":"Google-Books-ID: CrNRnQAACAAJ","page":"315-329","publisher":"Blackwell Pub.","source":"Google Books","title":"Mesopotamian Cosmology","editor":[{"family":"Snell","given":"Daniel C."}],"author":[{"literal":"Franchesca Rochberg"}],"issued":{"date-parts":[["2005"]]}},"locator":"319","label":"page"}],"schema":"https://github.com/citation-style-language/schema/raw/master/csl-citation.json"} </w:instrText>
      </w:r>
      <w:r>
        <w:fldChar w:fldCharType="separate"/>
      </w:r>
      <w:proofErr w:type="spellStart"/>
      <w:r w:rsidRPr="00773366">
        <w:rPr>
          <w:rFonts w:ascii="Calibri" w:cs="Calibri"/>
        </w:rPr>
        <w:t>Franchesca</w:t>
      </w:r>
      <w:proofErr w:type="spellEnd"/>
      <w:r w:rsidRPr="00773366">
        <w:rPr>
          <w:rFonts w:ascii="Calibri" w:cs="Calibri"/>
        </w:rPr>
        <w:t xml:space="preserve"> Rochberg, ‘Mesopotamian Cosmology’, in </w:t>
      </w:r>
      <w:r w:rsidRPr="00773366">
        <w:rPr>
          <w:rFonts w:ascii="Calibri" w:cs="Calibri"/>
          <w:i/>
          <w:iCs/>
        </w:rPr>
        <w:t>A Companion to the Ancient Near East</w:t>
      </w:r>
      <w:r w:rsidRPr="00773366">
        <w:rPr>
          <w:rFonts w:ascii="Calibri" w:cs="Calibri"/>
        </w:rPr>
        <w:t>, ed. by Daniel C. Snell (Blackwell Pub., 2005), pp. 315–29 (p. 319).</w:t>
      </w:r>
      <w:r>
        <w:fldChar w:fldCharType="end"/>
      </w:r>
    </w:p>
  </w:footnote>
  <w:footnote w:id="6">
    <w:p w14:paraId="04C6424C" w14:textId="15814146" w:rsidR="00556AFA" w:rsidRDefault="00556AFA" w:rsidP="00F021A5">
      <w:pPr>
        <w:pStyle w:val="FootnoteText"/>
      </w:pPr>
      <w:r>
        <w:rPr>
          <w:rStyle w:val="FootnoteReference"/>
        </w:rPr>
        <w:footnoteRef/>
      </w:r>
      <w:r>
        <w:t xml:space="preserve"> </w:t>
      </w:r>
      <w:r>
        <w:fldChar w:fldCharType="begin"/>
      </w:r>
      <w:r w:rsidR="00885D6B">
        <w:instrText xml:space="preserve"> ADDIN ZOTERO_ITEM CSL_CITATION {"citationID":"hpWgRmCc","properties":{"formattedCitation":"Mario Liverani, {\\i{}The Ancient Near East: History, Society and Economy} (Routledge, 2013), p. 80.","plainCitation":"Mario Liverani, The Ancient Near East: History, Society and Economy (Routledge, 2013), p. 80.","noteIndex":6},"citationItems":[{"id":372,"uris":["http://zotero.org/users/local/2JfuX8dL/items/HMHCIHPP"],"itemData":{"id":372,"type":"book","abstract":"The Ancient Near East reveals three millennia of history (c. 3500–500 bc) in a single work. Liverani draws upon over 25 years’ worth of experience and this personal odyssey has enabled him to retrace the history of the peoples of the Ancient Near East. The history of the Sumerians, Hittites, Assyrians, Babylonians and more is meticulously detailed by one of the leading scholars of Assyriology.  Utilizing research derived from the most recent archaeological finds, the text has been fully revised for this English edition and explores Liverani’s current thinking on the history of the Ancient Near East. The rich and varied illustrations for each historical period, augmented by new images for this edition, provide insights into the material and textual sources for the Ancient Near East. Many highlight the ingenuity and technological prowess of the peoples in the Ancient East. Never before available in English, The Ancient Near East represents one of the greatest books ever written on the subject and is a must read for students who will not have had the chance to explore the depth of Liverani’s scholarship.","ISBN":"978-1-134-75084-9","language":"en","note":"Google-Books-ID: 0d1JAgAAQBAJ","number-of-pages":"644","publisher":"Routledge","source":"Google Books","title":"The Ancient Near East: History, Society and Economy","title-short":"The Ancient Near East","author":[{"family":"Liverani","given":"Mario"}],"issued":{"date-parts":[["2013",12,4]]}},"locator":"80","label":"page"}],"schema":"https://github.com/citation-style-language/schema/raw/master/csl-citation.json"} </w:instrText>
      </w:r>
      <w:r>
        <w:fldChar w:fldCharType="separate"/>
      </w:r>
      <w:r w:rsidRPr="00DF20F6">
        <w:rPr>
          <w:rFonts w:ascii="Calibri" w:cs="Calibri"/>
        </w:rPr>
        <w:t xml:space="preserve">Mario </w:t>
      </w:r>
      <w:proofErr w:type="spellStart"/>
      <w:r w:rsidRPr="00DF20F6">
        <w:rPr>
          <w:rFonts w:ascii="Calibri" w:cs="Calibri"/>
        </w:rPr>
        <w:t>Liverani</w:t>
      </w:r>
      <w:proofErr w:type="spellEnd"/>
      <w:r w:rsidRPr="00DF20F6">
        <w:rPr>
          <w:rFonts w:ascii="Calibri" w:cs="Calibri"/>
        </w:rPr>
        <w:t xml:space="preserve">, </w:t>
      </w:r>
      <w:r w:rsidRPr="00DF20F6">
        <w:rPr>
          <w:rFonts w:ascii="Calibri" w:cs="Calibri"/>
          <w:i/>
          <w:iCs/>
        </w:rPr>
        <w:t>The Ancient Near East: History, Society and Economy</w:t>
      </w:r>
      <w:r w:rsidRPr="00DF20F6">
        <w:rPr>
          <w:rFonts w:ascii="Calibri" w:cs="Calibri"/>
        </w:rPr>
        <w:t xml:space="preserve"> (Routledge, 2013), p. 80.</w:t>
      </w:r>
      <w:r>
        <w:fldChar w:fldCharType="end"/>
      </w:r>
    </w:p>
  </w:footnote>
  <w:footnote w:id="7">
    <w:p w14:paraId="489CAE6D" w14:textId="6A67D2D2" w:rsidR="00556AFA" w:rsidRDefault="00556AFA" w:rsidP="00FC2674">
      <w:pPr>
        <w:pStyle w:val="FootnoteText"/>
      </w:pPr>
      <w:r>
        <w:rPr>
          <w:rStyle w:val="FootnoteReference"/>
        </w:rPr>
        <w:footnoteRef/>
      </w:r>
      <w:r>
        <w:t xml:space="preserve"> </w:t>
      </w:r>
      <w:r>
        <w:fldChar w:fldCharType="begin"/>
      </w:r>
      <w:r>
        <w:instrText xml:space="preserve"> ADDIN ZOTERO_ITEM CSL_CITATION {"citationID":"xsa4OAmC","properties":{"formattedCitation":"Paul Collins, {\\i{}The Sumerians: Lost Civilizations} (Reaktion Books, 2021), p. 96.","plainCitation":"Paul Collins, The Sumerians: Lost Civilizations (Reaktion Books, 2021), p. 96.","noteIndex":7},"citationItems":[{"id":376,"uris":["http://zotero.org/users/local/2JfuX8dL/items/XCV937PR"],"itemData":{"id":376,"type":"book","abstract":"The Sumerians are widely believed to have created the world’s earliest civilization on the fertile floodplains of southern Iraq from about 3500 to 2000 BCE. They have been credited with the invention of nothing less than cities, writing, and the wheel, and therefore hold an ancient mirror to our own urban, literate world. But is this picture correct? Paul Collins reveals how the idea of a Sumerian people was assembled from the archaeological and textual evidence uncovered in Iraq and Syria over the last one hundred fifty years. Reconstructed through the biases of those who unearthed them, the Sumerians were never simply lost and found, but reinvented a number of times, both in antiquity and in the more recent past.","ISBN":"978-1-78914-415-4","language":"en","note":"Google-Books-ID: rAIhEAAAQBAJ","number-of-pages":"215","publisher":"Reaktion Books","source":"Google Books","title":"The Sumerians: Lost Civilizations","title-short":"The Sumerians","author":[{"family":"Collins","given":"Paul"}],"issued":{"date-parts":[["2021",3,22]]}},"locator":"96","label":"page"}],"schema":"https://github.com/citation-style-language/schema/raw/master/csl-citation.json"} </w:instrText>
      </w:r>
      <w:r>
        <w:fldChar w:fldCharType="separate"/>
      </w:r>
      <w:r w:rsidRPr="003F7538">
        <w:rPr>
          <w:rFonts w:ascii="Calibri" w:cs="Calibri"/>
        </w:rPr>
        <w:t xml:space="preserve">Paul Collins, </w:t>
      </w:r>
      <w:r w:rsidRPr="003F7538">
        <w:rPr>
          <w:rFonts w:ascii="Calibri" w:cs="Calibri"/>
          <w:i/>
          <w:iCs/>
        </w:rPr>
        <w:t>The Sumerians: Lost Civilizations</w:t>
      </w:r>
      <w:r w:rsidRPr="003F7538">
        <w:rPr>
          <w:rFonts w:ascii="Calibri" w:cs="Calibri"/>
        </w:rPr>
        <w:t xml:space="preserve"> (</w:t>
      </w:r>
      <w:proofErr w:type="spellStart"/>
      <w:r w:rsidRPr="003F7538">
        <w:rPr>
          <w:rFonts w:ascii="Calibri" w:cs="Calibri"/>
        </w:rPr>
        <w:t>Reaktion</w:t>
      </w:r>
      <w:proofErr w:type="spellEnd"/>
      <w:r w:rsidRPr="003F7538">
        <w:rPr>
          <w:rFonts w:ascii="Calibri" w:cs="Calibri"/>
        </w:rPr>
        <w:t xml:space="preserve"> Books, 2021), p. 96.</w:t>
      </w:r>
      <w:r>
        <w:fldChar w:fldCharType="end"/>
      </w:r>
    </w:p>
  </w:footnote>
  <w:footnote w:id="8">
    <w:p w14:paraId="1FC5892F" w14:textId="66664EFC" w:rsidR="00556AFA" w:rsidRDefault="00556AFA" w:rsidP="002A30CE">
      <w:pPr>
        <w:pStyle w:val="FootnoteText"/>
      </w:pPr>
      <w:r>
        <w:rPr>
          <w:rStyle w:val="FootnoteReference"/>
        </w:rPr>
        <w:footnoteRef/>
      </w:r>
      <w:r>
        <w:t xml:space="preserve"> </w:t>
      </w:r>
      <w:r>
        <w:fldChar w:fldCharType="begin"/>
      </w:r>
      <w:r w:rsidR="00885D6B">
        <w:instrText xml:space="preserve"> ADDIN ZOTERO_ITEM CSL_CITATION {"citationID":"9VULxYWD","properties":{"formattedCitation":"Liverani, {\\i{}Uruk}, p. 16.","plainCitation":"Liverani, Uruk, p. 16.","noteIndex":8},"citationItems":[{"id":374,"uris":["http://zotero.org/users/local/2JfuX8dL/items/9ZBX8VIC"],"itemData":{"id":374,"type":"book","abstract":"Uruk: the First City is the first fully historical analysis of the origins of the city and of the state in southern Mesopotamia, the region providing the earliest evidence in world history related to these seminal developments. Contrasting his approach -- which has been influenced by V. Gordan Childe and by Marxist theorywith the neo-evolutionist ideas of (especially) American anthropological theory, the author argues that the innovations that took place during the Uruk period (most of the fourth millennium B.C.) were a true revolution that fundamentally changed all aspects of society and culture. This book is unique in its historical approach and its combination of archaeological and textual sources. It develops an argument that weaves together a vast amount of information and places it within a context of contemporary scholarly debates on such questions as the ancient economy and world systems.It explains the roots of these debates briefly without talking down to the reader. The book is accessible to a wider audience, while it also provides a cogent argument about the processes involved to the specialist in the field.","ISBN":"978-1-84553-193-5","language":"en","note":"Google-Books-ID: 84FtQgAACAAJ","number-of-pages":"97","publisher":"Equinox","source":"Google Books","title":"Uruk: The First City","title-short":"Uruk","author":[{"family":"Liverani","given":"Mario"}],"issued":{"date-parts":[["2006"]]}},"locator":"16","label":"page"}],"schema":"https://github.com/citation-style-language/schema/raw/master/csl-citation.json"} </w:instrText>
      </w:r>
      <w:r>
        <w:fldChar w:fldCharType="separate"/>
      </w:r>
      <w:proofErr w:type="spellStart"/>
      <w:r w:rsidRPr="00DF20F6">
        <w:rPr>
          <w:rFonts w:ascii="Calibri" w:cs="Calibri"/>
        </w:rPr>
        <w:t>Liverani</w:t>
      </w:r>
      <w:proofErr w:type="spellEnd"/>
      <w:r w:rsidRPr="00DF20F6">
        <w:rPr>
          <w:rFonts w:ascii="Calibri" w:cs="Calibri"/>
        </w:rPr>
        <w:t xml:space="preserve">, </w:t>
      </w:r>
      <w:r w:rsidRPr="00DF20F6">
        <w:rPr>
          <w:rFonts w:ascii="Calibri" w:cs="Calibri"/>
          <w:i/>
          <w:iCs/>
        </w:rPr>
        <w:t>Uruk</w:t>
      </w:r>
      <w:r w:rsidRPr="00DF20F6">
        <w:rPr>
          <w:rFonts w:ascii="Calibri" w:cs="Calibri"/>
        </w:rPr>
        <w:t>, p. 16.</w:t>
      </w:r>
      <w:r>
        <w:fldChar w:fldCharType="end"/>
      </w:r>
    </w:p>
  </w:footnote>
  <w:footnote w:id="9">
    <w:p w14:paraId="6103D76D" w14:textId="046BD5B7" w:rsidR="00556AFA" w:rsidRDefault="00556AFA" w:rsidP="0039583E">
      <w:pPr>
        <w:pStyle w:val="FootnoteText"/>
      </w:pPr>
      <w:r>
        <w:rPr>
          <w:rStyle w:val="FootnoteReference"/>
        </w:rPr>
        <w:footnoteRef/>
      </w:r>
      <w:r>
        <w:t xml:space="preserve"> </w:t>
      </w:r>
      <w:r>
        <w:fldChar w:fldCharType="begin"/>
      </w:r>
      <w:r w:rsidR="00885D6B">
        <w:instrText xml:space="preserve"> ADDIN ZOTERO_ITEM CSL_CITATION {"citationID":"DZcJCxdy","properties":{"formattedCitation":"Liverani, {\\i{}Uruk}, p. 6.","plainCitation":"Liverani, Uruk, p. 6.","noteIndex":9},"citationItems":[{"id":374,"uris":["http://zotero.org/users/local/2JfuX8dL/items/9ZBX8VIC"],"itemData":{"id":374,"type":"book","abstract":"Uruk: the First City is the first fully historical analysis of the origins of the city and of the state in southern Mesopotamia, the region providing the earliest evidence in world history related to these seminal developments. Contrasting his approach -- which has been influenced by V. Gordan Childe and by Marxist theorywith the neo-evolutionist ideas of (especially) American anthropological theory, the author argues that the innovations that took place during the Uruk period (most of the fourth millennium B.C.) were a true revolution that fundamentally changed all aspects of society and culture. This book is unique in its historical approach and its combination of archaeological and textual sources. It develops an argument that weaves together a vast amount of information and places it within a context of contemporary scholarly debates on such questions as the ancient economy and world systems.It explains the roots of these debates briefly without talking down to the reader. The book is accessible to a wider audience, while it also provides a cogent argument about the processes involved to the specialist in the field.","ISBN":"978-1-84553-193-5","language":"en","note":"Google-Books-ID: 84FtQgAACAAJ","number-of-pages":"97","publisher":"Equinox","source":"Google Books","title":"Uruk: The First City","title-short":"Uruk","author":[{"family":"Liverani","given":"Mario"}],"issued":{"date-parts":[["2006"]]}},"locator":"6","label":"page"}],"schema":"https://github.com/citation-style-language/schema/raw/master/csl-citation.json"} </w:instrText>
      </w:r>
      <w:r>
        <w:fldChar w:fldCharType="separate"/>
      </w:r>
      <w:proofErr w:type="spellStart"/>
      <w:r w:rsidRPr="00DF20F6">
        <w:rPr>
          <w:rFonts w:ascii="Calibri" w:cs="Calibri"/>
        </w:rPr>
        <w:t>Liverani</w:t>
      </w:r>
      <w:proofErr w:type="spellEnd"/>
      <w:r w:rsidRPr="00DF20F6">
        <w:rPr>
          <w:rFonts w:ascii="Calibri" w:cs="Calibri"/>
        </w:rPr>
        <w:t xml:space="preserve">, </w:t>
      </w:r>
      <w:r w:rsidRPr="00DF20F6">
        <w:rPr>
          <w:rFonts w:ascii="Calibri" w:cs="Calibri"/>
          <w:i/>
          <w:iCs/>
        </w:rPr>
        <w:t>Uruk</w:t>
      </w:r>
      <w:r w:rsidRPr="00DF20F6">
        <w:rPr>
          <w:rFonts w:ascii="Calibri" w:cs="Calibri"/>
        </w:rPr>
        <w:t>, p. 6.</w:t>
      </w:r>
      <w:r>
        <w:fldChar w:fldCharType="end"/>
      </w:r>
    </w:p>
  </w:footnote>
  <w:footnote w:id="10">
    <w:p w14:paraId="768DD354" w14:textId="245DA562" w:rsidR="00556AFA" w:rsidRDefault="00556AFA" w:rsidP="00243857">
      <w:pPr>
        <w:pStyle w:val="FootnoteText"/>
      </w:pPr>
      <w:r>
        <w:rPr>
          <w:rStyle w:val="FootnoteReference"/>
        </w:rPr>
        <w:footnoteRef/>
      </w:r>
      <w:r>
        <w:t xml:space="preserve"> </w:t>
      </w:r>
      <w:r>
        <w:fldChar w:fldCharType="begin"/>
      </w:r>
      <w:r>
        <w:instrText xml:space="preserve"> ADDIN ZOTERO_ITEM CSL_CITATION {"citationID":"9OT9nFV8","properties":{"formattedCitation":"Noel M. Swerdlow, {\\i{}Ancient Astronomy and Celestial Divination} (MIT Press, 1999), p. 80.","plainCitation":"Noel M. Swerdlow, Ancient Astronomy and Celestial Divination (MIT Press, 1999), p. 80.","noteIndex":10},"citationItems":[{"id":407,"uris":["http://zotero.org/users/local/2JfuX8dL/items/AV3L687J"],"itemData":{"id":407,"type":"book","abstract":"This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M."}],"issued":{"date-parts":[["1999"]]}},"locator":"80","label":"page"}],"schema":"https://github.com/citation-style-language/schema/raw/master/csl-citation.json"} </w:instrText>
      </w:r>
      <w:r>
        <w:fldChar w:fldCharType="separate"/>
      </w:r>
      <w:r w:rsidRPr="0018203D">
        <w:rPr>
          <w:rFonts w:ascii="Calibri" w:cs="Calibri"/>
        </w:rPr>
        <w:t xml:space="preserve">Noel M. Swerdlow, </w:t>
      </w:r>
      <w:r w:rsidRPr="0018203D">
        <w:rPr>
          <w:rFonts w:ascii="Calibri" w:cs="Calibri"/>
          <w:i/>
          <w:iCs/>
        </w:rPr>
        <w:t>Ancient Astronomy and Celestial Divination</w:t>
      </w:r>
      <w:r w:rsidRPr="0018203D">
        <w:rPr>
          <w:rFonts w:ascii="Calibri" w:cs="Calibri"/>
        </w:rPr>
        <w:t xml:space="preserve"> (MIT Press, 1999), p. 80.</w:t>
      </w:r>
      <w:r>
        <w:fldChar w:fldCharType="end"/>
      </w:r>
    </w:p>
  </w:footnote>
  <w:footnote w:id="11">
    <w:p w14:paraId="20DEEC70" w14:textId="5B3D6553"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{"citationID":"nvKI9Jw9","properties":{"formattedCitation":"Hugo Radau, {\\i{}The Creation-Story of Genesis I.: A Sumerian Theogony and Cosmogony,} (Open court Publishing Company, 1902), p. 57.","plainCitation":"Hugo Radau, The Creation-Story of Genesis I.: A Sumerian Theogony and Cosmogony, (Open court Publishing Company, 1902), p. 57.","noteIndex":11},"citationItems":[{"id":405,"uris":["http://zotero.org/users/local/2JfuX8dL/items/H2VLDXRF"],"itemData":{"id":405,"type":"book","abstract":"This volume makes contrasts and comparisons between the Sumerian religious stories of creation and the creation story told in Genesis, accepted by followers of Judaism and Christianity.","language":"en","note":"Google-Books-ID: GgwXAAAAIAAJ","number-of-pages":"96","publisher":"Open court Publishing Company","source":"Google Books","title":"The Creation-story of Genesis I.: A Sumerian Theogony and Cosmogony,","title-short":"The Creation-story of Genesis I.","author":[{"family":"Radau","given":"Hugo"}],"issued":{"date-parts":[["1902"]]}},"locator":"57","label":"page"}],"schema":"https://github.com/citation-style-language/schema/raw/master/csl-citation.json"} </w:instrText>
      </w:r>
      <w:r>
        <w:fldChar w:fldCharType="separate"/>
      </w:r>
      <w:r w:rsidRPr="00BD0540">
        <w:rPr>
          <w:rFonts w:ascii="Calibri" w:cs="Calibri"/>
        </w:rPr>
        <w:t xml:space="preserve">Hugo </w:t>
      </w:r>
      <w:proofErr w:type="spellStart"/>
      <w:r w:rsidRPr="00BD0540">
        <w:rPr>
          <w:rFonts w:ascii="Calibri" w:cs="Calibri"/>
        </w:rPr>
        <w:t>Radau</w:t>
      </w:r>
      <w:proofErr w:type="spellEnd"/>
      <w:r w:rsidRPr="00BD0540">
        <w:rPr>
          <w:rFonts w:ascii="Calibri" w:cs="Calibri"/>
        </w:rPr>
        <w:t xml:space="preserve">, </w:t>
      </w:r>
      <w:r w:rsidRPr="00BD0540">
        <w:rPr>
          <w:rFonts w:ascii="Calibri" w:cs="Calibri"/>
          <w:i/>
          <w:iCs/>
        </w:rPr>
        <w:t>The Creation-Story of Genesis I.: A Sumerian Theogony and Cosmogony,</w:t>
      </w:r>
      <w:r w:rsidRPr="00BD0540">
        <w:rPr>
          <w:rFonts w:ascii="Calibri" w:cs="Calibri"/>
        </w:rPr>
        <w:t xml:space="preserve"> (Open court Publishing Company, 1902), p. 57.</w:t>
      </w:r>
      <w:r>
        <w:fldChar w:fldCharType="end"/>
      </w:r>
    </w:p>
  </w:footnote>
  <w:footnote w:id="12">
    <w:p w14:paraId="1D363A94" w14:textId="20B251A2" w:rsidR="00556AFA" w:rsidRDefault="00556AFA" w:rsidP="002A30CE">
      <w:pPr>
        <w:pStyle w:val="FootnoteText"/>
      </w:pPr>
      <w:r>
        <w:rPr>
          <w:rStyle w:val="FootnoteReference"/>
        </w:rPr>
        <w:footnoteRef/>
      </w:r>
      <w:r>
        <w:t xml:space="preserve"> </w:t>
      </w:r>
      <w:r>
        <w:fldChar w:fldCharType="begin"/>
      </w:r>
      <w:r w:rsidR="00885D6B">
        <w:instrText xml:space="preserve"> ADDIN ZOTERO_ITEM CSL_CITATION {"citationID":"Sr7epgYD","properties":{"formattedCitation":"Flavius Josephus, {\\i{}Josephus: Complete Works} (T. Nelson Publishers, 1998), pts 69\\uc0\\u8211{}71.","plainCitation":"Flavius Josephus, Josephus: Complete Works (T. Nelson Publishers, 1998), pts 69–71.","noteIndex":12},"citationItems":[{"id":380,"uris":["http://zotero.org/users/local/2JfuX8dL/items/TRX2SWW8"],"itemData":{"id":380,"type":"book","abstract":"Josephus was a first-century Pharisee, soldier, informant to the Romans, and writer. He left behind the most extensive writings on ancient Jewish history still in existence, including the earliest independent accounts of the lives of Jesus, John the Baptist, and James the brother of Jesus. Without Josephus, we would know very little about the Essenes, the ancient Jewish group most frequently associated with the Dead Sea Scrolls, or about the beliefs of the Sadducees and Pharisees. Features include: The War of the Jews: an account of the Jewish revolt against Rome up to the destruction of the temple in Jerusalem -- The Antiquities of the Jews: a history of the Jews from Creation to the Roman occupation of Palestine -- The Life of Flavius Josephus: the autobiography of Josephus, who fought against Rome and later served the empire -- Against Apion: a defense of the origin of Judaism in the face of Greco-Roman slanders -- Discourse to the Greeks Concerning Hades: a text attributed to Josephus -- Index of parallels between Josephus's Antiquities and the Old Testament including the Apocrypha.","ISBN":"978-0-7852-1426-7","language":"en","note":"Google-Books-ID: _4YBAAAACAAJ","number-of-pages":"1149","publisher":"T. Nelson Publishers","source":"Google Books","title":"Josephus: Complete Works","title-short":"Josephus","author":[{"family":"Josephus","given":"Flavius"}],"issued":{"date-parts":[["1998"]]}},"locator":"69-71","label":"part"}],"schema":"https://github.com/citation-style-language/schema/raw/master/csl-citation.json"} </w:instrText>
      </w:r>
      <w:r>
        <w:fldChar w:fldCharType="separate"/>
      </w:r>
      <w:r w:rsidRPr="001C6D25">
        <w:rPr>
          <w:rFonts w:ascii="Calibri" w:cs="Calibri"/>
        </w:rPr>
        <w:t xml:space="preserve">Flavius Josephus, </w:t>
      </w:r>
      <w:r w:rsidRPr="001C6D25">
        <w:rPr>
          <w:rFonts w:ascii="Calibri" w:cs="Calibri"/>
          <w:i/>
          <w:iCs/>
        </w:rPr>
        <w:t>Josephus: Complete Works</w:t>
      </w:r>
      <w:r w:rsidRPr="001C6D25">
        <w:rPr>
          <w:rFonts w:ascii="Calibri" w:cs="Calibri"/>
        </w:rPr>
        <w:t xml:space="preserve"> (T. Nelson Publishers, 1998), pts 69–71.</w:t>
      </w:r>
      <w:r>
        <w:fldChar w:fldCharType="end"/>
      </w:r>
    </w:p>
  </w:footnote>
  <w:footnote w:id="13">
    <w:p w14:paraId="7AC7DFA4" w14:textId="1D830333" w:rsidR="00556AFA" w:rsidRDefault="00556AFA" w:rsidP="00412271">
      <w:pPr>
        <w:pStyle w:val="FootnoteText"/>
      </w:pPr>
      <w:r>
        <w:rPr>
          <w:rStyle w:val="FootnoteReference"/>
        </w:rPr>
        <w:footnoteRef/>
      </w:r>
      <w:r>
        <w:t xml:space="preserve"> </w:t>
      </w:r>
      <w:r>
        <w:fldChar w:fldCharType="begin"/>
      </w:r>
      <w:r>
        <w:instrText xml:space="preserve"> ADDIN ZOTERO_ITEM CSL_CITATION {"citationID":"j1nVncqn","properties":{"formattedCitation":"Swerdlow, p. 40.","plainCitation":"Swerdlow, p. 40.","noteIndex":13},"citationItems":[{"id":407,"uris":["http://zotero.org/users/local/2JfuX8dL/items/AV3L687J"],"itemData":{"id":407,"type":"book","abstract":"This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M."}],"issued":{"date-parts":[["1999"]]}},"locator":"40","label":"page"}],"schema":"https://github.com/citation-style-language/schema/raw/master/csl-citation.json"} </w:instrText>
      </w:r>
      <w:r>
        <w:fldChar w:fldCharType="separate"/>
      </w:r>
      <w:r>
        <w:rPr>
          <w:noProof/>
        </w:rPr>
        <w:t>Swerdlow, p. 40.</w:t>
      </w:r>
      <w:r>
        <w:fldChar w:fldCharType="end"/>
      </w:r>
    </w:p>
  </w:footnote>
  <w:footnote w:id="14">
    <w:p w14:paraId="4CDEA01F" w14:textId="497514A2" w:rsidR="00556AFA" w:rsidRDefault="00556AFA" w:rsidP="00EB436A">
      <w:pPr>
        <w:pStyle w:val="FootnoteText"/>
      </w:pPr>
      <w:r>
        <w:rPr>
          <w:rStyle w:val="FootnoteReference"/>
        </w:rPr>
        <w:footnoteRef/>
      </w:r>
      <w:r>
        <w:t xml:space="preserve"> </w:t>
      </w:r>
      <w:r>
        <w:fldChar w:fldCharType="begin"/>
      </w:r>
      <w:r w:rsidR="00885D6B">
        <w:instrText xml:space="preserve"> ADDIN ZOTERO_ITEM CSL_CITATION {"citationID":"ObmNmlBr","properties":{"formattedCitation":"Johannes Haubold and others, \\uc0\\u8216{}Who Wrote the Babylonian Astronomical Diaries?\\uc0\\u8217{}, in {\\i{}Keeping Watch in Babylon: The Astronomical Diaries in Context} (BRILL, 2019), pp. 120\\uc0\\u8211{}53 (p. 120).","plainCitation":"Johannes Haubold and others, ‘Who Wrote the Babylonian Astronomical Diaries?’, in Keeping Watch in Babylon: The Astronomical Diaries in Context (BRILL, 2019), pp. 120–53 (p. 120).","noteIndex":14},"citationItems":[{"id":404,"uris":["http://zotero.org/users/local/2JfuX8dL/items/U5NA3YMB"],"itemData":{"id":404,"type":"chapter","abstract":"This volume offers the first holistic examination of the Astronomical Diaries, a remarkable set of 1000 clay tablets from ancient Babylon in which for over 500 years (6th–1st century BCE) scholars combined astronomical observations with records of events on earth.","container-title":"Keeping Watch in Babylon: The Astronomical Diaries in Context","ISBN":"978-90-04-39776-7","language":"en","note":"Google-Books-ID: FzGbDwAAQBAJ","page":"120-153","publisher":"BRILL","source":"Google Books","title":"Who Wrote the Babylonian Astronomical Diaries?","author":[{"family":"Haubold","given":"Johannes"},{"family":"Steele","given":"John"},{"family":"Stevens","given":"Kathryn"},{"family":"Robson, Eleanor","given":""}],"issued":{"date-parts":[["2019",5,7]]}},"locator":"120","label":"page"}],"schema":"https://github.com/citation-style-language/schema/raw/master/csl-citation.json"} </w:instrText>
      </w:r>
      <w:r>
        <w:fldChar w:fldCharType="separate"/>
      </w:r>
      <w:r w:rsidRPr="005E4C2E">
        <w:rPr>
          <w:rFonts w:ascii="Calibri" w:cs="Calibri"/>
        </w:rPr>
        <w:t xml:space="preserve">Johannes </w:t>
      </w:r>
      <w:proofErr w:type="spellStart"/>
      <w:r w:rsidRPr="005E4C2E">
        <w:rPr>
          <w:rFonts w:ascii="Calibri" w:cs="Calibri"/>
        </w:rPr>
        <w:t>Haubold</w:t>
      </w:r>
      <w:proofErr w:type="spellEnd"/>
      <w:r w:rsidRPr="005E4C2E">
        <w:rPr>
          <w:rFonts w:ascii="Calibri" w:cs="Calibri"/>
        </w:rPr>
        <w:t xml:space="preserve"> and others, ‘Who Wrote the Babylonian Astronomical Diaries?’, in </w:t>
      </w:r>
      <w:r w:rsidRPr="005E4C2E">
        <w:rPr>
          <w:rFonts w:ascii="Calibri" w:cs="Calibri"/>
          <w:i/>
          <w:iCs/>
        </w:rPr>
        <w:t>Keeping Watch in Babylon: The Astronomical Diaries in Context</w:t>
      </w:r>
      <w:r w:rsidRPr="005E4C2E">
        <w:rPr>
          <w:rFonts w:ascii="Calibri" w:cs="Calibri"/>
        </w:rPr>
        <w:t xml:space="preserve"> (BRILL, 2019), pp. 120–53 (p. 120).</w:t>
      </w:r>
      <w:r>
        <w:fldChar w:fldCharType="end"/>
      </w:r>
    </w:p>
  </w:footnote>
  <w:footnote w:id="15">
    <w:p w14:paraId="221F9A54" w14:textId="20AEA03D" w:rsidR="00556AFA" w:rsidRDefault="00556AFA" w:rsidP="002D7350">
      <w:pPr>
        <w:pStyle w:val="FootnoteText"/>
      </w:pPr>
      <w:r>
        <w:rPr>
          <w:rStyle w:val="FootnoteReference"/>
        </w:rPr>
        <w:footnoteRef/>
      </w:r>
      <w:r>
        <w:t xml:space="preserve"> </w:t>
      </w:r>
      <w:r>
        <w:fldChar w:fldCharType="begin"/>
      </w:r>
      <w:r>
        <w:instrText xml:space="preserve"> ADDIN ZOTERO_ITEM CSL_CITATION {"citationID":"XGTTpHgL","properties":{"formattedCitation":"Swerdlow, p. 81.","plainCitation":"Swerdlow, p. 81.","noteIndex":15},"citationItems":[{"id":407,"uris":["http://zotero.org/users/local/2JfuX8dL/items/AV3L687J"],"itemData":{"id":407,"type":"book","abstract":"This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M."}],"issued":{"date-parts":[["1999"]]}},"locator":"81","label":"page"}],"schema":"https://github.com/citation-style-language/schema/raw/master/csl-citation.json"} </w:instrText>
      </w:r>
      <w:r>
        <w:fldChar w:fldCharType="separate"/>
      </w:r>
      <w:r>
        <w:rPr>
          <w:noProof/>
        </w:rPr>
        <w:t>Swerdlow, p. 81.</w:t>
      </w:r>
      <w:r>
        <w:fldChar w:fldCharType="end"/>
      </w:r>
    </w:p>
  </w:footnote>
  <w:footnote w:id="16">
    <w:p w14:paraId="33BE01FE" w14:textId="568F0618" w:rsidR="00556AFA" w:rsidRDefault="00556AFA">
      <w:pPr>
        <w:pStyle w:val="FootnoteText"/>
      </w:pPr>
      <w:r>
        <w:rPr>
          <w:rStyle w:val="FootnoteReference"/>
        </w:rPr>
        <w:footnoteRef/>
      </w:r>
      <w:r>
        <w:t xml:space="preserve"> </w:t>
      </w:r>
      <w:r>
        <w:fldChar w:fldCharType="begin"/>
      </w:r>
      <w:r>
        <w:instrText xml:space="preserve"> ADDIN ZOTERO_ITEM CSL_CITATION {"citationID":"YIcPLwNL","properties":{"formattedCitation":"Pliny the Elder, {\\i{}Pliny the Elder: The Natural History Book VII (with Book VIII 1-34)} (Bloomsbury Publishing, 2015), secs 121\\uc0\\u8211{}122.","plainCitation":"Pliny the Elder, Pliny the Elder: The Natural History Book VII (with Book VIII 1-34) (Bloomsbury Publishing, 2015), secs 121–122.","noteIndex":16},"citationItems":[{"id":389,"uris":["http://zotero.org/users/local/2JfuX8dL/items/4ZRRT5U3"],"itemData":{"id":389,"type":"book","abstract":"Pliny the Elder's Natural History is a vast encyclopaedia, surveying natural phenomena from cosmology to biology, medicine to magic. Direct observation, informed speculation and common knowledge are combined to present a key snapshot of ancient thought and the Romans' perspective on the world around them.Book VII of The Natural History provides a detailed examination of the human animal and is crucial to understanding the work as a whole. In Pliny's eyes, mankind 'for whose sake nature was created', represents the basis for which the natural world was founded and structured. As a result, the book provides valuable insight into the extraordinary complex of ideas and beliefs that were current in Pliny's era. One of the most interesting transitions of subject in The Natural History is that from man to animals (between Books VII and VIII) and for this reason the section on elephants at the beginning of Book VIII is included here, to show how Pliny moves on to his account of the animal he considers 'nearest to the human disposition'.This edition provides the full Latin text accompanied by commentary notes that provide linguistic help and explanations, plus vocabulary lists of Latin terms and an index of proper names. The in-depth introduction provides valuable details about the work's historical, scientific and literary context, as well as an overview of the work's legacy and reception.","ISBN":"978-1-4725-2101-9","language":"en","note":"Google-Books-ID: dwvSBgAAQBAJ","number-of-pages":"369","publisher":"Bloomsbury Publishing","source":"Google Books","title":"Pliny the Elder: The Natural History Book VII (with Book VIII 1-34)","title-short":"Pliny the Elder","author":[{"family":"Elder","given":"Pliny","dropping-particle":"the"}],"issued":{"date-parts":[["2015",5,21]]}},"locator":"121-122","label":"section"}],"schema":"https://github.com/citation-style-language/schema/raw/master/csl-citation.json"} </w:instrText>
      </w:r>
      <w:r>
        <w:fldChar w:fldCharType="separate"/>
      </w:r>
      <w:r w:rsidRPr="00C46074">
        <w:rPr>
          <w:rFonts w:ascii="Calibri" w:cs="Calibri"/>
        </w:rPr>
        <w:t xml:space="preserve">Pliny the Elder, </w:t>
      </w:r>
      <w:r w:rsidRPr="00C46074">
        <w:rPr>
          <w:rFonts w:ascii="Calibri" w:cs="Calibri"/>
          <w:i/>
          <w:iCs/>
        </w:rPr>
        <w:t>Pliny the Elder: The Natural History Book VII (with Book VIII 1-34)</w:t>
      </w:r>
      <w:r w:rsidRPr="00C46074">
        <w:rPr>
          <w:rFonts w:ascii="Calibri" w:cs="Calibri"/>
        </w:rPr>
        <w:t xml:space="preserve"> (Bloomsbury Publishing, 2015), secs 121–122.</w:t>
      </w:r>
      <w:r>
        <w:fldChar w:fldCharType="end"/>
      </w:r>
    </w:p>
  </w:footnote>
  <w:footnote w:id="17">
    <w:p w14:paraId="021CA470" w14:textId="760E23E9" w:rsidR="00556AFA" w:rsidRDefault="00556AFA" w:rsidP="00DA143B">
      <w:pPr>
        <w:pStyle w:val="FootnoteText"/>
      </w:pPr>
      <w:r>
        <w:rPr>
          <w:rStyle w:val="FootnoteReference"/>
        </w:rPr>
        <w:footnoteRef/>
      </w:r>
      <w:r>
        <w:t xml:space="preserve"> </w:t>
      </w:r>
      <w:r>
        <w:fldChar w:fldCharType="begin"/>
      </w:r>
      <w:r w:rsidR="00885D6B">
        <w:instrText xml:space="preserve"> ADDIN ZOTERO_ITEM CSL_CITATION {"citationID":"2pcYYD60","properties":{"formattedCitation":"Swerdlow, p. 80.","plainCitation":"Swerdlow, p. 80.","noteIndex":17},"citationItems":[{"id":407,"uris":["http://zotero.org/users/local/2JfuX8dL/items/AV3L687J"],"itemData":{"id":407,"type":"book","abstract":"This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M."}],"issued":{"date-parts":[["1999"]]}},"locator":"80","label":"page"}],"schema":"https://github.com/citation-style-language/schema/raw/master/csl-citation.json"} </w:instrText>
      </w:r>
      <w:r>
        <w:fldChar w:fldCharType="separate"/>
      </w:r>
      <w:r>
        <w:rPr>
          <w:noProof/>
        </w:rPr>
        <w:t>Swerdlow, p. 80.</w:t>
      </w:r>
      <w:r>
        <w:fldChar w:fldCharType="end"/>
      </w:r>
    </w:p>
  </w:footnote>
  <w:footnote w:id="18">
    <w:p w14:paraId="07BC65E4" w14:textId="08CCAF9E" w:rsidR="00556AFA" w:rsidRDefault="00556AFA">
      <w:pPr>
        <w:pStyle w:val="FootnoteText"/>
      </w:pPr>
      <w:r>
        <w:rPr>
          <w:rStyle w:val="FootnoteReference"/>
        </w:rPr>
        <w:footnoteRef/>
      </w:r>
      <w:r>
        <w:t xml:space="preserve"> </w:t>
      </w:r>
      <w:r>
        <w:fldChar w:fldCharType="begin"/>
      </w:r>
      <w:r>
        <w:instrText xml:space="preserve"> ADDIN ZOTERO_ITEM CSL_CITATION {"citationID":"DDjJQSQl","properties":{"formattedCitation":"Elder, secs 193\\uc0\\u8211{}194.","plainCitation":"Elder, secs 193–194.","noteIndex":18},"citationItems":[{"id":389,"uris":["http://zotero.org/users/local/2JfuX8dL/items/4ZRRT5U3"],"itemData":{"id":389,"type":"book","abstract":"Pliny the Elder's Natural History is a vast encyclopaedia, surveying natural phenomena from cosmology to biology, medicine to magic. Direct observation, informed speculation and common knowledge are combined to present a key snapshot of ancient thought and the Romans' perspective on the world around them.Book VII of The Natural History provides a detailed examination of the human animal and is crucial to understanding the work as a whole. In Pliny's eyes, mankind 'for whose sake nature was created', represents the basis for which the natural world was founded and structured. As a result, the book provides valuable insight into the extraordinary complex of ideas and beliefs that were current in Pliny's era. One of the most interesting transitions of subject in The Natural History is that from man to animals (between Books VII and VIII) and for this reason the section on elephants at the beginning of Book VIII is included here, to show how Pliny moves on to his account of the animal he considers 'nearest to the human disposition'.This edition provides the full Latin text accompanied by commentary notes that provide linguistic help and explanations, plus vocabulary lists of Latin terms and an index of proper names. The in-depth introduction provides valuable details about the work's historical, scientific and literary context, as well as an overview of the work's legacy and reception.","ISBN":"978-1-4725-2101-9","language":"en","note":"Google-Books-ID: dwvSBgAAQBAJ","number-of-pages":"369","publisher":"Bloomsbury Publishing","source":"Google Books","title":"Pliny the Elder: The Natural History Book VII (with Book VIII 1-34)","title-short":"Pliny the Elder","author":[{"family":"Elder","given":"Pliny","dropping-particle":"the"}],"issued":{"date-parts":[["2015",5,21]]}},"locator":"193-194","label":"section"}],"schema":"https://github.com/citation-style-language/schema/raw/master/csl-citation.json"} </w:instrText>
      </w:r>
      <w:r>
        <w:fldChar w:fldCharType="separate"/>
      </w:r>
      <w:r w:rsidRPr="009D2BE3">
        <w:rPr>
          <w:rFonts w:ascii="Calibri" w:cs="Calibri"/>
        </w:rPr>
        <w:t>Elder, secs 193–194.</w:t>
      </w:r>
      <w:r>
        <w:fldChar w:fldCharType="end"/>
      </w:r>
    </w:p>
  </w:footnote>
  <w:footnote w:id="19">
    <w:p w14:paraId="5586E2EE" w14:textId="1DAC0319" w:rsidR="00885D6B" w:rsidRDefault="00885D6B">
      <w:pPr>
        <w:pStyle w:val="FootnoteText"/>
      </w:pPr>
      <w:r>
        <w:rPr>
          <w:rStyle w:val="FootnoteReference"/>
        </w:rPr>
        <w:footnoteRef/>
      </w:r>
      <w:r>
        <w:t xml:space="preserve"> </w:t>
      </w:r>
      <w:r>
        <w:fldChar w:fldCharType="begin"/>
      </w:r>
      <w:r>
        <w:instrText xml:space="preserve"> ADDIN ZOTERO_ITEM CSL_CITATION {"citationID":"1zTbHOuX","properties":{"formattedCitation":"Stanford University, Stanford, and California 94305, \\uc0\\u8216{}New Cuneiform Tablet Acquired by Special Collections\\uc0\\u8217{}, {\\i{}Stanford Libraries} &lt;https://library.stanford.edu/blogs/special-collections-unbound/2020/01/new-cuneiform-tablet-acquired-special-collections&gt; [accessed 24 April 2023].","plainCitation":"Stanford University, Stanford, and California 94305, ‘New Cuneiform Tablet Acquired by Special Collections’, Stanford Libraries &lt;https://library.stanford.edu/blogs/special-collections-unbound/2020/01/new-cuneiform-tablet-acquired-special-collections&gt; [accessed 24 April 2023].","noteIndex":19},"citationItems":[{"id":418,"uris":["http://zotero.org/users/local/2JfuX8dL/items/H2MEGL5P"],"itemData":{"id":418,"type":"webpage","abstract":"The Stanford Libraries recently acquired its second cuneiform tablet. The acquisition was in response to the high level of use of the first tablet held by the Libraries, a Sumerian cuneiform tablet from 2056 B.C.E. which was a gift of David C. Weber in 1990 (https://searchworks.stanford.edu/view/4083797).","container-title":"Stanford Libraries","language":"en","title":"New cuneiform tablet acquired by Special Collections","URL":"https://library.stanford.edu/blogs/special-collections-unbound/2020/01/new-cuneiform-tablet-acquired-special-collections","author":[{"family":"University","given":"Stanford"},{"literal":"Stanford"},{"family":"California 94305","given":""}],"accessed":{"date-parts":[["2023",4,24]]}}}],"schema":"https://github.com/citation-style-language/schema/raw/master/csl-citation.json"} </w:instrText>
      </w:r>
      <w:r>
        <w:fldChar w:fldCharType="separate"/>
      </w:r>
      <w:r w:rsidRPr="00885D6B">
        <w:rPr>
          <w:rFonts w:ascii="Calibri" w:cs="Calibri"/>
        </w:rPr>
        <w:t xml:space="preserve">Stanford University, Stanford, and California 94305, ‘New Cuneiform Tablet Acquired by Special Collections’, </w:t>
      </w:r>
      <w:r w:rsidRPr="00885D6B">
        <w:rPr>
          <w:rFonts w:ascii="Calibri" w:cs="Calibri"/>
          <w:i/>
          <w:iCs/>
        </w:rPr>
        <w:t>Stanford Libraries</w:t>
      </w:r>
      <w:r w:rsidRPr="00885D6B">
        <w:rPr>
          <w:rFonts w:ascii="Calibri" w:cs="Calibri"/>
        </w:rPr>
        <w:t xml:space="preserve"> &lt;https://library.stanford.edu/blogs/special-collections-unbound/2020/01/new-cuneiform-tablet-acquired-special-collections&gt; [accessed 24 April 2023].</w:t>
      </w:r>
      <w:r>
        <w:fldChar w:fldCharType="end"/>
      </w:r>
    </w:p>
  </w:footnote>
  <w:footnote w:id="20">
    <w:p w14:paraId="6731A3CA" w14:textId="2C56CA11" w:rsidR="00556AFA" w:rsidRDefault="00556AFA" w:rsidP="006C4FAE">
      <w:pPr>
        <w:pStyle w:val="FootnoteText"/>
      </w:pPr>
      <w:r w:rsidRPr="003D5435">
        <w:rPr>
          <w:rStyle w:val="FootnoteReference"/>
        </w:rPr>
        <w:footnoteRef/>
      </w:r>
      <w:r>
        <w:t xml:space="preserve"> </w:t>
      </w:r>
      <w:r>
        <w:fldChar w:fldCharType="begin"/>
      </w:r>
      <w:r w:rsidR="00885D6B">
        <w:instrText xml:space="preserve"> ADDIN ZOTERO_ITEM CSL_CITATION {"citationID":"EazCYnCc","properties":{"formattedCitation":"Homer, {\\i{}The Iliad} (Penguin, 1991), bk. 18.565-71.","plainCitation":"Homer, The Iliad (Penguin, 1991), bk. 18.565-71.","noteIndex":20},"citationItems":[{"id":153,"uris":["http://zotero.org/users/local/2JfuX8dL/items/HL774MW8"],"itemData":{"id":153,"type":"book","abstract":"This translation of The Iliad equals Fitzgerald's earlier Odyssey in power and imagination. It recreates the original action as conceived by Homer, using fresh and flexible blank verse that is both lyrical and dramatic.","ISBN":"978-1-101-15363-5","language":"en","note":"Google-Books-ID: T69YdQPdhSEC","number-of-pages":"662","publisher":"Penguin","source":"Google Books","title":"The Iliad","author":[{"family":"Homer","given":""}],"issued":{"date-parts":[["1991",7,1]]}},"locator":"18.565-71","label":"book"}],"schema":"https://github.com/citation-style-language/schema/raw/master/csl-citation.json"} </w:instrText>
      </w:r>
      <w:r>
        <w:fldChar w:fldCharType="separate"/>
      </w:r>
      <w:r w:rsidRPr="00E96795">
        <w:rPr>
          <w:rFonts w:ascii="Calibri" w:cs="Calibri"/>
        </w:rPr>
        <w:t xml:space="preserve">Homer, </w:t>
      </w:r>
      <w:r w:rsidRPr="00E96795">
        <w:rPr>
          <w:rFonts w:ascii="Calibri" w:cs="Calibri"/>
          <w:i/>
          <w:iCs/>
        </w:rPr>
        <w:t>The Iliad</w:t>
      </w:r>
      <w:r w:rsidRPr="00E96795">
        <w:rPr>
          <w:rFonts w:ascii="Calibri" w:cs="Calibri"/>
        </w:rPr>
        <w:t xml:space="preserve"> (Penguin, 1991), bk. 18.565-71.</w:t>
      </w:r>
      <w:r>
        <w:fldChar w:fldCharType="end"/>
      </w:r>
    </w:p>
  </w:footnote>
  <w:footnote w:id="21">
    <w:p w14:paraId="23FFB442" w14:textId="7B7AFE20"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{"citationID":"dORjttQM","properties":{"formattedCitation":"Adolf Leo Oppenheim, {\\i{}Ancient Mesopotamia: Portrait of a Dead Civilization} (University of Chicago Press, 1972), p. 207.","plainCitation":"Adolf Leo Oppenheim, Ancient Mesopotamia: Portrait of a Dead Civilization (University of Chicago Press, 1972), p. 207.","noteIndex":21},"citationItems":[{"id":387,"uris":["http://zotero.org/users/local/2JfuX8dL/items/K2DK3YZ7"],"itemData":{"id":387,"type":"book","language":"en","note":"Google-Books-ID: 9UPqwgEACAAJ","number-of-pages":"433","publisher":"University of Chicago Press","source":"Google Books","title":"Ancient Mesopotamia: Portrait of a Dead Civilization","title-short":"Ancient Mesopotamia","author":[{"family":"Oppenheim","given":"Adolf Leo"}],"issued":{"date-parts":[["1972"]]}},"locator":"207","label":"page"}],"schema":"https://github.com/citation-style-language/schema/raw/master/csl-citation.json"} </w:instrText>
      </w:r>
      <w:r>
        <w:fldChar w:fldCharType="separate"/>
      </w:r>
      <w:r w:rsidRPr="00D84527">
        <w:rPr>
          <w:rFonts w:ascii="Calibri" w:cs="Calibri"/>
        </w:rPr>
        <w:t xml:space="preserve">Adolf Leo Oppenheim, </w:t>
      </w:r>
      <w:r w:rsidRPr="00D84527">
        <w:rPr>
          <w:rFonts w:ascii="Calibri" w:cs="Calibri"/>
          <w:i/>
          <w:iCs/>
        </w:rPr>
        <w:t>Ancient Mesopotamia: Portrait of a Dead Civilization</w:t>
      </w:r>
      <w:r w:rsidRPr="00D84527">
        <w:rPr>
          <w:rFonts w:ascii="Calibri" w:cs="Calibri"/>
        </w:rPr>
        <w:t xml:space="preserve"> (University of Chicago Press, 1972), p. 207.</w:t>
      </w:r>
      <w:r>
        <w:fldChar w:fldCharType="end"/>
      </w:r>
    </w:p>
  </w:footnote>
  <w:footnote w:id="22">
    <w:p w14:paraId="441F38E7" w14:textId="44E449F4" w:rsidR="00556AFA" w:rsidRDefault="00556AFA">
      <w:pPr>
        <w:pStyle w:val="FootnoteText"/>
      </w:pPr>
      <w:r>
        <w:rPr>
          <w:rStyle w:val="FootnoteReference"/>
        </w:rPr>
        <w:footnoteRef/>
      </w:r>
      <w:r>
        <w:t xml:space="preserve"> </w:t>
      </w:r>
      <w:r>
        <w:fldChar w:fldCharType="begin"/>
      </w:r>
      <w:r>
        <w:instrText xml:space="preserve"> ADDIN ZOTERO_ITEM CSL_CITATION {"citationID":"Y6VYtBL2","properties":{"formattedCitation":"Swerdlow, p. 40.","plainCitation":"Swerdlow, p. 40.","noteIndex":22},"citationItems":[{"id":407,"uris":["http://zotero.org/users/local/2JfuX8dL/items/AV3L687J"],"itemData":{"id":407,"type":"book","abstract":"This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M."}],"issued":{"date-parts":[["1999"]]}},"locator":"40","label":"page"}],"schema":"https://github.com/citation-style-language/schema/raw/master/csl-citation.json"} </w:instrText>
      </w:r>
      <w:r>
        <w:fldChar w:fldCharType="separate"/>
      </w:r>
      <w:r>
        <w:rPr>
          <w:noProof/>
        </w:rPr>
        <w:t>Swerdlow, p. 40.</w:t>
      </w:r>
      <w:r>
        <w:fldChar w:fldCharType="end"/>
      </w:r>
    </w:p>
  </w:footnote>
  <w:footnote w:id="23">
    <w:p w14:paraId="6E7A5453" w14:textId="627C9867" w:rsidR="00556AFA" w:rsidRDefault="00556AFA" w:rsidP="005E763D">
      <w:pPr>
        <w:pStyle w:val="FootnoteText"/>
      </w:pPr>
      <w:r>
        <w:rPr>
          <w:rStyle w:val="FootnoteReference"/>
        </w:rPr>
        <w:footnoteRef/>
      </w:r>
      <w:r>
        <w:t xml:space="preserve"> </w:t>
      </w:r>
      <w:r>
        <w:fldChar w:fldCharType="begin"/>
      </w:r>
      <w:r w:rsidR="00885D6B">
        <w:instrText xml:space="preserve"> ADDIN ZOTERO_ITEM CSL_CITATION {"citationID":"yG28fSSy","properties":{"formattedCitation":"O. Neugebauer, {\\i{}A History of Ancient Mathematical Astronomy} (Springer Science &amp; Business Media, 2012), p. 347.","plainCitation":"O. Neugebauer, A History of Ancient Mathematical Astronomy (Springer Science &amp; Business Media, 2012), p. 347.","noteIndex":23},"citationItems":[{"id":391,"uris":["http://zotero.org/users/local/2JfuX8dL/items/NIRZH5KS"],"itemData":{"id":391,"type":"book","abstract":"From the reviews:  \"This monumental work will henceforth be the standard interpretation of ancient mathematical astronomy. It is easy to point out its many virtues: comprehensiveness and common sense are two of the most important. Neugebauer has studied profoundly every relevant text in Akkadian, Egyptian, Greek, and Latin, no matter how fragmentary; [...] With the combination of mathematical rigor and a sober sense of the true nature of the evidence, he has penetrated the astronomical and the historical significance of his material. [...] His work has been and will remain the most admired model for those working with mathematical and astronomical texts. D. Pingree in Bibliotheca Orientalis, 1977 \"... a work that is a landmark, not only for the history of science, but for the history of scholarship. HAMA [History of Ancient Mathematical Astronomy] places the history of ancient Astronomy on a entirely new foundation. We shall not soon see its equal. N.M. Swerdlow in Historia Mathematica, 1979","ISBN":"978-3-642-61910-6","language":"en","note":"Google-Books-ID: 6tkqBAAAQBAJ","number-of-pages":"1468","publisher":"Springer Science &amp; Business Media","source":"Google Books","title":"A History of Ancient Mathematical Astronomy","author":[{"family":"Neugebauer","given":"O."}],"issued":{"date-parts":[["2012",12,6]]}},"locator":"347","label":"page"}],"schema":"https://github.com/citation-style-language/schema/raw/master/csl-citation.json"} </w:instrText>
      </w:r>
      <w:r>
        <w:fldChar w:fldCharType="separate"/>
      </w:r>
      <w:r w:rsidRPr="0055203B">
        <w:rPr>
          <w:rFonts w:ascii="Calibri" w:cs="Calibri"/>
        </w:rPr>
        <w:t xml:space="preserve">O. Neugebauer, </w:t>
      </w:r>
      <w:r w:rsidRPr="0055203B">
        <w:rPr>
          <w:rFonts w:ascii="Calibri" w:cs="Calibri"/>
          <w:i/>
          <w:iCs/>
        </w:rPr>
        <w:t>A History of Ancient Mathematical Astronomy</w:t>
      </w:r>
      <w:r w:rsidRPr="0055203B">
        <w:rPr>
          <w:rFonts w:ascii="Calibri" w:cs="Calibri"/>
        </w:rPr>
        <w:t xml:space="preserve"> (Springer Science &amp; Business Media, 2012), p. 347.</w:t>
      </w:r>
      <w:r>
        <w:fldChar w:fldCharType="end"/>
      </w:r>
    </w:p>
  </w:footnote>
  <w:footnote w:id="24">
    <w:p w14:paraId="4B7F73E5" w14:textId="346C9258" w:rsidR="00556AFA" w:rsidRDefault="00556AFA">
      <w:pPr>
        <w:pStyle w:val="FootnoteText"/>
      </w:pPr>
      <w:r>
        <w:rPr>
          <w:rStyle w:val="FootnoteReference"/>
        </w:rPr>
        <w:footnoteRef/>
      </w:r>
      <w:r>
        <w:t xml:space="preserve"> </w:t>
      </w:r>
      <w:r>
        <w:fldChar w:fldCharType="begin"/>
      </w:r>
      <w:r>
        <w:instrText xml:space="preserve"> ADDIN ZOTERO_ITEM CSL_CITATION {"citationID":"VFFW4X4h","properties":{"formattedCitation":"J\\uc0\\u246{}ran Friberg, \\uc0\\u8216{}Three Thousand Years of Sexagesimal Numbers in Mesopotamian Mathematical Texts\\uc0\\u8217{}, {\\i{}Archive for History of Exact Sciences}, 73.2 (2019), 183\\uc0\\u8211{}216 (p. 184).","plainCitation":"Jöran Friberg, ‘Three Thousand Years of Sexagesimal Numbers in Mesopotamian Mathematical Texts’, Archive for History of Exact Sciences, 73.2 (2019), 183–216 (p. 184).","noteIndex":24},"citationItems":[{"id":395,"uris":["http://zotero.org/users/local/2JfuX8dL/items/P2QAHCR3"],"itemData":{"id":395,"type":"article-journal","abstract":"[The Mesopotamian system of sexagesimal counting numbers was based on the progressive series of units 1, 10, 1-60, 10-60, .... It may have been in use already before the invention of writing, with the mentioned units represented by various kinds of small clay tokens. After the invention of proto-cuneiform writing, c. 3300 it continued to be used, with the successive units of the system represented by distinctive impressed cup- and disk-shaped number signs. Other kinds of \"metrological\" number systems in the proto-cuneiform script, with similar number signs, were used to denote area numbers, capacity numbers, etc. In a handful of known mathematical cuneiform texts from the latter half of the third millennium the ancient systems of sexagesimal counting numbers and area numbers were still in use, alongside new kinds of systems of capacity numbers and weight numbers. Large area numbers, capacity numbers, and weight numbers were counted sexagesimally, while each metrological number system had its own kind of fractional units. In the system of counting numbers itself, fractions could be expressed as sixtieths, sixtieths of sixtieths, and so on, but also in terms of small units borrowed from the system of weight numbers. Among them were the \"basic fractions\" which we would understand as 1/3, 1/2, and 2/3. In a very early series of metro-mathematical division exercises and an equally early metro-mathematical table of squares (Early Dynastic III, c. 2400 \"quasi-integers\" of the form \"integer plus basic fraction\" play a prominent role. Quasi-integers play an essential role also in a recently found atypical cuneiform table of reciprocals. The invention of sexagesimal numbers in place-value notation, in the Neo-Sumerian period c. 2000 BC, was based on a series of innovations. The range of the system of sexagesimal counting numbers was extended indefinitely both upward and downward, and the use of quasi-integers was abolished. Sexagesimal place-value numbers were used for all kinds of calculations in Old Babylonian mathematical cuneiform texts, c. 1700 BC, while traditional metrological numbers were retained in both questions and answers of the exercises. Examples of impressive computations of reciprocals of many-place regular sexagesimal place-value numbers, with no practical applications whatsoever, are known from the Old Babylonian period. In the Late Babylonian period (the latter half of the first millennium such BC), computations were still popular, performed by the same persons who constructed the many-place sexagesimal tables that make up the corpus of Late Babylonian mathematical astronomy.]","archive":"JSTOR","container-title":"Archive for History of Exact Sciences","ISSN":"00039519, 14320657","issue":"2","note":"publisher: Springer","page":"183-216","title":"Three thousand years of sexagesimal numbers in Mesopotamian mathematical texts","volume":"73","author":[{"family":"Friberg","given":"Jöran"}],"issued":{"date-parts":[["2019"]]}},"locator":"184","label":"page"}],"schema":"https://github.com/citation-style-language/schema/raw/master/csl-citation.json"} </w:instrText>
      </w:r>
      <w:r>
        <w:fldChar w:fldCharType="separate"/>
      </w:r>
      <w:proofErr w:type="spellStart"/>
      <w:r w:rsidRPr="00B205AE">
        <w:rPr>
          <w:rFonts w:ascii="Calibri" w:cs="Calibri"/>
        </w:rPr>
        <w:t>Jöran</w:t>
      </w:r>
      <w:proofErr w:type="spellEnd"/>
      <w:r w:rsidRPr="00B205AE">
        <w:rPr>
          <w:rFonts w:ascii="Calibri" w:cs="Calibri"/>
        </w:rPr>
        <w:t xml:space="preserve"> Friberg, ‘Three Thousand Years of Sexagesimal Numbers in Mesopotamian Mathematical Texts’, </w:t>
      </w:r>
      <w:r w:rsidRPr="00B205AE">
        <w:rPr>
          <w:rFonts w:ascii="Calibri" w:cs="Calibri"/>
          <w:i/>
          <w:iCs/>
        </w:rPr>
        <w:t>Archive for History of Exact Sciences</w:t>
      </w:r>
      <w:r w:rsidRPr="00B205AE">
        <w:rPr>
          <w:rFonts w:ascii="Calibri" w:cs="Calibri"/>
        </w:rPr>
        <w:t>, 73.2 (2019), 183–216 (p. 184).</w:t>
      </w:r>
      <w:r>
        <w:fldChar w:fldCharType="end"/>
      </w:r>
    </w:p>
  </w:footnote>
  <w:footnote w:id="25">
    <w:p w14:paraId="056EFA0E" w14:textId="060D5706" w:rsidR="00556AFA" w:rsidRDefault="00556AFA">
      <w:pPr>
        <w:pStyle w:val="FootnoteText"/>
      </w:pPr>
      <w:r>
        <w:rPr>
          <w:rStyle w:val="FootnoteReference"/>
        </w:rPr>
        <w:footnoteRef/>
      </w:r>
      <w:r>
        <w:t xml:space="preserve"> </w:t>
      </w:r>
      <w:r>
        <w:fldChar w:fldCharType="begin"/>
      </w:r>
      <w:r>
        <w:instrText xml:space="preserve"> ADDIN ZOTERO_ITEM CSL_CITATION {"citationID":"dtowAvVQ","properties":{"formattedCitation":"Friberg.","plainCitation":"Friberg.","noteIndex":25},"citationItems":[{"id":395,"uris":["http://zotero.org/users/local/2JfuX8dL/items/P2QAHCR3"],"itemData":{"id":395,"type":"article-journal","abstract":"[The Mesopotamian system of sexagesimal counting numbers was based on the progressive series of units 1, 10, 1-60, 10-60, .... It may have been in use already before the invention of writing, with the mentioned units represented by various kinds of small clay tokens. After the invention of proto-cuneiform writing, c. 3300 it continued to be used, with the successive units of the system represented by distinctive impressed cup- and disk-shaped number signs. Other kinds of \"metrological\" number systems in the proto-cuneiform script, with similar number signs, were used to denote area numbers, capacity numbers, etc. In a handful of known mathematical cuneiform texts from the latter half of the third millennium the ancient systems of sexagesimal counting numbers and area numbers were still in use, alongside new kinds of systems of capacity numbers and weight numbers. Large area numbers, capacity numbers, and weight numbers were counted sexagesimally, while each metrological number system had its own kind of fractional units. In the system of counting numbers itself, fractions could be expressed as sixtieths, sixtieths of sixtieths, and so on, but also in terms of small units borrowed from the system of weight numbers. Among them were the \"basic fractions\" which we would understand as 1/3, 1/2, and 2/3. In a very early series of metro-mathematical division exercises and an equally early metro-mathematical table of squares (Early Dynastic III, c. 2400 \"quasi-integers\" of the form \"integer plus basic fraction\" play a prominent role. Quasi-integers play an essential role also in a recently found atypical cuneiform table of reciprocals. The invention of sexagesimal numbers in place-value notation, in the Neo-Sumerian period c. 2000 BC, was based on a series of innovations. The range of the system of sexagesimal counting numbers was extended indefinitely both upward and downward, and the use of quasi-integers was abolished. Sexagesimal place-value numbers were used for all kinds of calculations in Old Babylonian mathematical cuneiform texts, c. 1700 BC, while traditional metrological numbers were retained in both questions and answers of the exercises. Examples of impressive computations of reciprocals of many-place regular sexagesimal place-value numbers, with no practical applications whatsoever, are known from the Old Babylonian period. In the Late Babylonian period (the latter half of the first millennium such BC), computations were still popular, performed by the same persons who constructed the many-place sexagesimal tables that make up the corpus of Late Babylonian mathematical astronomy.]","archive":"JSTOR","container-title":"Archive for History of Exact Sciences","ISSN":"00039519, 14320657","issue":"2","note":"publisher: Springer","page":"183-216","title":"Three thousand years of sexagesimal numbers in Mesopotamian mathematical texts","volume":"73","author":[{"family":"Friberg","given":"Jöran"}],"issued":{"date-parts":[["2019"]]}}}],"schema":"https://github.com/citation-style-language/schema/raw/master/csl-citation.json"} </w:instrText>
      </w:r>
      <w:r>
        <w:fldChar w:fldCharType="separate"/>
      </w:r>
      <w:r>
        <w:rPr>
          <w:noProof/>
        </w:rPr>
        <w:t>Friberg.</w:t>
      </w:r>
      <w:r>
        <w:fldChar w:fldCharType="end"/>
      </w:r>
    </w:p>
  </w:footnote>
  <w:footnote w:id="26">
    <w:p w14:paraId="0BE83A1A" w14:textId="43055DFF"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{"citationID":"KY5cXsYf","properties":{"formattedCitation":"J. Friberg, {\\i{}The Early Roots of Babylonian Mathematics: Metrological Relations in a Group of Semi-Pictographic Tablets of the Jemdet Nasr Type, Probably from Uruk-Warka}, 1978, {\\scaps II}, p. 47.","plainCitation":"J. Friberg, The Early Roots of Babylonian Mathematics: Metrological Relations in a Group of Semi-Pictographic Tablets of the Jemdet Nasr Type, Probably from Uruk-Warka, 1978, II, p. 47.","noteIndex":26},"citationItems":[{"id":396,"uris":["http://zotero.org/users/local/2JfuX8dL/items/KKGD3DS8"],"itemData":{"id":396,"type":"book","language":"en","note":"Google-Books-ID: jIUpmwEACAAJ","number-of-pages":"book","source":"Google Books","title":"The Early Roots of Babylonian Mathematics: Metrological Relations in a Group of Semi-Pictographic Tablets of the Jemdet Nasr Type, Probably from Uruk-Warka","title-short":"The Early Roots of Babylonian Mathematics","volume":"II","author":[{"family":"Friberg","given":"J."}],"issued":{"date-parts":[["1978"]]}},"locator":"47","label":"page"}],"schema":"https://github.com/citation-style-language/schema/raw/master/csl-citation.json"} </w:instrText>
      </w:r>
      <w:r>
        <w:fldChar w:fldCharType="separate"/>
      </w:r>
      <w:r w:rsidRPr="008F7CC7">
        <w:rPr>
          <w:rFonts w:ascii="Calibri" w:cs="Calibri"/>
        </w:rPr>
        <w:t xml:space="preserve">J. Friberg, </w:t>
      </w:r>
      <w:r w:rsidRPr="008F7CC7">
        <w:rPr>
          <w:rFonts w:ascii="Calibri" w:cs="Calibri"/>
          <w:i/>
          <w:iCs/>
        </w:rPr>
        <w:t>The Early Roots of Babylonian Mathematics: Metrological Relations in a Group of Semi-Pictographic Tablets of the Jemdet Nasr Type, Probably from Uruk-Warka</w:t>
      </w:r>
      <w:r w:rsidRPr="008F7CC7">
        <w:rPr>
          <w:rFonts w:ascii="Calibri" w:cs="Calibri"/>
        </w:rPr>
        <w:t xml:space="preserve">, 1978, </w:t>
      </w:r>
      <w:r w:rsidRPr="008F7CC7">
        <w:rPr>
          <w:rFonts w:ascii="Calibri" w:cs="Calibri"/>
          <w:smallCaps/>
        </w:rPr>
        <w:t>II</w:t>
      </w:r>
      <w:r w:rsidRPr="008F7CC7">
        <w:rPr>
          <w:rFonts w:ascii="Calibri" w:cs="Calibri"/>
        </w:rPr>
        <w:t>, p. 47.</w:t>
      </w:r>
      <w:r>
        <w:fldChar w:fldCharType="end"/>
      </w:r>
    </w:p>
  </w:footnote>
  <w:footnote w:id="27">
    <w:p w14:paraId="691B93BE" w14:textId="606BB774"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{"citationID":"2GISmuV8","properties":{"formattedCitation":"\\uc0\\u8216{}Double Entry - Overview, History, How It Works, Example\\uc0\\u8217{} &lt;https://corporatefinanceinstitute.com/resources/accounting/double-entry/&gt; [accessed 20 April 2023].","plainCitation":"‘Double Entry - Overview, History, How It Works, Example’ &lt;https://corporatefinanceinstitute.com/resources/accounting/double-entry/&gt; [accessed 20 April 2023].","noteIndex":27},"citationItems":[{"id":393,"uris":["http://zotero.org/users/local/2JfuX8dL/items/9I8H7JPR"],"itemData":{"id":393,"type":"webpage","title":"Double Entry - Overview, History, How It Works, Example","URL":"https://corporatefinanceinstitute.com/resources/accounting/double-entry/","accessed":{"date-parts":[["2023",4,20]]}}}],"schema":"https://github.com/citation-style-language/schema/raw/master/csl-citation.json"} </w:instrText>
      </w:r>
      <w:r>
        <w:fldChar w:fldCharType="separate"/>
      </w:r>
      <w:r w:rsidRPr="003D7C59">
        <w:rPr>
          <w:rFonts w:ascii="Calibri" w:cs="Calibri"/>
        </w:rPr>
        <w:t>‘Double Entry - Overview, History, How It Works, Example’ &lt;https://corporatefinanceinstitute.com/resources/accounting/double-entry/&gt; [accessed 20 April 2023].</w:t>
      </w:r>
      <w:r>
        <w:fldChar w:fldCharType="end"/>
      </w:r>
    </w:p>
  </w:footnote>
  <w:footnote w:id="28">
    <w:p w14:paraId="5BFEC5A1" w14:textId="3060AE34" w:rsidR="00556AFA" w:rsidRDefault="00556AFA">
      <w:pPr>
        <w:pStyle w:val="FootnoteText"/>
      </w:pPr>
      <w:r>
        <w:rPr>
          <w:rStyle w:val="FootnoteReference"/>
        </w:rPr>
        <w:footnoteRef/>
      </w:r>
      <w:r>
        <w:t xml:space="preserve"> </w:t>
      </w:r>
      <w:r>
        <w:fldChar w:fldCharType="begin"/>
      </w:r>
      <w:r>
        <w:instrText xml:space="preserve"> ADDIN ZOTERO_ITEM CSL_CITATION {"citationID":"11M0pSyC","properties":{"formattedCitation":"Swerdlow, p. 40.","plainCitation":"Swerdlow, p. 40.","noteIndex":28},"citationItems":[{"id":407,"uris":["http://zotero.org/users/local/2JfuX8dL/items/AV3L687J"],"itemData":{"id":407,"type":"book","abstract":"This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M."}],"issued":{"date-parts":[["1999"]]}},"locator":"40","label":"page"}],"schema":"https://github.com/citation-style-language/schema/raw/master/csl-citation.json"} </w:instrText>
      </w:r>
      <w:r>
        <w:fldChar w:fldCharType="separate"/>
      </w:r>
      <w:r>
        <w:rPr>
          <w:noProof/>
        </w:rPr>
        <w:t>Swerdlow, p. 40.</w:t>
      </w:r>
      <w:r>
        <w:fldChar w:fldCharType="end"/>
      </w:r>
    </w:p>
  </w:footnote>
  <w:footnote w:id="29">
    <w:p w14:paraId="3AEF9489" w14:textId="091A2E9B" w:rsidR="00556AFA" w:rsidRDefault="00556AFA" w:rsidP="00190F0E">
      <w:pPr>
        <w:pStyle w:val="FootnoteText"/>
      </w:pPr>
      <w:r>
        <w:rPr>
          <w:rStyle w:val="FootnoteReference"/>
        </w:rPr>
        <w:footnoteRef/>
      </w:r>
      <w:r>
        <w:t xml:space="preserve"> </w:t>
      </w:r>
      <w:r>
        <w:fldChar w:fldCharType="begin"/>
      </w:r>
      <w:r>
        <w:instrText xml:space="preserve"> ADDIN ZOTERO_ITEM CSL_CITATION {"citationID":"bIfdgC62","properties":{"formattedCitation":"Swerdlow, p. 97.","plainCitation":"Swerdlow, p. 97.","noteIndex":29},"citationItems":[{"id":407,"uris":["http://zotero.org/users/local/2JfuX8dL/items/AV3L687J"],"itemData":{"id":407,"type":"book","abstract":"This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M."}],"issued":{"date-parts":[["1999"]]}},"locator":"97","label":"page"}],"schema":"https://github.com/citation-style-language/schema/raw/master/csl-citation.json"} </w:instrText>
      </w:r>
      <w:r>
        <w:fldChar w:fldCharType="separate"/>
      </w:r>
      <w:r>
        <w:rPr>
          <w:noProof/>
        </w:rPr>
        <w:t>Swerdlow, p. 97.</w:t>
      </w:r>
      <w:r>
        <w:fldChar w:fldCharType="end"/>
      </w:r>
    </w:p>
  </w:footnote>
  <w:footnote w:id="30">
    <w:p w14:paraId="7D622E18" w14:textId="553AAC97" w:rsidR="00556AFA" w:rsidRDefault="00556AFA">
      <w:pPr>
        <w:pStyle w:val="FootnoteText"/>
      </w:pPr>
      <w:r>
        <w:rPr>
          <w:rStyle w:val="FootnoteReference"/>
        </w:rPr>
        <w:footnoteRef/>
      </w:r>
      <w:r>
        <w:t xml:space="preserve"> </w:t>
      </w:r>
      <w:r>
        <w:fldChar w:fldCharType="begin"/>
      </w:r>
      <w:r>
        <w:instrText xml:space="preserve"> ADDIN ZOTERO_ITEM CSL_CITATION {"citationID":"VBeUoydB","properties":{"formattedCitation":"Philip Jones, \\uc0\\u8216{}Divine and Non-Divine Kingship\\uc0\\u8217{}, in {\\i{}A Companion to the Ancient Near East}, ed. by Daniel C. Snell (Blackwell Pub., 2005), pp. 330\\uc0\\u8211{}42 (p. 331).","plainCitation":"Philip Jones, ‘Divine and Non-Divine Kingship’, in A Companion to the Ancient Near East, ed. by Daniel C. Snell (Blackwell Pub., 2005), pp. 330–42 (p. 331).","noteIndex":30},"citationItems":[{"id":401,"uris":["http://zotero.org/users/local/2JfuX8dL/items/WKWTPNSG"],"itemData":{"id":401,"type":"chapter","abstract":"A Companion to the Ancient Near East offers students and general readers a comprehensive overview of Near Eastern civilization from the Bronze Age to the conquests of Alexander the Great. Written by leading experts, the book examines all the major civilizations of the region, including the Sumerians, Hittites, Babylonians, Assyrians, Israelites, and Persians. The Companion provides a survey of both the history of the Ancient Near East and the sources for studying the period. It places special emphasis on social and cultural history and also covers the legacy of the Ancient Near East in the med.","container-title":"A Companion to the Ancient Near East","ISBN":"978-1-78268-573-9","language":"en","note":"Google-Books-ID: CrNRnQAACAAJ","page":"330-342","publisher":"Blackwell Pub.","source":"Google Books","title":"Divine and Non-Divine Kingship","editor":[{"family":"Snell","given":"Daniel C."}],"author":[{"literal":"Philip Jones"}],"issued":{"date-parts":[["2005"]]}},"locator":"331","label":"page"}],"schema":"https://github.com/citation-style-language/schema/raw/master/csl-citation.json"} </w:instrText>
      </w:r>
      <w:r>
        <w:fldChar w:fldCharType="separate"/>
      </w:r>
      <w:r w:rsidRPr="001542BD">
        <w:rPr>
          <w:rFonts w:ascii="Calibri" w:cs="Calibri"/>
        </w:rPr>
        <w:t xml:space="preserve">Philip Jones, ‘Divine and Non-Divine Kingship’, in </w:t>
      </w:r>
      <w:r w:rsidRPr="001542BD">
        <w:rPr>
          <w:rFonts w:ascii="Calibri" w:cs="Calibri"/>
          <w:i/>
          <w:iCs/>
        </w:rPr>
        <w:t>A Companion to the Ancient Near East</w:t>
      </w:r>
      <w:r w:rsidRPr="001542BD">
        <w:rPr>
          <w:rFonts w:ascii="Calibri" w:cs="Calibri"/>
        </w:rPr>
        <w:t>, ed. by Daniel C. Snell (Blackwell Pub., 2005), pp. 330–42 (p. 331).</w:t>
      </w:r>
      <w:r>
        <w:fldChar w:fldCharType="end"/>
      </w:r>
    </w:p>
  </w:footnote>
  <w:footnote w:id="31">
    <w:p w14:paraId="4CEA164A" w14:textId="25E481D7"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{"citationID":"dIYz02EI","properties":{"formattedCitation":"Michael Hudson, \\uc0\\u8216{}Reconstructing the Origins of Interest-Bearing Debt and the Logic of Clean Slates\\uc0\\u8217{}, in {\\i{}Debt and Economic Renewal in the Ancient Near East}, ed. by Marc Van de Mieroop and Hudson Michael (CDL Press, 2002), p. 39.","plainCitation":"Michael Hudson, ‘Reconstructing the Origins of Interest-Bearing Debt and the Logic of Clean Slates’, in Debt and Economic Renewal in the Ancient Near East, ed. by Marc Van de Mieroop and Hudson Michael (CDL Press, 2002), p. 39.","noteIndex":31},"citationItems":[{"id":400,"uris":["http://zotero.org/users/local/2JfuX8dL/items/IPLY4ZQ3"],"itemData":{"id":400,"type":"chapter","abstract":"History and analysis of the economic and social development of debt, interest-bearing loans, royal remission of debts, and economic renewal policies.","container-title":"Debt and Economic Renewal in the Ancient Near East","ISBN":"978-1-883053-71-0","language":"en","note":"Google-Books-ID: fdAFfroQCREC","publisher":"CDL Press","source":"Google Books","title":"Reconstructing the Origins of Interest-Bearing Debt and the Logic of Clean Slates","author":[{"family":"Hudson","given":"Michael"}],"editor":[{"family":"Mieroop","given":"Marc Van","dropping-particle":"de"},{"literal":"Hudson Michael"}],"issued":{"date-parts":[["2002"]]}},"locator":"39","label":"page"}],"schema":"https://github.com/citation-style-language/schema/raw/master/csl-citation.json"} </w:instrText>
      </w:r>
      <w:r>
        <w:fldChar w:fldCharType="separate"/>
      </w:r>
      <w:r w:rsidRPr="00801D0D">
        <w:rPr>
          <w:rFonts w:ascii="Calibri" w:cs="Calibri"/>
        </w:rPr>
        <w:t xml:space="preserve">Michael Hudson, ‘Reconstructing the Origins of Interest-Bearing Debt and the Logic of Clean Slates’, in </w:t>
      </w:r>
      <w:r w:rsidRPr="00801D0D">
        <w:rPr>
          <w:rFonts w:ascii="Calibri" w:cs="Calibri"/>
          <w:i/>
          <w:iCs/>
        </w:rPr>
        <w:t>Debt and Economic Renewal in the Ancient Near East</w:t>
      </w:r>
      <w:r w:rsidRPr="00801D0D">
        <w:rPr>
          <w:rFonts w:ascii="Calibri" w:cs="Calibri"/>
        </w:rPr>
        <w:t>, ed. by Marc Van de Mieroop and Hudson Michael (CDL Press, 2002), p. 39.</w:t>
      </w:r>
      <w:r>
        <w:fldChar w:fldCharType="end"/>
      </w:r>
    </w:p>
  </w:footnote>
  <w:footnote w:id="32">
    <w:p w14:paraId="6328564C" w14:textId="55D1D671"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{"citationID":"n1o4FbMQ","properties":{"formattedCitation":"Gebhard J. Selz, \\uc0\\u8216{}The Holy Drum, the Spear, and the Harp. Towards an Understanding of the Problems of Deification in the Third Millennium Mesopotamia\\uc0\\u8217{}, in {\\i{}Sumerian Gods and Their Representations}, ed. by Irving L. Finkel and Markham J. Geller (STYX Publications, 1997), pp. 167\\uc0\\u8211{}213 (p. 169).","plainCitation":"Gebhard J. Selz, ‘The Holy Drum, the Spear, and the Harp. Towards an Understanding of the Problems of Deification in the Third Millennium Mesopotamia’, in Sumerian Gods and Their Representations, ed. by Irving L. Finkel and Markham J. Geller (STYX Publications, 1997), pp. 167–213 (p. 169).","noteIndex":32},"citationItems":[{"id":413,"uris":["http://zotero.org/users/local/2JfuX8dL/items/8FTF9V4V"],"itemData":{"id":413,"type":"chapter","container-title":"Sumerian Gods and Their Representations","ISBN":"978-90-5693-005-9","language":"en","note":"Google-Books-ID: uzIvAAAAYAAJ","page":"167-213","publisher":"STYX Publications","source":"Google Books","title":"The holy Drum, the Spear, and the Harp. Towards an understanding of the problems of deification in the third millennium Mesopotamia","editor":[{"family":"Finkel","given":"Irving L."},{"family":"Geller","given":"Markham J."}],"author":[{"family":"Selz","given":"Gebhard J."}],"issued":{"date-parts":[["1997"]]}},"locator":"169","label":"page"}],"schema":"https://github.com/citation-style-language/schema/raw/master/csl-citation.json"} </w:instrText>
      </w:r>
      <w:r>
        <w:fldChar w:fldCharType="separate"/>
      </w:r>
      <w:proofErr w:type="spellStart"/>
      <w:r w:rsidRPr="00192835">
        <w:rPr>
          <w:rFonts w:ascii="Calibri" w:cs="Calibri"/>
        </w:rPr>
        <w:t>Gebhard</w:t>
      </w:r>
      <w:proofErr w:type="spellEnd"/>
      <w:r w:rsidRPr="00192835">
        <w:rPr>
          <w:rFonts w:ascii="Calibri" w:cs="Calibri"/>
        </w:rPr>
        <w:t xml:space="preserve"> J. </w:t>
      </w:r>
      <w:proofErr w:type="spellStart"/>
      <w:r w:rsidRPr="00192835">
        <w:rPr>
          <w:rFonts w:ascii="Calibri" w:cs="Calibri"/>
        </w:rPr>
        <w:t>Selz</w:t>
      </w:r>
      <w:proofErr w:type="spellEnd"/>
      <w:r w:rsidRPr="00192835">
        <w:rPr>
          <w:rFonts w:ascii="Calibri" w:cs="Calibri"/>
        </w:rPr>
        <w:t xml:space="preserve">, ‘The Holy Drum, the Spear, and the Harp. Towards an Understanding of the Problems of Deification in the Third Millennium Mesopotamia’, in </w:t>
      </w:r>
      <w:r w:rsidRPr="00192835">
        <w:rPr>
          <w:rFonts w:ascii="Calibri" w:cs="Calibri"/>
          <w:i/>
          <w:iCs/>
        </w:rPr>
        <w:t>Sumerian Gods and Their Representations</w:t>
      </w:r>
      <w:r w:rsidRPr="00192835">
        <w:rPr>
          <w:rFonts w:ascii="Calibri" w:cs="Calibri"/>
        </w:rPr>
        <w:t>, ed. by Irving L. Finkel and Markham J. Geller (STYX Publications, 1997), pp. 167–213 (p. 169).</w:t>
      </w:r>
      <w:r>
        <w:fldChar w:fldCharType="end"/>
      </w:r>
    </w:p>
  </w:footnote>
  <w:footnote w:id="33">
    <w:p w14:paraId="37A5C0FE" w14:textId="14EF21CF"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{"citationID":"YUW5W1i6","properties":{"formattedCitation":"Philip Jones, p. 333.","plainCitation":"Philip Jones, p. 333.","noteIndex":33},"citationItems":[{"id":401,"uris":["http://zotero.org/users/local/2JfuX8dL/items/WKWTPNSG"],"itemData":{"id":401,"type":"chapter","abstract":"A Companion to the Ancient Near East offers students and general readers a comprehensive overview of Near Eastern civilization from the Bronze Age to the conquests of Alexander the Great. Written by leading experts, the book examines all the major civilizations of the region, including the Sumerians, Hittites, Babylonians, Assyrians, Israelites, and Persians. The Companion provides a survey of both the history of the Ancient Near East and the sources for studying the period. It places special emphasis on social and cultural history and also covers the legacy of the Ancient Near East in the med.","container-title":"A Companion to the Ancient Near East","ISBN":"978-1-78268-573-9","language":"en","note":"Google-Books-ID: CrNRnQAACAAJ","page":"330-342","publisher":"Blackwell Pub.","source":"Google Books","title":"Divine and Non-Divine Kingship","editor":[{"family":"Snell","given":"Daniel C."}],"author":[{"literal":"Philip Jones"}],"issued":{"date-parts":[["2005"]]}},"locator":"333","label":"page"}],"schema":"https://github.com/citation-style-language/schema/raw/master/csl-citation.json"} </w:instrText>
      </w:r>
      <w:r>
        <w:fldChar w:fldCharType="separate"/>
      </w:r>
      <w:r>
        <w:rPr>
          <w:noProof/>
        </w:rPr>
        <w:t>Philip Jones, p. 333.</w:t>
      </w:r>
      <w:r>
        <w:fldChar w:fldCharType="end"/>
      </w:r>
    </w:p>
  </w:footnote>
  <w:footnote w:id="34">
    <w:p w14:paraId="29C0C13D" w14:textId="773E4683"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{"citationID":"EgKEsLt8","properties":{"formattedCitation":"Francesca Rochberg, {\\i{}The Heavenly Writing: Divination, Horoscopy, and Astronomy in Mesopotamian Culture} (Cambridge University Press, 2004), p. 172.","plainCitation":"Francesca Rochberg, The Heavenly Writing: Divination, Horoscopy, and Astronomy in Mesopotamian Culture (Cambridge University Press, 2004), p. 172.","noteIndex":34},"citationItems":[{"id":414,"uris":["http://zotero.org/users/local/2JfuX8dL/items/GUYSZ95Y"],"itemData":{"id":414,"type":"book","abstract":"In antiquity, the expertise of the Babylonians in matters of the heavens was legendary and the roots of both western astronomy and astrology are traceable in cuneiform tablets going back to the second and first millennia BC. The Heavenly Writing, first publsiehd in 2004, discusses the place of Babylonian celestial divination, horoscopy, and astronomy in Mesopotamian intellectual culture. Focusing chiefly on celestial divination and horoscopes, it traces the emergence of personal astrology from the tradition of celestial divination and the use of astronomical methods in horoscopes. It further takes up the historiographical and philosophical issue of the nature of these Mesopotamian 'celestial sciences' by examining elements traditionally of concern to the philosophy of science, without sacrificing the ancient methods, goals, and interests to a modern image of science. This book will be of particular interest to those concerned with the early history of science.","ISBN":"978-1-139-45585-5","language":"en","note":"Google-Books-ID: TjiVXdSMRu4C","number-of-pages":"368","publisher":"Cambridge University Press","source":"Google Books","title":"The Heavenly Writing: Divination, Horoscopy, and Astronomy in Mesopotamian Culture","title-short":"The Heavenly Writing","author":[{"family":"Rochberg","given":"Francesca"}],"issued":{"date-parts":[["2004",9,27]]}},"locator":"172","label":"page"}],"schema":"https://github.com/citation-style-language/schema/raw/master/csl-citation.json"} </w:instrText>
      </w:r>
      <w:r>
        <w:fldChar w:fldCharType="separate"/>
      </w:r>
      <w:r w:rsidRPr="00512FCD">
        <w:rPr>
          <w:rFonts w:ascii="Calibri" w:cs="Calibri"/>
        </w:rPr>
        <w:t xml:space="preserve">Francesca Rochberg, </w:t>
      </w:r>
      <w:r w:rsidRPr="00512FCD">
        <w:rPr>
          <w:rFonts w:ascii="Calibri" w:cs="Calibri"/>
          <w:i/>
          <w:iCs/>
        </w:rPr>
        <w:t>The Heavenly Writing: Divination, Horoscopy, and Astronomy in Mesopotamian Culture</w:t>
      </w:r>
      <w:r w:rsidRPr="00512FCD">
        <w:rPr>
          <w:rFonts w:ascii="Calibri" w:cs="Calibri"/>
        </w:rPr>
        <w:t xml:space="preserve"> (Cambridge University Press, 2004), p. 172.</w:t>
      </w:r>
      <w:r>
        <w:fldChar w:fldCharType="end"/>
      </w:r>
    </w:p>
  </w:footnote>
  <w:footnote w:id="35">
    <w:p w14:paraId="615283F1" w14:textId="5C8CBD45"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{"citationID":"G1UGs62L","properties":{"formattedCitation":"C. Claiborne Ray, \\uc0\\u8216{}Planets Spinning the \\uc0\\u8220{}Wrong\\uc0\\u8221{} Way\\uc0\\u8217{}, {\\i{}The New York Times}, 17 October 2016, section Science &lt;https://www.nytimes.com/2016/10/18/science/planets-spinning-the-wrong-way.html&gt; [accessed 23 April 2023].","plainCitation":"C. Claiborne Ray, ‘Planets Spinning the “Wrong” Way’, The New York Times, 17 October 2016, section Science &lt;https://www.nytimes.com/2016/10/18/science/planets-spinning-the-wrong-way.html&gt; [accessed 23 April 2023].","noteIndex":35},"citationItems":[{"id":416,"uris":["http://zotero.org/users/local/2JfuX8dL/items/LXJUACN5"],"itemData":{"id":416,"type":"article-newspaper","abstract":"There are theories, but no certainty, for why Venus rotates clockwise. In the solar system, only Venus and Uranus do so.","container-title":"The New York Times","ISSN":"0362-4331","language":"en-US","section":"Science","source":"NYTimes.com","title":"Planets Spinning the ‘Wrong’ Way","URL":"https://www.nytimes.com/2016/10/18/science/planets-spinning-the-wrong-way.html","author":[{"family":"Ray","given":"C. Claiborne"}],"accessed":{"date-parts":[["2023",4,23]]},"issued":{"date-parts":[["2016",10,17]]}}}],"schema":"https://github.com/citation-style-language/schema/raw/master/csl-citation.json"} </w:instrText>
      </w:r>
      <w:r>
        <w:fldChar w:fldCharType="separate"/>
      </w:r>
      <w:r w:rsidRPr="00B772D2">
        <w:rPr>
          <w:rFonts w:ascii="Calibri" w:cs="Calibri"/>
        </w:rPr>
        <w:t xml:space="preserve">C. Claiborne Ray, ‘Planets Spinning the “Wrong” Way’, </w:t>
      </w:r>
      <w:r w:rsidRPr="00B772D2">
        <w:rPr>
          <w:rFonts w:ascii="Calibri" w:cs="Calibri"/>
          <w:i/>
          <w:iCs/>
        </w:rPr>
        <w:t>The New York Times</w:t>
      </w:r>
      <w:r w:rsidRPr="00B772D2">
        <w:rPr>
          <w:rFonts w:ascii="Calibri" w:cs="Calibri"/>
        </w:rPr>
        <w:t>, 17 October 2016, section Science &lt;https://www.nytimes.com/2016/10/18/science/planets-spinning-the-wrong-way.html&gt; [accessed 23 April 2023].</w:t>
      </w:r>
      <w:r>
        <w:fldChar w:fldCharType="end"/>
      </w:r>
    </w:p>
  </w:footnote>
  <w:footnote w:id="36">
    <w:p w14:paraId="69660D28" w14:textId="75D80165" w:rsidR="00556AFA" w:rsidRDefault="00556AFA" w:rsidP="00C46CE8">
      <w:pPr>
        <w:pStyle w:val="FootnoteText"/>
      </w:pPr>
      <w:r>
        <w:rPr>
          <w:rStyle w:val="FootnoteReference"/>
        </w:rPr>
        <w:footnoteRef/>
      </w:r>
      <w:r>
        <w:t xml:space="preserve"> </w:t>
      </w:r>
      <w:r>
        <w:fldChar w:fldCharType="begin"/>
      </w:r>
      <w:r>
        <w:instrText xml:space="preserve"> ADDIN ZOTERO_ITEM CSL_CITATION {"citationID":"Snkt2tpY","properties":{"formattedCitation":"Franchesca Rochberg, p. 326.","plainCitation":"Franchesca Rochberg, p. 326.","noteIndex":36},"citationItems":[{"id":386,"uris":["http://zotero.org/users/local/2JfuX8dL/items/7F8G2GWT"],"itemData":{"id":386,"type":"chapter","abstract":"A Companion to the Ancient Near East offers students and general readers a comprehensive overview of Near Eastern civilization from the Bronze Age to the conquests of Alexander the Great. Written by leading experts, the book examines all the major civilizations of the region, including the Sumerians, Hittites, Babylonians, Assyrians, Israelites, and Persians. The Companion provides a survey of both the history of the Ancient Near East and the sources for studying the period. It places special emphasis on social and cultural history and also covers the legacy of the Ancient Near East in the med.","container-title":"A Companion to the Ancient Near East","ISBN":"978-1-78268-573-9","language":"en","note":"Google-Books-ID: CrNRnQAACAAJ","page":"315-329","publisher":"Blackwell Pub.","source":"Google Books","title":"Mesopotamian Cosmology","editor":[{"family":"Snell","given":"Daniel C."}],"author":[{"literal":"Franchesca Rochberg"}],"issued":{"date-parts":[["2005"]]}},"locator":"326","label":"page"}],"schema":"https://github.com/citation-style-language/schema/raw/master/csl-citation.json"} </w:instrText>
      </w:r>
      <w:r>
        <w:fldChar w:fldCharType="separate"/>
      </w:r>
      <w:proofErr w:type="spellStart"/>
      <w:r>
        <w:rPr>
          <w:rFonts w:ascii="Calibri" w:cs="Calibri"/>
        </w:rPr>
        <w:t>Franchesca</w:t>
      </w:r>
      <w:proofErr w:type="spellEnd"/>
      <w:r>
        <w:rPr>
          <w:rFonts w:ascii="Calibri" w:cs="Calibri"/>
        </w:rPr>
        <w:t xml:space="preserve"> Rochberg, p. 326.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EE55661"/>
    <w:multiLevelType w:val="hybridMultilevel"/>
    <w:tmpl w:val="4010F6CC"/>
    <w:lvl w:ilvl="0" w:tplc="0809000F">
      <w:start w:val="1"/>
      <w:numFmt w:val="decimal"/>
      <w:lvlText w:val="%1."/>
      <w:lvlJc w:val="left"/>
      <w:pPr>
        <w:ind w:left="1491" w:hanging="360"/>
      </w:pPr>
    </w:lvl>
    <w:lvl w:ilvl="1" w:tplc="08090019" w:tentative="1">
      <w:start w:val="1"/>
      <w:numFmt w:val="lowerLetter"/>
      <w:lvlText w:val="%2."/>
      <w:lvlJc w:val="left"/>
      <w:pPr>
        <w:ind w:left="2211" w:hanging="360"/>
      </w:pPr>
    </w:lvl>
    <w:lvl w:ilvl="2" w:tplc="0809001B" w:tentative="1">
      <w:start w:val="1"/>
      <w:numFmt w:val="lowerRoman"/>
      <w:lvlText w:val="%3."/>
      <w:lvlJc w:val="right"/>
      <w:pPr>
        <w:ind w:left="2931" w:hanging="180"/>
      </w:pPr>
    </w:lvl>
    <w:lvl w:ilvl="3" w:tplc="0809000F" w:tentative="1">
      <w:start w:val="1"/>
      <w:numFmt w:val="decimal"/>
      <w:lvlText w:val="%4."/>
      <w:lvlJc w:val="left"/>
      <w:pPr>
        <w:ind w:left="3651" w:hanging="360"/>
      </w:pPr>
    </w:lvl>
    <w:lvl w:ilvl="4" w:tplc="08090019" w:tentative="1">
      <w:start w:val="1"/>
      <w:numFmt w:val="lowerLetter"/>
      <w:lvlText w:val="%5."/>
      <w:lvlJc w:val="left"/>
      <w:pPr>
        <w:ind w:left="4371" w:hanging="360"/>
      </w:pPr>
    </w:lvl>
    <w:lvl w:ilvl="5" w:tplc="0809001B" w:tentative="1">
      <w:start w:val="1"/>
      <w:numFmt w:val="lowerRoman"/>
      <w:lvlText w:val="%6."/>
      <w:lvlJc w:val="right"/>
      <w:pPr>
        <w:ind w:left="5091" w:hanging="180"/>
      </w:pPr>
    </w:lvl>
    <w:lvl w:ilvl="6" w:tplc="0809000F" w:tentative="1">
      <w:start w:val="1"/>
      <w:numFmt w:val="decimal"/>
      <w:lvlText w:val="%7."/>
      <w:lvlJc w:val="left"/>
      <w:pPr>
        <w:ind w:left="5811" w:hanging="360"/>
      </w:pPr>
    </w:lvl>
    <w:lvl w:ilvl="7" w:tplc="08090019" w:tentative="1">
      <w:start w:val="1"/>
      <w:numFmt w:val="lowerLetter"/>
      <w:lvlText w:val="%8."/>
      <w:lvlJc w:val="left"/>
      <w:pPr>
        <w:ind w:left="6531" w:hanging="360"/>
      </w:pPr>
    </w:lvl>
    <w:lvl w:ilvl="8" w:tplc="0809001B" w:tentative="1">
      <w:start w:val="1"/>
      <w:numFmt w:val="lowerRoman"/>
      <w:lvlText w:val="%9."/>
      <w:lvlJc w:val="right"/>
      <w:pPr>
        <w:ind w:left="7251" w:hanging="180"/>
      </w:pPr>
    </w:lvl>
  </w:abstractNum>
  <w:abstractNum w:abstractNumId="11" w15:restartNumberingAfterBreak="0">
    <w:nsid w:val="3E6F7B9E"/>
    <w:multiLevelType w:val="hybridMultilevel"/>
    <w:tmpl w:val="6A3882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5DE42CE"/>
    <w:multiLevelType w:val="hybridMultilevel"/>
    <w:tmpl w:val="125841A2"/>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2"/>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70"/>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A76"/>
    <w:rsid w:val="0002322C"/>
    <w:rsid w:val="00034064"/>
    <w:rsid w:val="00050D74"/>
    <w:rsid w:val="0005207B"/>
    <w:rsid w:val="00066E4C"/>
    <w:rsid w:val="00071A96"/>
    <w:rsid w:val="00074D37"/>
    <w:rsid w:val="00076BE1"/>
    <w:rsid w:val="00081C63"/>
    <w:rsid w:val="00082AA7"/>
    <w:rsid w:val="000841F3"/>
    <w:rsid w:val="00087AB0"/>
    <w:rsid w:val="000C6F28"/>
    <w:rsid w:val="000C7D91"/>
    <w:rsid w:val="000D0229"/>
    <w:rsid w:val="000D2289"/>
    <w:rsid w:val="000E1A6A"/>
    <w:rsid w:val="000E6DA7"/>
    <w:rsid w:val="000E7ACC"/>
    <w:rsid w:val="000F03FA"/>
    <w:rsid w:val="000F1A76"/>
    <w:rsid w:val="00101013"/>
    <w:rsid w:val="00102704"/>
    <w:rsid w:val="00105E64"/>
    <w:rsid w:val="001542BD"/>
    <w:rsid w:val="00163C03"/>
    <w:rsid w:val="001716D2"/>
    <w:rsid w:val="00176FDA"/>
    <w:rsid w:val="0018203D"/>
    <w:rsid w:val="00184F00"/>
    <w:rsid w:val="00187578"/>
    <w:rsid w:val="00190F0E"/>
    <w:rsid w:val="00192835"/>
    <w:rsid w:val="001936D3"/>
    <w:rsid w:val="00195C83"/>
    <w:rsid w:val="0019650D"/>
    <w:rsid w:val="001B3BF2"/>
    <w:rsid w:val="001B56DD"/>
    <w:rsid w:val="001C6D25"/>
    <w:rsid w:val="001D180B"/>
    <w:rsid w:val="001D7675"/>
    <w:rsid w:val="001F078C"/>
    <w:rsid w:val="001F1F9F"/>
    <w:rsid w:val="001F7D3D"/>
    <w:rsid w:val="00206929"/>
    <w:rsid w:val="00220E9B"/>
    <w:rsid w:val="00232F40"/>
    <w:rsid w:val="00243857"/>
    <w:rsid w:val="00260F2B"/>
    <w:rsid w:val="00261E88"/>
    <w:rsid w:val="00262F80"/>
    <w:rsid w:val="002726B2"/>
    <w:rsid w:val="00282C0C"/>
    <w:rsid w:val="00297375"/>
    <w:rsid w:val="0029787C"/>
    <w:rsid w:val="002A1DF2"/>
    <w:rsid w:val="002A30CE"/>
    <w:rsid w:val="002A58AC"/>
    <w:rsid w:val="002B126B"/>
    <w:rsid w:val="002B2BE8"/>
    <w:rsid w:val="002B3B36"/>
    <w:rsid w:val="002C3668"/>
    <w:rsid w:val="002D1E77"/>
    <w:rsid w:val="002D7350"/>
    <w:rsid w:val="002E526D"/>
    <w:rsid w:val="00302BD2"/>
    <w:rsid w:val="0031077A"/>
    <w:rsid w:val="003206D7"/>
    <w:rsid w:val="003207F7"/>
    <w:rsid w:val="003256EE"/>
    <w:rsid w:val="00330BC6"/>
    <w:rsid w:val="00330F5A"/>
    <w:rsid w:val="00337372"/>
    <w:rsid w:val="00340C83"/>
    <w:rsid w:val="003434C0"/>
    <w:rsid w:val="00343824"/>
    <w:rsid w:val="00347F1A"/>
    <w:rsid w:val="00350158"/>
    <w:rsid w:val="00351549"/>
    <w:rsid w:val="00352D80"/>
    <w:rsid w:val="00360068"/>
    <w:rsid w:val="00360DDD"/>
    <w:rsid w:val="0036431A"/>
    <w:rsid w:val="0037274A"/>
    <w:rsid w:val="003740D7"/>
    <w:rsid w:val="00380E4F"/>
    <w:rsid w:val="003877C1"/>
    <w:rsid w:val="00393E84"/>
    <w:rsid w:val="0039583E"/>
    <w:rsid w:val="00395D3F"/>
    <w:rsid w:val="003978C1"/>
    <w:rsid w:val="003A2519"/>
    <w:rsid w:val="003A2794"/>
    <w:rsid w:val="003A7D2D"/>
    <w:rsid w:val="003B0D3D"/>
    <w:rsid w:val="003B272D"/>
    <w:rsid w:val="003B522B"/>
    <w:rsid w:val="003C5B35"/>
    <w:rsid w:val="003D7C59"/>
    <w:rsid w:val="003E01D9"/>
    <w:rsid w:val="003F0C45"/>
    <w:rsid w:val="003F580D"/>
    <w:rsid w:val="003F7538"/>
    <w:rsid w:val="0040540B"/>
    <w:rsid w:val="0041195D"/>
    <w:rsid w:val="00412271"/>
    <w:rsid w:val="00421A30"/>
    <w:rsid w:val="00422DB4"/>
    <w:rsid w:val="004272BC"/>
    <w:rsid w:val="0043232D"/>
    <w:rsid w:val="00434F1D"/>
    <w:rsid w:val="004843EA"/>
    <w:rsid w:val="00494694"/>
    <w:rsid w:val="00496224"/>
    <w:rsid w:val="004A7CA1"/>
    <w:rsid w:val="004C043C"/>
    <w:rsid w:val="004C178F"/>
    <w:rsid w:val="004C1857"/>
    <w:rsid w:val="004C6F45"/>
    <w:rsid w:val="004D42D0"/>
    <w:rsid w:val="004E16BC"/>
    <w:rsid w:val="0050178F"/>
    <w:rsid w:val="00512FCD"/>
    <w:rsid w:val="00517891"/>
    <w:rsid w:val="00520A38"/>
    <w:rsid w:val="00521140"/>
    <w:rsid w:val="005227D0"/>
    <w:rsid w:val="00534B40"/>
    <w:rsid w:val="005354F7"/>
    <w:rsid w:val="00544B5F"/>
    <w:rsid w:val="0055203B"/>
    <w:rsid w:val="00556AFA"/>
    <w:rsid w:val="00564BBD"/>
    <w:rsid w:val="00591ADD"/>
    <w:rsid w:val="005A3B2D"/>
    <w:rsid w:val="005A7C81"/>
    <w:rsid w:val="005B1B0C"/>
    <w:rsid w:val="005C371A"/>
    <w:rsid w:val="005C5186"/>
    <w:rsid w:val="005D22AD"/>
    <w:rsid w:val="005D5A0E"/>
    <w:rsid w:val="005E02BC"/>
    <w:rsid w:val="005E4C2E"/>
    <w:rsid w:val="005E763D"/>
    <w:rsid w:val="006002FB"/>
    <w:rsid w:val="00601149"/>
    <w:rsid w:val="00612121"/>
    <w:rsid w:val="00622FDD"/>
    <w:rsid w:val="00624D3B"/>
    <w:rsid w:val="00624E12"/>
    <w:rsid w:val="0063106A"/>
    <w:rsid w:val="0064022B"/>
    <w:rsid w:val="006462FE"/>
    <w:rsid w:val="00654F10"/>
    <w:rsid w:val="00660203"/>
    <w:rsid w:val="00661065"/>
    <w:rsid w:val="0066435C"/>
    <w:rsid w:val="00670960"/>
    <w:rsid w:val="006741C1"/>
    <w:rsid w:val="00674D65"/>
    <w:rsid w:val="0069018B"/>
    <w:rsid w:val="0069336B"/>
    <w:rsid w:val="006A47BC"/>
    <w:rsid w:val="006A4C58"/>
    <w:rsid w:val="006C0549"/>
    <w:rsid w:val="006C4FAE"/>
    <w:rsid w:val="006C76DA"/>
    <w:rsid w:val="006D7094"/>
    <w:rsid w:val="007011F4"/>
    <w:rsid w:val="007128B0"/>
    <w:rsid w:val="00713FF8"/>
    <w:rsid w:val="00720C54"/>
    <w:rsid w:val="0074036B"/>
    <w:rsid w:val="00752E82"/>
    <w:rsid w:val="00754620"/>
    <w:rsid w:val="0076471A"/>
    <w:rsid w:val="00772D1E"/>
    <w:rsid w:val="00773366"/>
    <w:rsid w:val="00792B48"/>
    <w:rsid w:val="007A1166"/>
    <w:rsid w:val="007A11E1"/>
    <w:rsid w:val="007B5A8A"/>
    <w:rsid w:val="007C06F9"/>
    <w:rsid w:val="007C370A"/>
    <w:rsid w:val="007D3C72"/>
    <w:rsid w:val="00801D0D"/>
    <w:rsid w:val="00804043"/>
    <w:rsid w:val="00823016"/>
    <w:rsid w:val="008258B6"/>
    <w:rsid w:val="00833FBB"/>
    <w:rsid w:val="00835514"/>
    <w:rsid w:val="00851347"/>
    <w:rsid w:val="00857D54"/>
    <w:rsid w:val="008637E3"/>
    <w:rsid w:val="008655C6"/>
    <w:rsid w:val="00866F7C"/>
    <w:rsid w:val="008739ED"/>
    <w:rsid w:val="008777A9"/>
    <w:rsid w:val="008823AC"/>
    <w:rsid w:val="00885D6B"/>
    <w:rsid w:val="00895B3E"/>
    <w:rsid w:val="008A5E8B"/>
    <w:rsid w:val="008B0B1E"/>
    <w:rsid w:val="008B2DA6"/>
    <w:rsid w:val="008C1C4C"/>
    <w:rsid w:val="008C1E00"/>
    <w:rsid w:val="008D4E74"/>
    <w:rsid w:val="008D6F94"/>
    <w:rsid w:val="008E2D34"/>
    <w:rsid w:val="008F6BCE"/>
    <w:rsid w:val="008F7CC7"/>
    <w:rsid w:val="0090653A"/>
    <w:rsid w:val="00934349"/>
    <w:rsid w:val="0094405F"/>
    <w:rsid w:val="009516AC"/>
    <w:rsid w:val="00951BE4"/>
    <w:rsid w:val="00955B36"/>
    <w:rsid w:val="00987A94"/>
    <w:rsid w:val="00990E4D"/>
    <w:rsid w:val="00996ECE"/>
    <w:rsid w:val="009B082E"/>
    <w:rsid w:val="009B57CC"/>
    <w:rsid w:val="009D15CD"/>
    <w:rsid w:val="009D276F"/>
    <w:rsid w:val="009D2BE3"/>
    <w:rsid w:val="009D6272"/>
    <w:rsid w:val="009F2007"/>
    <w:rsid w:val="00A04D3E"/>
    <w:rsid w:val="00A220DB"/>
    <w:rsid w:val="00A35C05"/>
    <w:rsid w:val="00A4080E"/>
    <w:rsid w:val="00A44A7E"/>
    <w:rsid w:val="00A55030"/>
    <w:rsid w:val="00A56DBD"/>
    <w:rsid w:val="00A57B50"/>
    <w:rsid w:val="00A73898"/>
    <w:rsid w:val="00A73EC6"/>
    <w:rsid w:val="00A775F6"/>
    <w:rsid w:val="00A80BC1"/>
    <w:rsid w:val="00A8125B"/>
    <w:rsid w:val="00A86931"/>
    <w:rsid w:val="00A902AD"/>
    <w:rsid w:val="00A952D9"/>
    <w:rsid w:val="00AA0C73"/>
    <w:rsid w:val="00AC2206"/>
    <w:rsid w:val="00AC560E"/>
    <w:rsid w:val="00AC60D3"/>
    <w:rsid w:val="00AD2985"/>
    <w:rsid w:val="00AD4A4B"/>
    <w:rsid w:val="00AF68E3"/>
    <w:rsid w:val="00AF693A"/>
    <w:rsid w:val="00B0188A"/>
    <w:rsid w:val="00B040C2"/>
    <w:rsid w:val="00B04A32"/>
    <w:rsid w:val="00B10D8F"/>
    <w:rsid w:val="00B12B08"/>
    <w:rsid w:val="00B171AE"/>
    <w:rsid w:val="00B205AE"/>
    <w:rsid w:val="00B40E9A"/>
    <w:rsid w:val="00B63CAB"/>
    <w:rsid w:val="00B772D2"/>
    <w:rsid w:val="00B837B0"/>
    <w:rsid w:val="00B84583"/>
    <w:rsid w:val="00B86D32"/>
    <w:rsid w:val="00B877C6"/>
    <w:rsid w:val="00B93831"/>
    <w:rsid w:val="00B945E6"/>
    <w:rsid w:val="00BB29DC"/>
    <w:rsid w:val="00BC79C3"/>
    <w:rsid w:val="00BD0540"/>
    <w:rsid w:val="00BD16F4"/>
    <w:rsid w:val="00BD6164"/>
    <w:rsid w:val="00BF305F"/>
    <w:rsid w:val="00BF73FB"/>
    <w:rsid w:val="00C23ADF"/>
    <w:rsid w:val="00C24ABC"/>
    <w:rsid w:val="00C31A03"/>
    <w:rsid w:val="00C35654"/>
    <w:rsid w:val="00C43155"/>
    <w:rsid w:val="00C46074"/>
    <w:rsid w:val="00C46CE8"/>
    <w:rsid w:val="00C47962"/>
    <w:rsid w:val="00C56719"/>
    <w:rsid w:val="00C60CCE"/>
    <w:rsid w:val="00C865C8"/>
    <w:rsid w:val="00CB78C5"/>
    <w:rsid w:val="00CB7945"/>
    <w:rsid w:val="00CC00F4"/>
    <w:rsid w:val="00CD00AA"/>
    <w:rsid w:val="00CD2917"/>
    <w:rsid w:val="00CE1E72"/>
    <w:rsid w:val="00CF13B8"/>
    <w:rsid w:val="00D061F5"/>
    <w:rsid w:val="00D20DC5"/>
    <w:rsid w:val="00D24BB6"/>
    <w:rsid w:val="00D30DCC"/>
    <w:rsid w:val="00D340D4"/>
    <w:rsid w:val="00D575AD"/>
    <w:rsid w:val="00D604CC"/>
    <w:rsid w:val="00D618DF"/>
    <w:rsid w:val="00D62055"/>
    <w:rsid w:val="00D63B33"/>
    <w:rsid w:val="00D66028"/>
    <w:rsid w:val="00D67A09"/>
    <w:rsid w:val="00D809B0"/>
    <w:rsid w:val="00D83E18"/>
    <w:rsid w:val="00D84527"/>
    <w:rsid w:val="00D871AA"/>
    <w:rsid w:val="00D872E5"/>
    <w:rsid w:val="00DA143B"/>
    <w:rsid w:val="00DC06EF"/>
    <w:rsid w:val="00DC40F2"/>
    <w:rsid w:val="00DD417F"/>
    <w:rsid w:val="00DD77AD"/>
    <w:rsid w:val="00DE1FC8"/>
    <w:rsid w:val="00DE30C2"/>
    <w:rsid w:val="00DE4AD2"/>
    <w:rsid w:val="00DF20F6"/>
    <w:rsid w:val="00DF2FBD"/>
    <w:rsid w:val="00E0499E"/>
    <w:rsid w:val="00E1510D"/>
    <w:rsid w:val="00E36BDC"/>
    <w:rsid w:val="00E451DC"/>
    <w:rsid w:val="00E56ACA"/>
    <w:rsid w:val="00E57CCB"/>
    <w:rsid w:val="00E57DED"/>
    <w:rsid w:val="00E63C30"/>
    <w:rsid w:val="00E65230"/>
    <w:rsid w:val="00E8003E"/>
    <w:rsid w:val="00E859DE"/>
    <w:rsid w:val="00E86F8F"/>
    <w:rsid w:val="00E921D7"/>
    <w:rsid w:val="00E92A69"/>
    <w:rsid w:val="00E96972"/>
    <w:rsid w:val="00EA6EF4"/>
    <w:rsid w:val="00EB2916"/>
    <w:rsid w:val="00EB30A8"/>
    <w:rsid w:val="00EB3A2E"/>
    <w:rsid w:val="00EB436A"/>
    <w:rsid w:val="00EC2035"/>
    <w:rsid w:val="00EC7D7F"/>
    <w:rsid w:val="00ED501A"/>
    <w:rsid w:val="00ED6E8D"/>
    <w:rsid w:val="00EE330E"/>
    <w:rsid w:val="00EE3F77"/>
    <w:rsid w:val="00EF5BCB"/>
    <w:rsid w:val="00F016B9"/>
    <w:rsid w:val="00F021A5"/>
    <w:rsid w:val="00F03796"/>
    <w:rsid w:val="00F0649E"/>
    <w:rsid w:val="00F508E0"/>
    <w:rsid w:val="00F50EDC"/>
    <w:rsid w:val="00F52315"/>
    <w:rsid w:val="00F5629D"/>
    <w:rsid w:val="00F60D28"/>
    <w:rsid w:val="00F73550"/>
    <w:rsid w:val="00F7470A"/>
    <w:rsid w:val="00F83AFD"/>
    <w:rsid w:val="00F86C5C"/>
    <w:rsid w:val="00F93352"/>
    <w:rsid w:val="00F96D11"/>
    <w:rsid w:val="00FA3AC9"/>
    <w:rsid w:val="00FA7D3A"/>
    <w:rsid w:val="00FB0F22"/>
    <w:rsid w:val="00FB1398"/>
    <w:rsid w:val="00FB2C21"/>
    <w:rsid w:val="00FB7E77"/>
    <w:rsid w:val="00FC2674"/>
    <w:rsid w:val="00FC33F4"/>
    <w:rsid w:val="00FD2764"/>
    <w:rsid w:val="00FD488A"/>
    <w:rsid w:val="00FD49CF"/>
    <w:rsid w:val="00FD617F"/>
    <w:rsid w:val="00FD6ADE"/>
    <w:rsid w:val="00FE1F4A"/>
    <w:rsid w:val="00FE382E"/>
    <w:rsid w:val="00FF27F8"/>
    <w:rsid w:val="00FF7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FD64C5E"/>
  <w15:chartTrackingRefBased/>
  <w15:docId w15:val="{5F47B198-6E1B-8E44-A5D5-9C473DB3D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055"/>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4E1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rFonts w:ascii="Times New Roman" w:hAnsi="Times New Roman"/>
      <w:sz w:val="22"/>
    </w:rPr>
  </w:style>
  <w:style w:type="paragraph" w:customStyle="1" w:styleId="Body">
    <w:name w:val="_Body"/>
    <w:basedOn w:val="Normal0"/>
    <w:autoRedefine/>
    <w:qFormat/>
    <w:rsid w:val="00071A96"/>
    <w:pPr>
      <w:ind w:firstLine="720"/>
    </w:pPr>
  </w:style>
  <w:style w:type="paragraph" w:customStyle="1" w:styleId="BodyNoIndent">
    <w:name w:val="_Body_No_Indent"/>
    <w:basedOn w:val="Body"/>
    <w:next w:val="Body"/>
    <w:autoRedefine/>
    <w:qFormat/>
    <w:rsid w:val="00E451DC"/>
    <w:pPr>
      <w:ind w:firstLine="0"/>
    </w:pPr>
  </w:style>
  <w:style w:type="paragraph" w:customStyle="1" w:styleId="Subhead">
    <w:name w:val="_Subhead"/>
    <w:basedOn w:val="Normal0"/>
    <w:next w:val="BodyNoIndent"/>
    <w:autoRedefine/>
    <w:qFormat/>
    <w:rsid w:val="00F60D28"/>
    <w:pPr>
      <w:keepNext/>
      <w:spacing w:before="240"/>
    </w:pPr>
    <w:rPr>
      <w:rFonts w:eastAsia="Times New Roman" w:cs="Times New Roman (Body CS)"/>
      <w:color w:val="000000" w:themeColor="text1"/>
      <w:sz w:val="24"/>
    </w:rPr>
  </w:style>
  <w:style w:type="paragraph" w:customStyle="1" w:styleId="Ideas">
    <w:name w:val="_Ideas"/>
    <w:basedOn w:val="BodyNoIndent"/>
    <w:autoRedefine/>
    <w:qFormat/>
    <w:rsid w:val="00F03796"/>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612121"/>
    <w:pPr>
      <w:spacing w:before="120" w:after="120"/>
      <w:ind w:left="737" w:firstLine="0"/>
      <w:contextualSpacing/>
    </w:pPr>
    <w:rPr>
      <w:color w:val="000000" w:themeColor="text1" w:themeShade="BF"/>
    </w:rPr>
  </w:style>
  <w:style w:type="paragraph" w:customStyle="1" w:styleId="ToRemove">
    <w:name w:val="_To_Remove"/>
    <w:basedOn w:val="Body"/>
    <w:next w:val="Body"/>
    <w:autoRedefine/>
    <w:qFormat/>
    <w:rsid w:val="005C5186"/>
    <w:pPr>
      <w:spacing w:before="120" w:after="120"/>
    </w:pPr>
    <w:rPr>
      <w:color w:val="FFFF00"/>
    </w:rPr>
  </w:style>
  <w:style w:type="character" w:customStyle="1" w:styleId="Superscript">
    <w:name w:val="_Superscript"/>
    <w:basedOn w:val="DefaultParagraphFont"/>
    <w:uiPriority w:val="1"/>
    <w:qFormat/>
    <w:rsid w:val="00544B5F"/>
    <w:rPr>
      <w:vertAlign w:val="superscript"/>
    </w:rPr>
  </w:style>
  <w:style w:type="paragraph" w:customStyle="1" w:styleId="Reject">
    <w:name w:val="_Reject"/>
    <w:basedOn w:val="Body"/>
    <w:next w:val="Body"/>
    <w:autoRedefine/>
    <w:qFormat/>
    <w:rsid w:val="002726B2"/>
    <w:rPr>
      <w:rFonts w:cs="Times New Roman (Body CS)"/>
      <w:strike/>
      <w:color w:val="C00000"/>
    </w:rPr>
  </w:style>
  <w:style w:type="character" w:customStyle="1" w:styleId="ToRemove0">
    <w:name w:val="_ToRemove"/>
    <w:basedOn w:val="DefaultParagraphFont"/>
    <w:uiPriority w:val="1"/>
    <w:qFormat/>
    <w:rsid w:val="001936D3"/>
    <w:rPr>
      <w:color w:val="833C0B" w:themeColor="accent2" w:themeShade="80"/>
    </w:rPr>
  </w:style>
  <w:style w:type="paragraph" w:customStyle="1" w:styleId="BodyNewMatter">
    <w:name w:val="_Body_New_Matter"/>
    <w:basedOn w:val="BodyNoIndent"/>
    <w:autoRedefine/>
    <w:qFormat/>
    <w:rsid w:val="009B082E"/>
    <w:rPr>
      <w:color w:val="538135" w:themeColor="accent6" w:themeShade="BF"/>
    </w:rPr>
  </w:style>
  <w:style w:type="character" w:customStyle="1" w:styleId="ReConsider">
    <w:name w:val="_ReConsider"/>
    <w:basedOn w:val="ToRemove0"/>
    <w:uiPriority w:val="1"/>
    <w:qFormat/>
    <w:rsid w:val="00AF693A"/>
    <w:rPr>
      <w:color w:val="00B0F0"/>
    </w:rPr>
  </w:style>
  <w:style w:type="paragraph" w:customStyle="1" w:styleId="Proofread">
    <w:name w:val="_Proofread"/>
    <w:basedOn w:val="Body"/>
    <w:next w:val="Body"/>
    <w:autoRedefine/>
    <w:qFormat/>
    <w:rsid w:val="00AF693A"/>
    <w:rPr>
      <w:color w:val="806000" w:themeColor="accent4" w:themeShade="80"/>
    </w:rPr>
  </w:style>
  <w:style w:type="table" w:styleId="TableGrid">
    <w:name w:val="Table Grid"/>
    <w:basedOn w:val="TableNormal"/>
    <w:uiPriority w:val="39"/>
    <w:rsid w:val="009F20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6C4FAE"/>
    <w:rPr>
      <w:sz w:val="20"/>
      <w:szCs w:val="20"/>
    </w:rPr>
  </w:style>
  <w:style w:type="character" w:customStyle="1" w:styleId="FootnoteTextChar">
    <w:name w:val="Footnote Text Char"/>
    <w:basedOn w:val="DefaultParagraphFont"/>
    <w:link w:val="FootnoteText"/>
    <w:uiPriority w:val="99"/>
    <w:semiHidden/>
    <w:rsid w:val="006C4FAE"/>
    <w:rPr>
      <w:sz w:val="20"/>
      <w:szCs w:val="20"/>
    </w:rPr>
  </w:style>
  <w:style w:type="character" w:styleId="FootnoteReference">
    <w:name w:val="footnote reference"/>
    <w:basedOn w:val="DefaultParagraphFont"/>
    <w:uiPriority w:val="99"/>
    <w:semiHidden/>
    <w:unhideWhenUsed/>
    <w:rsid w:val="006C4FAE"/>
    <w:rPr>
      <w:vertAlign w:val="superscript"/>
    </w:rPr>
  </w:style>
  <w:style w:type="paragraph" w:styleId="Caption">
    <w:name w:val="caption"/>
    <w:basedOn w:val="Normal"/>
    <w:next w:val="Normal"/>
    <w:uiPriority w:val="35"/>
    <w:unhideWhenUsed/>
    <w:qFormat/>
    <w:rsid w:val="00D62055"/>
    <w:pPr>
      <w:spacing w:after="200"/>
    </w:pPr>
    <w:rPr>
      <w:i/>
      <w:iCs/>
      <w:color w:val="44546A" w:themeColor="text2"/>
      <w:sz w:val="18"/>
      <w:szCs w:val="18"/>
    </w:rPr>
  </w:style>
  <w:style w:type="paragraph" w:styleId="Header">
    <w:name w:val="header"/>
    <w:basedOn w:val="Normal"/>
    <w:link w:val="HeaderChar"/>
    <w:uiPriority w:val="99"/>
    <w:unhideWhenUsed/>
    <w:rsid w:val="00661065"/>
    <w:pPr>
      <w:tabs>
        <w:tab w:val="center" w:pos="4513"/>
        <w:tab w:val="right" w:pos="9026"/>
      </w:tabs>
    </w:pPr>
  </w:style>
  <w:style w:type="character" w:customStyle="1" w:styleId="HeaderChar">
    <w:name w:val="Header Char"/>
    <w:basedOn w:val="DefaultParagraphFont"/>
    <w:link w:val="Header"/>
    <w:uiPriority w:val="99"/>
    <w:rsid w:val="00661065"/>
  </w:style>
  <w:style w:type="paragraph" w:styleId="Footer">
    <w:name w:val="footer"/>
    <w:basedOn w:val="Normal"/>
    <w:link w:val="FooterChar"/>
    <w:uiPriority w:val="99"/>
    <w:unhideWhenUsed/>
    <w:rsid w:val="00661065"/>
    <w:pPr>
      <w:tabs>
        <w:tab w:val="center" w:pos="4513"/>
        <w:tab w:val="right" w:pos="9026"/>
      </w:tabs>
    </w:pPr>
  </w:style>
  <w:style w:type="character" w:customStyle="1" w:styleId="FooterChar">
    <w:name w:val="Footer Char"/>
    <w:basedOn w:val="DefaultParagraphFont"/>
    <w:link w:val="Footer"/>
    <w:uiPriority w:val="99"/>
    <w:rsid w:val="00661065"/>
  </w:style>
  <w:style w:type="character" w:customStyle="1" w:styleId="ToReword">
    <w:name w:val="_To_Reword"/>
    <w:basedOn w:val="ToRemove0"/>
    <w:uiPriority w:val="1"/>
    <w:qFormat/>
    <w:rsid w:val="00302BD2"/>
    <w:rPr>
      <w:b/>
      <w:color w:val="auto"/>
      <w:u w:val="single"/>
    </w:rPr>
  </w:style>
  <w:style w:type="paragraph" w:styleId="Bibliography">
    <w:name w:val="Bibliography"/>
    <w:basedOn w:val="Normal"/>
    <w:next w:val="Normal"/>
    <w:uiPriority w:val="37"/>
    <w:unhideWhenUsed/>
    <w:rsid w:val="00F60D28"/>
    <w:pPr>
      <w:spacing w:after="240"/>
      <w:ind w:left="720" w:hanging="720"/>
    </w:pPr>
  </w:style>
  <w:style w:type="character" w:customStyle="1" w:styleId="Heading3Char">
    <w:name w:val="Heading 3 Char"/>
    <w:basedOn w:val="DefaultParagraphFont"/>
    <w:link w:val="Heading3"/>
    <w:uiPriority w:val="9"/>
    <w:semiHidden/>
    <w:rsid w:val="00624E12"/>
    <w:rPr>
      <w:rFonts w:asciiTheme="majorHAnsi" w:eastAsiaTheme="majorEastAsia" w:hAnsiTheme="majorHAnsi" w:cstheme="majorBidi"/>
      <w:color w:val="1F3763" w:themeColor="accent1" w:themeShade="7F"/>
    </w:rPr>
  </w:style>
  <w:style w:type="paragraph" w:styleId="NormalWeb">
    <w:name w:val="Normal (Web)"/>
    <w:basedOn w:val="Normal"/>
    <w:qFormat/>
    <w:rsid w:val="00624E12"/>
    <w:rPr>
      <w:rFonts w:ascii="Georgia" w:eastAsia="Times New Roman" w:hAnsi="Georgia" w:cs="Times New Roman"/>
      <w:color w:val="000000"/>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410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53BED5-18FC-3E4C-B0FA-330DB492F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Essay_Template1.dotx</Template>
  <TotalTime>10</TotalTime>
  <Pages>14</Pages>
  <Words>5168</Words>
  <Characters>29461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cp:lastPrinted>2023-04-23T17:46:00Z</cp:lastPrinted>
  <dcterms:created xsi:type="dcterms:W3CDTF">2023-04-24T22:03:00Z</dcterms:created>
  <dcterms:modified xsi:type="dcterms:W3CDTF">2023-04-24T22:13:00Z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id="WQ2K9ERI"/&gt;&lt;style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