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2068B" w14:textId="77777777" w:rsidR="008D43DA" w:rsidRPr="005D3CF3" w:rsidRDefault="008D43DA" w:rsidP="00B44643">
      <w:pPr>
        <w:jc w:val="center"/>
        <w:rPr>
          <w:rFonts w:ascii="Arial" w:hAnsi="Arial" w:cs="Arial"/>
          <w:sz w:val="22"/>
        </w:rPr>
      </w:pPr>
    </w:p>
    <w:p w14:paraId="32579DB3" w14:textId="77777777" w:rsidR="008D43DA" w:rsidRPr="005D3CF3" w:rsidRDefault="008D43DA" w:rsidP="00B44643">
      <w:pPr>
        <w:jc w:val="center"/>
        <w:rPr>
          <w:rFonts w:ascii="Arial" w:hAnsi="Arial" w:cs="Arial"/>
          <w:sz w:val="22"/>
        </w:rPr>
      </w:pPr>
    </w:p>
    <w:p w14:paraId="45C94298" w14:textId="77777777" w:rsidR="008D43DA" w:rsidRPr="005D3CF3" w:rsidRDefault="008D43DA" w:rsidP="00B44643">
      <w:pPr>
        <w:jc w:val="center"/>
        <w:rPr>
          <w:rFonts w:ascii="Arial" w:hAnsi="Arial" w:cs="Arial"/>
          <w:sz w:val="22"/>
        </w:rPr>
      </w:pPr>
    </w:p>
    <w:p w14:paraId="1FF37363" w14:textId="18F33097" w:rsidR="00640FC0" w:rsidRPr="005D3CF3" w:rsidRDefault="00EB2FBA" w:rsidP="00B44643">
      <w:pPr>
        <w:jc w:val="center"/>
        <w:rPr>
          <w:rFonts w:ascii="Arial" w:hAnsi="Arial" w:cs="Arial"/>
          <w:sz w:val="22"/>
        </w:rPr>
      </w:pPr>
      <w:r w:rsidRPr="005D3CF3">
        <w:rPr>
          <w:rFonts w:ascii="Arial" w:hAnsi="Arial" w:cs="Arial"/>
          <w:sz w:val="22"/>
        </w:rPr>
        <w:t>LCHS4004</w:t>
      </w:r>
      <w:r w:rsidR="00640FC0" w:rsidRPr="005D3CF3">
        <w:rPr>
          <w:rFonts w:ascii="Arial" w:hAnsi="Arial" w:cs="Arial"/>
          <w:sz w:val="22"/>
        </w:rPr>
        <w:t xml:space="preserve"> </w:t>
      </w:r>
      <w:r w:rsidRPr="005D3CF3">
        <w:rPr>
          <w:rFonts w:ascii="Arial" w:hAnsi="Arial" w:cs="Arial"/>
          <w:bCs/>
          <w:sz w:val="22"/>
        </w:rPr>
        <w:t>Introduction to Public Health</w:t>
      </w:r>
    </w:p>
    <w:p w14:paraId="2C327162" w14:textId="46B316A7" w:rsidR="00A54888" w:rsidRDefault="00640FC0" w:rsidP="00B44643">
      <w:pPr>
        <w:jc w:val="center"/>
        <w:rPr>
          <w:rFonts w:ascii="Arial" w:hAnsi="Arial" w:cs="Arial"/>
          <w:bCs/>
          <w:sz w:val="22"/>
        </w:rPr>
      </w:pPr>
      <w:r w:rsidRPr="005D3CF3">
        <w:rPr>
          <w:rFonts w:ascii="Arial" w:hAnsi="Arial" w:cs="Arial"/>
          <w:bCs/>
          <w:sz w:val="22"/>
        </w:rPr>
        <w:t>Component 1 – Incidence of disease in communities</w:t>
      </w:r>
    </w:p>
    <w:p w14:paraId="17325370" w14:textId="18DF39A4" w:rsidR="005D3CF3" w:rsidRPr="005D3CF3" w:rsidRDefault="005D3CF3" w:rsidP="00B44643">
      <w:pPr>
        <w:jc w:val="center"/>
        <w:rPr>
          <w:rFonts w:ascii="Arial" w:hAnsi="Arial" w:cs="Arial"/>
          <w:bCs/>
          <w:sz w:val="22"/>
        </w:rPr>
      </w:pPr>
      <w:r w:rsidRPr="005D3CF3">
        <w:rPr>
          <w:rFonts w:ascii="Arial" w:hAnsi="Arial" w:cs="Arial"/>
          <w:sz w:val="22"/>
        </w:rPr>
        <w:t>Supporting Paper</w:t>
      </w:r>
    </w:p>
    <w:p w14:paraId="5158B664" w14:textId="0D6694CD" w:rsidR="00A54888" w:rsidRPr="005D3CF3" w:rsidRDefault="00A54888" w:rsidP="00B44643">
      <w:pPr>
        <w:jc w:val="center"/>
        <w:rPr>
          <w:rFonts w:ascii="Arial" w:hAnsi="Arial" w:cs="Arial"/>
          <w:sz w:val="22"/>
        </w:rPr>
      </w:pPr>
      <w:r w:rsidRPr="005D3CF3">
        <w:rPr>
          <w:rFonts w:ascii="Arial" w:hAnsi="Arial" w:cs="Arial"/>
          <w:sz w:val="22"/>
        </w:rPr>
        <w:t xml:space="preserve">Student Name: </w:t>
      </w:r>
      <w:r w:rsidR="00E422AE">
        <w:rPr>
          <w:rFonts w:ascii="Arial" w:hAnsi="Arial" w:cs="Arial"/>
          <w:sz w:val="22"/>
        </w:rPr>
        <w:t>Sasha Ahmed</w:t>
      </w:r>
    </w:p>
    <w:p w14:paraId="5359E960" w14:textId="26D55322" w:rsidR="00A54888" w:rsidRPr="005D3CF3" w:rsidRDefault="00A54888" w:rsidP="00B44643">
      <w:pPr>
        <w:jc w:val="center"/>
        <w:rPr>
          <w:rFonts w:ascii="Arial" w:hAnsi="Arial" w:cs="Arial"/>
          <w:sz w:val="22"/>
        </w:rPr>
      </w:pPr>
      <w:r w:rsidRPr="005D3CF3">
        <w:rPr>
          <w:rFonts w:ascii="Arial" w:hAnsi="Arial" w:cs="Arial"/>
          <w:sz w:val="22"/>
        </w:rPr>
        <w:t xml:space="preserve">Student ID: </w:t>
      </w:r>
      <w:r w:rsidR="00E422AE">
        <w:rPr>
          <w:rFonts w:ascii="Arial" w:hAnsi="Arial" w:cs="Arial"/>
          <w:sz w:val="22"/>
        </w:rPr>
        <w:t>2123641</w:t>
      </w:r>
    </w:p>
    <w:p w14:paraId="426CB2DB" w14:textId="3C967A92" w:rsidR="00446E1D" w:rsidRPr="005D3CF3" w:rsidRDefault="00446E1D" w:rsidP="00B44643">
      <w:pPr>
        <w:jc w:val="center"/>
        <w:rPr>
          <w:rFonts w:ascii="Arial" w:hAnsi="Arial" w:cs="Arial"/>
          <w:bCs/>
          <w:sz w:val="22"/>
        </w:rPr>
      </w:pPr>
      <w:r w:rsidRPr="005D3CF3">
        <w:rPr>
          <w:rFonts w:ascii="Arial" w:hAnsi="Arial" w:cs="Arial"/>
          <w:sz w:val="22"/>
        </w:rPr>
        <w:br w:type="page"/>
      </w:r>
    </w:p>
    <w:sdt>
      <w:sdtPr>
        <w:rPr>
          <w:rFonts w:asciiTheme="majorBidi" w:eastAsiaTheme="minorHAnsi" w:hAnsiTheme="majorBidi" w:cstheme="minorBidi"/>
          <w:color w:val="auto"/>
          <w:sz w:val="22"/>
          <w:szCs w:val="22"/>
          <w:lang w:val="en-GB"/>
        </w:rPr>
        <w:id w:val="-24792486"/>
        <w:docPartObj>
          <w:docPartGallery w:val="Table of Contents"/>
          <w:docPartUnique/>
        </w:docPartObj>
      </w:sdtPr>
      <w:sdtEndPr>
        <w:rPr>
          <w:b/>
          <w:bCs/>
          <w:noProof/>
        </w:rPr>
      </w:sdtEndPr>
      <w:sdtContent>
        <w:p w14:paraId="70666C92" w14:textId="2008737E" w:rsidR="000A53D0" w:rsidRPr="005D3CF3" w:rsidRDefault="000A53D0">
          <w:pPr>
            <w:pStyle w:val="TOCHeading"/>
            <w:rPr>
              <w:sz w:val="22"/>
              <w:szCs w:val="22"/>
            </w:rPr>
          </w:pPr>
          <w:r w:rsidRPr="005D3CF3">
            <w:rPr>
              <w:sz w:val="22"/>
              <w:szCs w:val="22"/>
            </w:rPr>
            <w:t>Table of Contents</w:t>
          </w:r>
        </w:p>
        <w:p w14:paraId="57A372B0" w14:textId="6655C2BA" w:rsidR="00385B5E" w:rsidRPr="005D3CF3" w:rsidRDefault="000A53D0">
          <w:pPr>
            <w:pStyle w:val="TOC1"/>
            <w:tabs>
              <w:tab w:val="right" w:leader="dot" w:pos="9350"/>
            </w:tabs>
            <w:rPr>
              <w:rFonts w:asciiTheme="minorHAnsi" w:eastAsiaTheme="minorEastAsia" w:hAnsiTheme="minorHAnsi"/>
              <w:noProof/>
              <w:sz w:val="22"/>
              <w:lang w:val="en-US"/>
            </w:rPr>
          </w:pPr>
          <w:r w:rsidRPr="005D3CF3">
            <w:rPr>
              <w:sz w:val="22"/>
            </w:rPr>
            <w:fldChar w:fldCharType="begin"/>
          </w:r>
          <w:r w:rsidRPr="005D3CF3">
            <w:rPr>
              <w:sz w:val="22"/>
            </w:rPr>
            <w:instrText xml:space="preserve"> TOC \o "1-3" \h \z \u </w:instrText>
          </w:r>
          <w:r w:rsidRPr="005D3CF3">
            <w:rPr>
              <w:sz w:val="22"/>
            </w:rPr>
            <w:fldChar w:fldCharType="separate"/>
          </w:r>
          <w:hyperlink w:anchor="_Toc131636674" w:history="1">
            <w:r w:rsidR="00385B5E" w:rsidRPr="005D3CF3">
              <w:rPr>
                <w:rStyle w:val="Hyperlink"/>
                <w:rFonts w:ascii="Arial" w:hAnsi="Arial" w:cs="Arial"/>
                <w:noProof/>
                <w:sz w:val="22"/>
              </w:rPr>
              <w:t>Introduction</w:t>
            </w:r>
            <w:r w:rsidR="00385B5E" w:rsidRPr="005D3CF3">
              <w:rPr>
                <w:noProof/>
                <w:webHidden/>
                <w:sz w:val="22"/>
              </w:rPr>
              <w:tab/>
            </w:r>
            <w:r w:rsidR="00385B5E" w:rsidRPr="005D3CF3">
              <w:rPr>
                <w:noProof/>
                <w:webHidden/>
                <w:sz w:val="22"/>
              </w:rPr>
              <w:fldChar w:fldCharType="begin"/>
            </w:r>
            <w:r w:rsidR="00385B5E" w:rsidRPr="005D3CF3">
              <w:rPr>
                <w:noProof/>
                <w:webHidden/>
                <w:sz w:val="22"/>
              </w:rPr>
              <w:instrText xml:space="preserve"> PAGEREF _Toc131636674 \h </w:instrText>
            </w:r>
            <w:r w:rsidR="00385B5E" w:rsidRPr="005D3CF3">
              <w:rPr>
                <w:noProof/>
                <w:webHidden/>
                <w:sz w:val="22"/>
              </w:rPr>
            </w:r>
            <w:r w:rsidR="00385B5E" w:rsidRPr="005D3CF3">
              <w:rPr>
                <w:noProof/>
                <w:webHidden/>
                <w:sz w:val="22"/>
              </w:rPr>
              <w:fldChar w:fldCharType="separate"/>
            </w:r>
            <w:r w:rsidR="00385B5E" w:rsidRPr="005D3CF3">
              <w:rPr>
                <w:noProof/>
                <w:webHidden/>
                <w:sz w:val="22"/>
              </w:rPr>
              <w:t>3</w:t>
            </w:r>
            <w:r w:rsidR="00385B5E" w:rsidRPr="005D3CF3">
              <w:rPr>
                <w:noProof/>
                <w:webHidden/>
                <w:sz w:val="22"/>
              </w:rPr>
              <w:fldChar w:fldCharType="end"/>
            </w:r>
          </w:hyperlink>
        </w:p>
        <w:p w14:paraId="3473C113" w14:textId="23E7D7D8" w:rsidR="00385B5E" w:rsidRPr="005D3CF3" w:rsidRDefault="00000000">
          <w:pPr>
            <w:pStyle w:val="TOC1"/>
            <w:tabs>
              <w:tab w:val="right" w:leader="dot" w:pos="9350"/>
            </w:tabs>
            <w:rPr>
              <w:rFonts w:asciiTheme="minorHAnsi" w:eastAsiaTheme="minorEastAsia" w:hAnsiTheme="minorHAnsi"/>
              <w:noProof/>
              <w:sz w:val="22"/>
              <w:lang w:val="en-US"/>
            </w:rPr>
          </w:pPr>
          <w:hyperlink w:anchor="_Toc131636675" w:history="1">
            <w:r w:rsidR="00385B5E" w:rsidRPr="005D3CF3">
              <w:rPr>
                <w:rStyle w:val="Hyperlink"/>
                <w:rFonts w:ascii="Arial" w:hAnsi="Arial" w:cs="Arial"/>
                <w:noProof/>
                <w:sz w:val="22"/>
              </w:rPr>
              <w:t>Strategies to measure the disease</w:t>
            </w:r>
            <w:r w:rsidR="00385B5E" w:rsidRPr="005D3CF3">
              <w:rPr>
                <w:noProof/>
                <w:webHidden/>
                <w:sz w:val="22"/>
              </w:rPr>
              <w:tab/>
            </w:r>
            <w:r w:rsidR="00385B5E" w:rsidRPr="005D3CF3">
              <w:rPr>
                <w:noProof/>
                <w:webHidden/>
                <w:sz w:val="22"/>
              </w:rPr>
              <w:fldChar w:fldCharType="begin"/>
            </w:r>
            <w:r w:rsidR="00385B5E" w:rsidRPr="005D3CF3">
              <w:rPr>
                <w:noProof/>
                <w:webHidden/>
                <w:sz w:val="22"/>
              </w:rPr>
              <w:instrText xml:space="preserve"> PAGEREF _Toc131636675 \h </w:instrText>
            </w:r>
            <w:r w:rsidR="00385B5E" w:rsidRPr="005D3CF3">
              <w:rPr>
                <w:noProof/>
                <w:webHidden/>
                <w:sz w:val="22"/>
              </w:rPr>
            </w:r>
            <w:r w:rsidR="00385B5E" w:rsidRPr="005D3CF3">
              <w:rPr>
                <w:noProof/>
                <w:webHidden/>
                <w:sz w:val="22"/>
              </w:rPr>
              <w:fldChar w:fldCharType="separate"/>
            </w:r>
            <w:r w:rsidR="00385B5E" w:rsidRPr="005D3CF3">
              <w:rPr>
                <w:noProof/>
                <w:webHidden/>
                <w:sz w:val="22"/>
              </w:rPr>
              <w:t>3</w:t>
            </w:r>
            <w:r w:rsidR="00385B5E" w:rsidRPr="005D3CF3">
              <w:rPr>
                <w:noProof/>
                <w:webHidden/>
                <w:sz w:val="22"/>
              </w:rPr>
              <w:fldChar w:fldCharType="end"/>
            </w:r>
          </w:hyperlink>
        </w:p>
        <w:p w14:paraId="57C2C866" w14:textId="1DBBCA36" w:rsidR="00385B5E" w:rsidRPr="005D3CF3" w:rsidRDefault="00000000">
          <w:pPr>
            <w:pStyle w:val="TOC1"/>
            <w:tabs>
              <w:tab w:val="right" w:leader="dot" w:pos="9350"/>
            </w:tabs>
            <w:rPr>
              <w:rFonts w:asciiTheme="minorHAnsi" w:eastAsiaTheme="minorEastAsia" w:hAnsiTheme="minorHAnsi"/>
              <w:noProof/>
              <w:sz w:val="22"/>
              <w:lang w:val="en-US"/>
            </w:rPr>
          </w:pPr>
          <w:hyperlink w:anchor="_Toc131636676" w:history="1">
            <w:r w:rsidR="00385B5E" w:rsidRPr="005D3CF3">
              <w:rPr>
                <w:rStyle w:val="Hyperlink"/>
                <w:rFonts w:ascii="Arial" w:hAnsi="Arial" w:cs="Arial"/>
                <w:noProof/>
                <w:sz w:val="22"/>
              </w:rPr>
              <w:t>Strategies to monitor the disease</w:t>
            </w:r>
            <w:r w:rsidR="00385B5E" w:rsidRPr="005D3CF3">
              <w:rPr>
                <w:noProof/>
                <w:webHidden/>
                <w:sz w:val="22"/>
              </w:rPr>
              <w:tab/>
            </w:r>
            <w:r w:rsidR="00385B5E" w:rsidRPr="005D3CF3">
              <w:rPr>
                <w:noProof/>
                <w:webHidden/>
                <w:sz w:val="22"/>
              </w:rPr>
              <w:fldChar w:fldCharType="begin"/>
            </w:r>
            <w:r w:rsidR="00385B5E" w:rsidRPr="005D3CF3">
              <w:rPr>
                <w:noProof/>
                <w:webHidden/>
                <w:sz w:val="22"/>
              </w:rPr>
              <w:instrText xml:space="preserve"> PAGEREF _Toc131636676 \h </w:instrText>
            </w:r>
            <w:r w:rsidR="00385B5E" w:rsidRPr="005D3CF3">
              <w:rPr>
                <w:noProof/>
                <w:webHidden/>
                <w:sz w:val="22"/>
              </w:rPr>
            </w:r>
            <w:r w:rsidR="00385B5E" w:rsidRPr="005D3CF3">
              <w:rPr>
                <w:noProof/>
                <w:webHidden/>
                <w:sz w:val="22"/>
              </w:rPr>
              <w:fldChar w:fldCharType="separate"/>
            </w:r>
            <w:r w:rsidR="00385B5E" w:rsidRPr="005D3CF3">
              <w:rPr>
                <w:noProof/>
                <w:webHidden/>
                <w:sz w:val="22"/>
              </w:rPr>
              <w:t>4</w:t>
            </w:r>
            <w:r w:rsidR="00385B5E" w:rsidRPr="005D3CF3">
              <w:rPr>
                <w:noProof/>
                <w:webHidden/>
                <w:sz w:val="22"/>
              </w:rPr>
              <w:fldChar w:fldCharType="end"/>
            </w:r>
          </w:hyperlink>
        </w:p>
        <w:p w14:paraId="668ECA5E" w14:textId="1BEC7EFF" w:rsidR="00385B5E" w:rsidRPr="005D3CF3" w:rsidRDefault="00000000">
          <w:pPr>
            <w:pStyle w:val="TOC1"/>
            <w:tabs>
              <w:tab w:val="right" w:leader="dot" w:pos="9350"/>
            </w:tabs>
            <w:rPr>
              <w:rFonts w:asciiTheme="minorHAnsi" w:eastAsiaTheme="minorEastAsia" w:hAnsiTheme="minorHAnsi"/>
              <w:noProof/>
              <w:sz w:val="22"/>
              <w:lang w:val="en-US"/>
            </w:rPr>
          </w:pPr>
          <w:hyperlink w:anchor="_Toc131636677" w:history="1">
            <w:r w:rsidR="00385B5E" w:rsidRPr="005D3CF3">
              <w:rPr>
                <w:rStyle w:val="Hyperlink"/>
                <w:rFonts w:ascii="Arial" w:hAnsi="Arial" w:cs="Arial"/>
                <w:noProof/>
                <w:sz w:val="22"/>
              </w:rPr>
              <w:t>Strategies to control the disease</w:t>
            </w:r>
            <w:r w:rsidR="00385B5E" w:rsidRPr="005D3CF3">
              <w:rPr>
                <w:noProof/>
                <w:webHidden/>
                <w:sz w:val="22"/>
              </w:rPr>
              <w:tab/>
            </w:r>
            <w:r w:rsidR="00385B5E" w:rsidRPr="005D3CF3">
              <w:rPr>
                <w:noProof/>
                <w:webHidden/>
                <w:sz w:val="22"/>
              </w:rPr>
              <w:fldChar w:fldCharType="begin"/>
            </w:r>
            <w:r w:rsidR="00385B5E" w:rsidRPr="005D3CF3">
              <w:rPr>
                <w:noProof/>
                <w:webHidden/>
                <w:sz w:val="22"/>
              </w:rPr>
              <w:instrText xml:space="preserve"> PAGEREF _Toc131636677 \h </w:instrText>
            </w:r>
            <w:r w:rsidR="00385B5E" w:rsidRPr="005D3CF3">
              <w:rPr>
                <w:noProof/>
                <w:webHidden/>
                <w:sz w:val="22"/>
              </w:rPr>
            </w:r>
            <w:r w:rsidR="00385B5E" w:rsidRPr="005D3CF3">
              <w:rPr>
                <w:noProof/>
                <w:webHidden/>
                <w:sz w:val="22"/>
              </w:rPr>
              <w:fldChar w:fldCharType="separate"/>
            </w:r>
            <w:r w:rsidR="00385B5E" w:rsidRPr="005D3CF3">
              <w:rPr>
                <w:noProof/>
                <w:webHidden/>
                <w:sz w:val="22"/>
              </w:rPr>
              <w:t>4</w:t>
            </w:r>
            <w:r w:rsidR="00385B5E" w:rsidRPr="005D3CF3">
              <w:rPr>
                <w:noProof/>
                <w:webHidden/>
                <w:sz w:val="22"/>
              </w:rPr>
              <w:fldChar w:fldCharType="end"/>
            </w:r>
          </w:hyperlink>
        </w:p>
        <w:p w14:paraId="0EF665C6" w14:textId="4EBCF774" w:rsidR="00385B5E" w:rsidRPr="005D3CF3" w:rsidRDefault="00000000">
          <w:pPr>
            <w:pStyle w:val="TOC1"/>
            <w:tabs>
              <w:tab w:val="right" w:leader="dot" w:pos="9350"/>
            </w:tabs>
            <w:rPr>
              <w:rFonts w:asciiTheme="minorHAnsi" w:eastAsiaTheme="minorEastAsia" w:hAnsiTheme="minorHAnsi"/>
              <w:noProof/>
              <w:sz w:val="22"/>
              <w:lang w:val="en-US"/>
            </w:rPr>
          </w:pPr>
          <w:hyperlink w:anchor="_Toc131636678" w:history="1">
            <w:r w:rsidR="00385B5E" w:rsidRPr="005D3CF3">
              <w:rPr>
                <w:rStyle w:val="Hyperlink"/>
                <w:rFonts w:ascii="Arial" w:hAnsi="Arial" w:cs="Arial"/>
                <w:noProof/>
                <w:sz w:val="22"/>
              </w:rPr>
              <w:t>Conclusion</w:t>
            </w:r>
            <w:r w:rsidR="00385B5E" w:rsidRPr="005D3CF3">
              <w:rPr>
                <w:noProof/>
                <w:webHidden/>
                <w:sz w:val="22"/>
              </w:rPr>
              <w:tab/>
            </w:r>
            <w:r w:rsidR="00385B5E" w:rsidRPr="005D3CF3">
              <w:rPr>
                <w:noProof/>
                <w:webHidden/>
                <w:sz w:val="22"/>
              </w:rPr>
              <w:fldChar w:fldCharType="begin"/>
            </w:r>
            <w:r w:rsidR="00385B5E" w:rsidRPr="005D3CF3">
              <w:rPr>
                <w:noProof/>
                <w:webHidden/>
                <w:sz w:val="22"/>
              </w:rPr>
              <w:instrText xml:space="preserve"> PAGEREF _Toc131636678 \h </w:instrText>
            </w:r>
            <w:r w:rsidR="00385B5E" w:rsidRPr="005D3CF3">
              <w:rPr>
                <w:noProof/>
                <w:webHidden/>
                <w:sz w:val="22"/>
              </w:rPr>
            </w:r>
            <w:r w:rsidR="00385B5E" w:rsidRPr="005D3CF3">
              <w:rPr>
                <w:noProof/>
                <w:webHidden/>
                <w:sz w:val="22"/>
              </w:rPr>
              <w:fldChar w:fldCharType="separate"/>
            </w:r>
            <w:r w:rsidR="00385B5E" w:rsidRPr="005D3CF3">
              <w:rPr>
                <w:noProof/>
                <w:webHidden/>
                <w:sz w:val="22"/>
              </w:rPr>
              <w:t>5</w:t>
            </w:r>
            <w:r w:rsidR="00385B5E" w:rsidRPr="005D3CF3">
              <w:rPr>
                <w:noProof/>
                <w:webHidden/>
                <w:sz w:val="22"/>
              </w:rPr>
              <w:fldChar w:fldCharType="end"/>
            </w:r>
          </w:hyperlink>
        </w:p>
        <w:p w14:paraId="1DAB0671" w14:textId="5D5422F7" w:rsidR="00385B5E" w:rsidRPr="005D3CF3" w:rsidRDefault="00000000">
          <w:pPr>
            <w:pStyle w:val="TOC1"/>
            <w:tabs>
              <w:tab w:val="right" w:leader="dot" w:pos="9350"/>
            </w:tabs>
            <w:rPr>
              <w:rFonts w:asciiTheme="minorHAnsi" w:eastAsiaTheme="minorEastAsia" w:hAnsiTheme="minorHAnsi"/>
              <w:noProof/>
              <w:sz w:val="22"/>
              <w:lang w:val="en-US"/>
            </w:rPr>
          </w:pPr>
          <w:hyperlink w:anchor="_Toc131636679" w:history="1">
            <w:r w:rsidR="00385B5E" w:rsidRPr="005D3CF3">
              <w:rPr>
                <w:rStyle w:val="Hyperlink"/>
                <w:rFonts w:ascii="Arial" w:hAnsi="Arial" w:cs="Arial"/>
                <w:noProof/>
                <w:sz w:val="22"/>
              </w:rPr>
              <w:t>Reference</w:t>
            </w:r>
            <w:r w:rsidR="00385B5E" w:rsidRPr="005D3CF3">
              <w:rPr>
                <w:noProof/>
                <w:webHidden/>
                <w:sz w:val="22"/>
              </w:rPr>
              <w:tab/>
            </w:r>
            <w:r w:rsidR="00385B5E" w:rsidRPr="005D3CF3">
              <w:rPr>
                <w:noProof/>
                <w:webHidden/>
                <w:sz w:val="22"/>
              </w:rPr>
              <w:fldChar w:fldCharType="begin"/>
            </w:r>
            <w:r w:rsidR="00385B5E" w:rsidRPr="005D3CF3">
              <w:rPr>
                <w:noProof/>
                <w:webHidden/>
                <w:sz w:val="22"/>
              </w:rPr>
              <w:instrText xml:space="preserve"> PAGEREF _Toc131636679 \h </w:instrText>
            </w:r>
            <w:r w:rsidR="00385B5E" w:rsidRPr="005D3CF3">
              <w:rPr>
                <w:noProof/>
                <w:webHidden/>
                <w:sz w:val="22"/>
              </w:rPr>
            </w:r>
            <w:r w:rsidR="00385B5E" w:rsidRPr="005D3CF3">
              <w:rPr>
                <w:noProof/>
                <w:webHidden/>
                <w:sz w:val="22"/>
              </w:rPr>
              <w:fldChar w:fldCharType="separate"/>
            </w:r>
            <w:r w:rsidR="00385B5E" w:rsidRPr="005D3CF3">
              <w:rPr>
                <w:noProof/>
                <w:webHidden/>
                <w:sz w:val="22"/>
              </w:rPr>
              <w:t>6</w:t>
            </w:r>
            <w:r w:rsidR="00385B5E" w:rsidRPr="005D3CF3">
              <w:rPr>
                <w:noProof/>
                <w:webHidden/>
                <w:sz w:val="22"/>
              </w:rPr>
              <w:fldChar w:fldCharType="end"/>
            </w:r>
          </w:hyperlink>
        </w:p>
        <w:p w14:paraId="24600DF5" w14:textId="5DB72F6E" w:rsidR="000A53D0" w:rsidRPr="005D3CF3" w:rsidRDefault="000A53D0">
          <w:pPr>
            <w:rPr>
              <w:sz w:val="22"/>
            </w:rPr>
          </w:pPr>
          <w:r w:rsidRPr="005D3CF3">
            <w:rPr>
              <w:b/>
              <w:bCs/>
              <w:noProof/>
              <w:sz w:val="22"/>
            </w:rPr>
            <w:fldChar w:fldCharType="end"/>
          </w:r>
        </w:p>
      </w:sdtContent>
    </w:sdt>
    <w:p w14:paraId="5C991A7E" w14:textId="77777777" w:rsidR="00EE7737" w:rsidRPr="005D3CF3" w:rsidRDefault="00EE7737" w:rsidP="00B44643">
      <w:pPr>
        <w:jc w:val="left"/>
        <w:rPr>
          <w:rFonts w:ascii="Arial" w:eastAsiaTheme="majorEastAsia" w:hAnsi="Arial" w:cs="Arial"/>
          <w:b/>
          <w:color w:val="000000" w:themeColor="text1"/>
          <w:sz w:val="22"/>
        </w:rPr>
      </w:pPr>
      <w:r w:rsidRPr="005D3CF3">
        <w:rPr>
          <w:rFonts w:ascii="Arial" w:hAnsi="Arial" w:cs="Arial"/>
          <w:sz w:val="22"/>
        </w:rPr>
        <w:br w:type="page"/>
      </w:r>
    </w:p>
    <w:p w14:paraId="789A35B4" w14:textId="77777777" w:rsidR="00EE7737" w:rsidRPr="005D3CF3" w:rsidRDefault="00EE7737" w:rsidP="00B44643">
      <w:pPr>
        <w:pStyle w:val="Heading1"/>
        <w:rPr>
          <w:rFonts w:ascii="Arial" w:hAnsi="Arial" w:cs="Arial"/>
          <w:sz w:val="22"/>
          <w:szCs w:val="22"/>
        </w:rPr>
      </w:pPr>
      <w:bookmarkStart w:id="0" w:name="_Toc131636674"/>
      <w:r w:rsidRPr="005D3CF3">
        <w:rPr>
          <w:rFonts w:ascii="Arial" w:hAnsi="Arial" w:cs="Arial"/>
          <w:sz w:val="22"/>
          <w:szCs w:val="22"/>
        </w:rPr>
        <w:lastRenderedPageBreak/>
        <w:t>Introduction</w:t>
      </w:r>
      <w:bookmarkEnd w:id="0"/>
    </w:p>
    <w:p w14:paraId="36A12913" w14:textId="2FC63C89" w:rsidR="00B44643" w:rsidRPr="005D3CF3" w:rsidRDefault="00B44643" w:rsidP="00B44643">
      <w:pPr>
        <w:rPr>
          <w:rFonts w:ascii="Arial" w:hAnsi="Arial" w:cs="Arial"/>
          <w:sz w:val="22"/>
        </w:rPr>
      </w:pPr>
      <w:r w:rsidRPr="005D3CF3">
        <w:rPr>
          <w:rFonts w:ascii="Arial" w:hAnsi="Arial" w:cs="Arial"/>
          <w:sz w:val="22"/>
        </w:rPr>
        <w:t>This supporting paper, which is based on what the group discussions about the methods and strategies used in the UK to fight an infectious disease. The infectious disease we have chosen to talk about is tuberculosis (TB). The study covers methods for measuring illness in the UK. Taking action to reduce infectious illness is related to two factors: mortality and morbidity. It was easier to grasp how the UK government was acting in the instance of TB because of statistical representations. The paper also identifies monitoring techniques from the viewpoint of the UK's NHS. The study also describes how the government is reducing the spread of TB and improving its management of the disease. A few recommendations are given at the conclusion.</w:t>
      </w:r>
    </w:p>
    <w:p w14:paraId="7966F27B" w14:textId="62087E1F" w:rsidR="00362846" w:rsidRPr="005D3CF3" w:rsidRDefault="00364469" w:rsidP="00B44643">
      <w:pPr>
        <w:pStyle w:val="Heading1"/>
        <w:rPr>
          <w:rFonts w:ascii="Arial" w:hAnsi="Arial" w:cs="Arial"/>
          <w:sz w:val="22"/>
          <w:szCs w:val="22"/>
        </w:rPr>
      </w:pPr>
      <w:bookmarkStart w:id="1" w:name="_Toc131636675"/>
      <w:r w:rsidRPr="005D3CF3">
        <w:rPr>
          <w:rFonts w:ascii="Arial" w:hAnsi="Arial" w:cs="Arial"/>
          <w:sz w:val="22"/>
          <w:szCs w:val="22"/>
        </w:rPr>
        <w:t>Strategies to measure the disease</w:t>
      </w:r>
      <w:bookmarkEnd w:id="1"/>
      <w:r w:rsidRPr="005D3CF3">
        <w:rPr>
          <w:rFonts w:ascii="Arial" w:hAnsi="Arial" w:cs="Arial"/>
          <w:sz w:val="22"/>
          <w:szCs w:val="22"/>
        </w:rPr>
        <w:t xml:space="preserve"> </w:t>
      </w:r>
      <w:r w:rsidR="00593A99" w:rsidRPr="005D3CF3">
        <w:rPr>
          <w:rFonts w:ascii="Arial" w:hAnsi="Arial" w:cs="Arial"/>
          <w:sz w:val="22"/>
          <w:szCs w:val="22"/>
        </w:rPr>
        <w:t xml:space="preserve"> </w:t>
      </w:r>
    </w:p>
    <w:p w14:paraId="3F3B07AE" w14:textId="0C69265A" w:rsidR="008546C8" w:rsidRPr="005D3CF3" w:rsidRDefault="008546C8" w:rsidP="00B44643">
      <w:pPr>
        <w:pStyle w:val="NormalWeb"/>
        <w:spacing w:line="360" w:lineRule="auto"/>
        <w:jc w:val="both"/>
        <w:rPr>
          <w:rFonts w:ascii="Arial" w:hAnsi="Arial" w:cs="Arial"/>
          <w:color w:val="252525"/>
          <w:sz w:val="22"/>
          <w:szCs w:val="22"/>
        </w:rPr>
      </w:pPr>
      <w:r w:rsidRPr="005D3CF3">
        <w:rPr>
          <w:rFonts w:ascii="Arial" w:hAnsi="Arial" w:cs="Arial"/>
          <w:color w:val="252525"/>
          <w:sz w:val="22"/>
          <w:szCs w:val="22"/>
        </w:rPr>
        <w:t xml:space="preserve">Deaths from tuberculosis in the United Kingdom decreased </w:t>
      </w:r>
      <w:r w:rsidR="000A53D0" w:rsidRPr="005D3CF3">
        <w:rPr>
          <w:rFonts w:ascii="Arial" w:hAnsi="Arial" w:cs="Arial"/>
          <w:color w:val="252525"/>
          <w:sz w:val="22"/>
          <w:szCs w:val="22"/>
        </w:rPr>
        <w:t>significantly</w:t>
      </w:r>
      <w:r w:rsidRPr="005D3CF3">
        <w:rPr>
          <w:rFonts w:ascii="Arial" w:hAnsi="Arial" w:cs="Arial"/>
          <w:color w:val="252525"/>
          <w:sz w:val="22"/>
          <w:szCs w:val="22"/>
        </w:rPr>
        <w:t xml:space="preserve"> between 2002</w:t>
      </w:r>
      <w:r w:rsidR="000A53D0" w:rsidRPr="005D3CF3">
        <w:rPr>
          <w:rFonts w:ascii="Arial" w:hAnsi="Arial" w:cs="Arial"/>
          <w:color w:val="252525"/>
          <w:sz w:val="22"/>
          <w:szCs w:val="22"/>
        </w:rPr>
        <w:t xml:space="preserve"> (7.1%)</w:t>
      </w:r>
      <w:r w:rsidRPr="005D3CF3">
        <w:rPr>
          <w:rFonts w:ascii="Arial" w:hAnsi="Arial" w:cs="Arial"/>
          <w:color w:val="252525"/>
          <w:sz w:val="22"/>
          <w:szCs w:val="22"/>
        </w:rPr>
        <w:t xml:space="preserve"> and 2014</w:t>
      </w:r>
      <w:r w:rsidR="000A53D0" w:rsidRPr="005D3CF3">
        <w:rPr>
          <w:rFonts w:ascii="Arial" w:hAnsi="Arial" w:cs="Arial"/>
          <w:color w:val="252525"/>
          <w:sz w:val="22"/>
          <w:szCs w:val="22"/>
        </w:rPr>
        <w:t xml:space="preserve"> (5.5%)</w:t>
      </w:r>
      <w:r w:rsidR="001B4E68" w:rsidRPr="005D3CF3">
        <w:rPr>
          <w:rFonts w:ascii="Arial" w:hAnsi="Arial" w:cs="Arial"/>
          <w:color w:val="252525"/>
          <w:sz w:val="22"/>
          <w:szCs w:val="22"/>
        </w:rPr>
        <w:t xml:space="preserve"> (</w:t>
      </w:r>
      <w:proofErr w:type="spellStart"/>
      <w:r w:rsidR="001B4E68" w:rsidRPr="005D3CF3">
        <w:rPr>
          <w:rFonts w:ascii="Arial" w:hAnsi="Arial" w:cs="Arial"/>
          <w:color w:val="222222"/>
          <w:sz w:val="22"/>
          <w:szCs w:val="22"/>
          <w:shd w:val="clear" w:color="auto" w:fill="FFFFFF"/>
        </w:rPr>
        <w:t>Pedrazzoli</w:t>
      </w:r>
      <w:proofErr w:type="spellEnd"/>
      <w:r w:rsidR="001B4E68" w:rsidRPr="005D3CF3">
        <w:rPr>
          <w:rFonts w:ascii="Arial" w:hAnsi="Arial" w:cs="Arial"/>
          <w:color w:val="222222"/>
          <w:sz w:val="22"/>
          <w:szCs w:val="22"/>
          <w:shd w:val="clear" w:color="auto" w:fill="FFFFFF"/>
        </w:rPr>
        <w:t xml:space="preserve"> et al., 2019)</w:t>
      </w:r>
      <w:r w:rsidR="000A53D0" w:rsidRPr="005D3CF3">
        <w:rPr>
          <w:rFonts w:ascii="Arial" w:hAnsi="Arial" w:cs="Arial"/>
          <w:color w:val="252525"/>
          <w:sz w:val="22"/>
          <w:szCs w:val="22"/>
        </w:rPr>
        <w:t xml:space="preserve">. </w:t>
      </w:r>
      <w:r w:rsidRPr="005D3CF3">
        <w:rPr>
          <w:rFonts w:ascii="Arial" w:hAnsi="Arial" w:cs="Arial"/>
          <w:color w:val="252525"/>
          <w:sz w:val="22"/>
          <w:szCs w:val="22"/>
        </w:rPr>
        <w:t xml:space="preserve">Where information is available, it shows that about half of all deaths occur during the first two months of treatment. Societal factors, illness dynamics, and changing demographics all contributed to the rise in fatality rates. People over the age of 80 have a higher mortality rate than those under the age of 15 by a significant margin. </w:t>
      </w:r>
      <w:r w:rsidR="000A53D0" w:rsidRPr="005D3CF3">
        <w:rPr>
          <w:rFonts w:ascii="Arial" w:hAnsi="Arial" w:cs="Arial"/>
          <w:color w:val="252525"/>
          <w:sz w:val="22"/>
          <w:szCs w:val="22"/>
        </w:rPr>
        <w:t>Still, when looking at the ratios of all-cause deaths between TB patients and the general population, children and people of working age had the most deaths than they should have.</w:t>
      </w:r>
    </w:p>
    <w:p w14:paraId="56A27BF2" w14:textId="7D501A5D" w:rsidR="008546C8" w:rsidRPr="005D3CF3" w:rsidRDefault="008546C8" w:rsidP="00B44643">
      <w:pPr>
        <w:pStyle w:val="NormalWeb"/>
        <w:spacing w:line="360" w:lineRule="auto"/>
        <w:jc w:val="both"/>
        <w:rPr>
          <w:rFonts w:ascii="Arial" w:hAnsi="Arial" w:cs="Arial"/>
          <w:color w:val="252525"/>
          <w:sz w:val="22"/>
          <w:szCs w:val="22"/>
        </w:rPr>
      </w:pPr>
      <w:r w:rsidRPr="005D3CF3">
        <w:rPr>
          <w:rFonts w:ascii="Arial" w:hAnsi="Arial" w:cs="Arial"/>
          <w:color w:val="252525"/>
          <w:sz w:val="22"/>
          <w:szCs w:val="22"/>
        </w:rPr>
        <w:t>In 2020, 4,125 people in England will have tested positive for TB, or 7.3% of every 100,000 people</w:t>
      </w:r>
      <w:r w:rsidR="001B4E68" w:rsidRPr="005D3CF3">
        <w:rPr>
          <w:rFonts w:ascii="Arial" w:hAnsi="Arial" w:cs="Arial"/>
          <w:color w:val="252525"/>
          <w:sz w:val="22"/>
          <w:szCs w:val="22"/>
        </w:rPr>
        <w:t xml:space="preserve"> (</w:t>
      </w:r>
      <w:proofErr w:type="spellStart"/>
      <w:r w:rsidR="001B4E68" w:rsidRPr="005D3CF3">
        <w:rPr>
          <w:rFonts w:ascii="Arial" w:hAnsi="Arial" w:cs="Arial"/>
          <w:color w:val="222222"/>
          <w:sz w:val="22"/>
          <w:szCs w:val="22"/>
          <w:shd w:val="clear" w:color="auto" w:fill="FFFFFF"/>
        </w:rPr>
        <w:t>Chavda</w:t>
      </w:r>
      <w:proofErr w:type="spellEnd"/>
      <w:r w:rsidR="001B4E68" w:rsidRPr="005D3CF3">
        <w:rPr>
          <w:rFonts w:ascii="Arial" w:hAnsi="Arial" w:cs="Arial"/>
          <w:color w:val="222222"/>
          <w:sz w:val="22"/>
          <w:szCs w:val="22"/>
          <w:shd w:val="clear" w:color="auto" w:fill="FFFFFF"/>
        </w:rPr>
        <w:t xml:space="preserve">, </w:t>
      </w:r>
      <w:proofErr w:type="spellStart"/>
      <w:r w:rsidR="001B4E68" w:rsidRPr="005D3CF3">
        <w:rPr>
          <w:rFonts w:ascii="Arial" w:hAnsi="Arial" w:cs="Arial"/>
          <w:color w:val="222222"/>
          <w:sz w:val="22"/>
          <w:szCs w:val="22"/>
          <w:shd w:val="clear" w:color="auto" w:fill="FFFFFF"/>
        </w:rPr>
        <w:t>Capstick</w:t>
      </w:r>
      <w:proofErr w:type="spellEnd"/>
      <w:r w:rsidR="001B4E68" w:rsidRPr="005D3CF3">
        <w:rPr>
          <w:rFonts w:ascii="Arial" w:hAnsi="Arial" w:cs="Arial"/>
          <w:color w:val="222222"/>
          <w:sz w:val="22"/>
          <w:szCs w:val="22"/>
          <w:shd w:val="clear" w:color="auto" w:fill="FFFFFF"/>
        </w:rPr>
        <w:t xml:space="preserve"> and Kon, 2023)</w:t>
      </w:r>
      <w:r w:rsidRPr="005D3CF3">
        <w:rPr>
          <w:rFonts w:ascii="Arial" w:hAnsi="Arial" w:cs="Arial"/>
          <w:color w:val="252525"/>
          <w:sz w:val="22"/>
          <w:szCs w:val="22"/>
        </w:rPr>
        <w:t>. This rate decreased by 13.1% from 2019 to 2019, and it is still below the WHO criteria of 10 per 100,000 for a low-incidence nation. Those who were not British citizens made up 72.8% of the 2020 notice requests.</w:t>
      </w:r>
    </w:p>
    <w:p w14:paraId="62DB15B5" w14:textId="1AF7F58C" w:rsidR="00C5100E" w:rsidRPr="005D3CF3" w:rsidRDefault="00C5100E" w:rsidP="00B44643">
      <w:pPr>
        <w:pStyle w:val="NormalWeb"/>
        <w:spacing w:line="360" w:lineRule="auto"/>
        <w:jc w:val="both"/>
        <w:rPr>
          <w:rFonts w:ascii="Arial" w:hAnsi="Arial" w:cs="Arial"/>
          <w:color w:val="252525"/>
          <w:sz w:val="22"/>
          <w:szCs w:val="22"/>
        </w:rPr>
      </w:pPr>
      <w:r w:rsidRPr="005D3CF3">
        <w:rPr>
          <w:rFonts w:ascii="Arial" w:hAnsi="Arial" w:cs="Arial"/>
          <w:color w:val="252525"/>
          <w:sz w:val="22"/>
          <w:szCs w:val="22"/>
        </w:rPr>
        <w:t>In light of the widespread nature of TB, Public Health England and NHS England collaborated to create a strategy</w:t>
      </w:r>
      <w:r w:rsidR="001B4E68" w:rsidRPr="005D3CF3">
        <w:rPr>
          <w:rFonts w:ascii="Arial" w:hAnsi="Arial" w:cs="Arial"/>
          <w:color w:val="252525"/>
          <w:sz w:val="22"/>
          <w:szCs w:val="22"/>
        </w:rPr>
        <w:t xml:space="preserve"> (Public Health England, 2020)</w:t>
      </w:r>
      <w:r w:rsidRPr="005D3CF3">
        <w:rPr>
          <w:rFonts w:ascii="Arial" w:hAnsi="Arial" w:cs="Arial"/>
          <w:color w:val="252525"/>
          <w:sz w:val="22"/>
          <w:szCs w:val="22"/>
        </w:rPr>
        <w:t xml:space="preserve">. The strategy was implemented from 2015 to 2020, in line with WHO’s End TB Strategy. The overall intention of these strategies was to lower the annual number of TB cases, lessen the health inequities caused by TB, and ultimately eliminate TB as a public health concern. Seven multi-agencies oversaw local implementation, while a small national team oversaw execution of the plan. The National TB Delivery Board and National TB </w:t>
      </w:r>
      <w:proofErr w:type="spellStart"/>
      <w:r w:rsidRPr="005D3CF3">
        <w:rPr>
          <w:rFonts w:ascii="Arial" w:hAnsi="Arial" w:cs="Arial"/>
          <w:color w:val="252525"/>
          <w:sz w:val="22"/>
          <w:szCs w:val="22"/>
        </w:rPr>
        <w:t>Programme</w:t>
      </w:r>
      <w:proofErr w:type="spellEnd"/>
      <w:r w:rsidRPr="005D3CF3">
        <w:rPr>
          <w:rFonts w:ascii="Arial" w:hAnsi="Arial" w:cs="Arial"/>
          <w:color w:val="252525"/>
          <w:sz w:val="22"/>
          <w:szCs w:val="22"/>
        </w:rPr>
        <w:t xml:space="preserve"> Board oversaw operations.</w:t>
      </w:r>
    </w:p>
    <w:p w14:paraId="06E309B0" w14:textId="193DFAF5" w:rsidR="00883EDE" w:rsidRPr="005D3CF3" w:rsidRDefault="00364469" w:rsidP="00B44643">
      <w:pPr>
        <w:pStyle w:val="Heading1"/>
        <w:rPr>
          <w:rFonts w:ascii="Arial" w:hAnsi="Arial" w:cs="Arial"/>
          <w:sz w:val="22"/>
          <w:szCs w:val="22"/>
        </w:rPr>
      </w:pPr>
      <w:bookmarkStart w:id="2" w:name="_Toc131636676"/>
      <w:r w:rsidRPr="005D3CF3">
        <w:rPr>
          <w:rFonts w:ascii="Arial" w:hAnsi="Arial" w:cs="Arial"/>
          <w:sz w:val="22"/>
          <w:szCs w:val="22"/>
        </w:rPr>
        <w:lastRenderedPageBreak/>
        <w:t>Strategies to monitor the disease</w:t>
      </w:r>
      <w:bookmarkEnd w:id="2"/>
    </w:p>
    <w:p w14:paraId="4AC59605" w14:textId="7FC5537C" w:rsidR="00C5100E" w:rsidRPr="005D3CF3" w:rsidRDefault="00C5100E" w:rsidP="00B44643">
      <w:pPr>
        <w:pStyle w:val="NormalWeb"/>
        <w:spacing w:line="360" w:lineRule="auto"/>
        <w:jc w:val="both"/>
        <w:rPr>
          <w:rFonts w:ascii="Arial" w:hAnsi="Arial" w:cs="Arial"/>
          <w:color w:val="252525"/>
          <w:sz w:val="22"/>
          <w:szCs w:val="22"/>
        </w:rPr>
      </w:pPr>
      <w:r w:rsidRPr="005D3CF3">
        <w:rPr>
          <w:rFonts w:ascii="Arial" w:hAnsi="Arial" w:cs="Arial"/>
          <w:color w:val="252525"/>
          <w:sz w:val="22"/>
          <w:szCs w:val="22"/>
        </w:rPr>
        <w:t xml:space="preserve">Public Health England provided financing that allowed for the development of a </w:t>
      </w:r>
      <w:r w:rsidR="00385B5E" w:rsidRPr="005D3CF3">
        <w:rPr>
          <w:rFonts w:ascii="Arial" w:hAnsi="Arial" w:cs="Arial"/>
          <w:color w:val="252525"/>
          <w:sz w:val="22"/>
          <w:szCs w:val="22"/>
        </w:rPr>
        <w:t>brand-new</w:t>
      </w:r>
      <w:r w:rsidRPr="005D3CF3">
        <w:rPr>
          <w:rFonts w:ascii="Arial" w:hAnsi="Arial" w:cs="Arial"/>
          <w:color w:val="252525"/>
          <w:sz w:val="22"/>
          <w:szCs w:val="22"/>
        </w:rPr>
        <w:t xml:space="preserve"> TB monitoring system. The NTBS </w:t>
      </w:r>
      <w:r w:rsidR="00385B5E" w:rsidRPr="005D3CF3">
        <w:rPr>
          <w:rFonts w:ascii="Arial" w:hAnsi="Arial" w:cs="Arial"/>
          <w:color w:val="252525"/>
          <w:sz w:val="22"/>
          <w:szCs w:val="22"/>
        </w:rPr>
        <w:t xml:space="preserve">is </w:t>
      </w:r>
      <w:r w:rsidRPr="005D3CF3">
        <w:rPr>
          <w:rFonts w:ascii="Arial" w:hAnsi="Arial" w:cs="Arial"/>
          <w:color w:val="252525"/>
          <w:sz w:val="22"/>
          <w:szCs w:val="22"/>
        </w:rPr>
        <w:t xml:space="preserve">fully operational </w:t>
      </w:r>
      <w:r w:rsidR="00385B5E" w:rsidRPr="005D3CF3">
        <w:rPr>
          <w:rFonts w:ascii="Arial" w:hAnsi="Arial" w:cs="Arial"/>
          <w:color w:val="252525"/>
          <w:sz w:val="22"/>
          <w:szCs w:val="22"/>
        </w:rPr>
        <w:t>since</w:t>
      </w:r>
      <w:r w:rsidRPr="005D3CF3">
        <w:rPr>
          <w:rFonts w:ascii="Arial" w:hAnsi="Arial" w:cs="Arial"/>
          <w:color w:val="252525"/>
          <w:sz w:val="22"/>
          <w:szCs w:val="22"/>
        </w:rPr>
        <w:t xml:space="preserve"> 2021, including direct access for tuberculosis clinics. This will take place. On the occasion of World TB Day in 2015, the Department of Health and Social Care issued TB Strategy Monitoring Indicators in order to assist local governments and CCGs in </w:t>
      </w:r>
      <w:proofErr w:type="spellStart"/>
      <w:r w:rsidRPr="005D3CF3">
        <w:rPr>
          <w:rFonts w:ascii="Arial" w:hAnsi="Arial" w:cs="Arial"/>
          <w:color w:val="252525"/>
          <w:sz w:val="22"/>
          <w:szCs w:val="22"/>
        </w:rPr>
        <w:t>analysing</w:t>
      </w:r>
      <w:proofErr w:type="spellEnd"/>
      <w:r w:rsidRPr="005D3CF3">
        <w:rPr>
          <w:rFonts w:ascii="Arial" w:hAnsi="Arial" w:cs="Arial"/>
          <w:color w:val="252525"/>
          <w:sz w:val="22"/>
          <w:szCs w:val="22"/>
        </w:rPr>
        <w:t xml:space="preserve"> dynamic data</w:t>
      </w:r>
      <w:r w:rsidR="001B4E68" w:rsidRPr="005D3CF3">
        <w:rPr>
          <w:rFonts w:ascii="Arial" w:hAnsi="Arial" w:cs="Arial"/>
          <w:color w:val="252525"/>
          <w:sz w:val="22"/>
          <w:szCs w:val="22"/>
        </w:rPr>
        <w:t xml:space="preserve"> (Public Health England, 2020)</w:t>
      </w:r>
      <w:r w:rsidRPr="005D3CF3">
        <w:rPr>
          <w:rFonts w:ascii="Arial" w:hAnsi="Arial" w:cs="Arial"/>
          <w:color w:val="252525"/>
          <w:sz w:val="22"/>
          <w:szCs w:val="22"/>
        </w:rPr>
        <w:t>.</w:t>
      </w:r>
    </w:p>
    <w:p w14:paraId="4AB0A8BF" w14:textId="28CC6234" w:rsidR="008546C8" w:rsidRPr="005D3CF3" w:rsidRDefault="008546C8" w:rsidP="00B44643">
      <w:pPr>
        <w:pStyle w:val="NormalWeb"/>
        <w:spacing w:line="360" w:lineRule="auto"/>
        <w:jc w:val="both"/>
        <w:rPr>
          <w:rFonts w:ascii="Arial" w:hAnsi="Arial" w:cs="Arial"/>
          <w:color w:val="252525"/>
          <w:sz w:val="22"/>
          <w:szCs w:val="22"/>
        </w:rPr>
      </w:pPr>
      <w:r w:rsidRPr="005D3CF3">
        <w:rPr>
          <w:rFonts w:ascii="Arial" w:hAnsi="Arial" w:cs="Arial"/>
          <w:color w:val="252525"/>
          <w:sz w:val="22"/>
          <w:szCs w:val="22"/>
        </w:rPr>
        <w:t>From 2016 and 2018, the BCG vaccine was in severe shortage across the world</w:t>
      </w:r>
      <w:r w:rsidR="001B4E68" w:rsidRPr="005D3CF3">
        <w:rPr>
          <w:rFonts w:ascii="Arial" w:hAnsi="Arial" w:cs="Arial"/>
          <w:color w:val="252525"/>
          <w:sz w:val="22"/>
          <w:szCs w:val="22"/>
        </w:rPr>
        <w:t xml:space="preserve"> (</w:t>
      </w:r>
      <w:proofErr w:type="spellStart"/>
      <w:r w:rsidR="001B4E68" w:rsidRPr="005D3CF3">
        <w:rPr>
          <w:rFonts w:ascii="Arial" w:hAnsi="Arial" w:cs="Arial"/>
          <w:color w:val="222222"/>
          <w:sz w:val="22"/>
          <w:szCs w:val="22"/>
          <w:shd w:val="clear" w:color="auto" w:fill="FFFFFF"/>
        </w:rPr>
        <w:t>Cernuschi</w:t>
      </w:r>
      <w:proofErr w:type="spellEnd"/>
      <w:r w:rsidR="001B4E68" w:rsidRPr="005D3CF3">
        <w:rPr>
          <w:rFonts w:ascii="Arial" w:hAnsi="Arial" w:cs="Arial"/>
          <w:color w:val="222222"/>
          <w:sz w:val="22"/>
          <w:szCs w:val="22"/>
          <w:shd w:val="clear" w:color="auto" w:fill="FFFFFF"/>
        </w:rPr>
        <w:t xml:space="preserve"> et al., 2018)</w:t>
      </w:r>
      <w:r w:rsidRPr="005D3CF3">
        <w:rPr>
          <w:rFonts w:ascii="Arial" w:hAnsi="Arial" w:cs="Arial"/>
          <w:color w:val="252525"/>
          <w:sz w:val="22"/>
          <w:szCs w:val="22"/>
        </w:rPr>
        <w:t xml:space="preserve">. As soon as AJ Vaccines released its new, UK-approved BCG vaccination, the shortages (formerly known as SSI) stopped. The PowerPoint presentation and accompanying teaching materials were provided by PHE in August 2018 to aid with the administration of the new vaccination. In low-incidence areas, high-risk children are identified and </w:t>
      </w:r>
      <w:proofErr w:type="spellStart"/>
      <w:r w:rsidRPr="005D3CF3">
        <w:rPr>
          <w:rFonts w:ascii="Arial" w:hAnsi="Arial" w:cs="Arial"/>
          <w:color w:val="252525"/>
          <w:sz w:val="22"/>
          <w:szCs w:val="22"/>
        </w:rPr>
        <w:t>immunised</w:t>
      </w:r>
      <w:proofErr w:type="spellEnd"/>
      <w:r w:rsidRPr="005D3CF3">
        <w:rPr>
          <w:rFonts w:ascii="Arial" w:hAnsi="Arial" w:cs="Arial"/>
          <w:color w:val="252525"/>
          <w:sz w:val="22"/>
          <w:szCs w:val="22"/>
        </w:rPr>
        <w:t xml:space="preserve"> thanks to the oversight of a national BCG Board.</w:t>
      </w:r>
    </w:p>
    <w:p w14:paraId="6FF6F2C2" w14:textId="0A48FFF9" w:rsidR="008546C8" w:rsidRPr="005D3CF3" w:rsidRDefault="008546C8" w:rsidP="00B44643">
      <w:pPr>
        <w:pStyle w:val="NormalWeb"/>
        <w:spacing w:line="360" w:lineRule="auto"/>
        <w:jc w:val="both"/>
        <w:rPr>
          <w:rFonts w:ascii="Arial" w:hAnsi="Arial" w:cs="Arial"/>
          <w:color w:val="252525"/>
          <w:sz w:val="22"/>
          <w:szCs w:val="22"/>
        </w:rPr>
      </w:pPr>
      <w:r w:rsidRPr="005D3CF3">
        <w:rPr>
          <w:rFonts w:ascii="Arial" w:hAnsi="Arial" w:cs="Arial"/>
          <w:color w:val="252525"/>
          <w:sz w:val="22"/>
          <w:szCs w:val="22"/>
        </w:rPr>
        <w:t>On the other hand, those with social risk factors were the sole group whose TB cases rose in 2015. The number of TB patients with a social risk factor climbed to 579 cases in 2015 from 539 cases in 2014, representing a 12% rise. Both their mortality rate and access to healthcare are twice as high in this demographic</w:t>
      </w:r>
      <w:r w:rsidR="001B4E68" w:rsidRPr="005D3CF3">
        <w:rPr>
          <w:rFonts w:ascii="Arial" w:hAnsi="Arial" w:cs="Arial"/>
          <w:color w:val="252525"/>
          <w:sz w:val="22"/>
          <w:szCs w:val="22"/>
        </w:rPr>
        <w:t xml:space="preserve"> (</w:t>
      </w:r>
      <w:proofErr w:type="spellStart"/>
      <w:r w:rsidR="001B4E68" w:rsidRPr="005D3CF3">
        <w:rPr>
          <w:rFonts w:ascii="Arial" w:hAnsi="Arial" w:cs="Arial"/>
          <w:color w:val="222222"/>
          <w:sz w:val="22"/>
          <w:szCs w:val="22"/>
          <w:shd w:val="clear" w:color="auto" w:fill="FFFFFF"/>
        </w:rPr>
        <w:t>Cernuschi</w:t>
      </w:r>
      <w:proofErr w:type="spellEnd"/>
      <w:r w:rsidR="001B4E68" w:rsidRPr="005D3CF3">
        <w:rPr>
          <w:rFonts w:ascii="Arial" w:hAnsi="Arial" w:cs="Arial"/>
          <w:color w:val="222222"/>
          <w:sz w:val="22"/>
          <w:szCs w:val="22"/>
          <w:shd w:val="clear" w:color="auto" w:fill="FFFFFF"/>
        </w:rPr>
        <w:t xml:space="preserve"> et al., 2018)</w:t>
      </w:r>
      <w:r w:rsidRPr="005D3CF3">
        <w:rPr>
          <w:rFonts w:ascii="Arial" w:hAnsi="Arial" w:cs="Arial"/>
          <w:color w:val="252525"/>
          <w:sz w:val="22"/>
          <w:szCs w:val="22"/>
        </w:rPr>
        <w:t>.</w:t>
      </w:r>
    </w:p>
    <w:p w14:paraId="385BA1E5" w14:textId="4BDCB282" w:rsidR="00362846" w:rsidRPr="005D3CF3" w:rsidRDefault="00364469" w:rsidP="00B44643">
      <w:pPr>
        <w:pStyle w:val="Heading1"/>
        <w:rPr>
          <w:rFonts w:ascii="Arial" w:hAnsi="Arial" w:cs="Arial"/>
          <w:sz w:val="22"/>
          <w:szCs w:val="22"/>
        </w:rPr>
      </w:pPr>
      <w:bookmarkStart w:id="3" w:name="_Toc131636677"/>
      <w:r w:rsidRPr="005D3CF3">
        <w:rPr>
          <w:rFonts w:ascii="Arial" w:hAnsi="Arial" w:cs="Arial"/>
          <w:sz w:val="22"/>
          <w:szCs w:val="22"/>
        </w:rPr>
        <w:t>Strategies to control the disease</w:t>
      </w:r>
      <w:bookmarkEnd w:id="3"/>
      <w:r w:rsidRPr="005D3CF3">
        <w:rPr>
          <w:rFonts w:ascii="Arial" w:hAnsi="Arial" w:cs="Arial"/>
          <w:sz w:val="22"/>
          <w:szCs w:val="22"/>
        </w:rPr>
        <w:t xml:space="preserve"> </w:t>
      </w:r>
      <w:r w:rsidR="00593A99" w:rsidRPr="005D3CF3">
        <w:rPr>
          <w:rFonts w:ascii="Arial" w:hAnsi="Arial" w:cs="Arial"/>
          <w:sz w:val="22"/>
          <w:szCs w:val="22"/>
        </w:rPr>
        <w:t xml:space="preserve"> </w:t>
      </w:r>
    </w:p>
    <w:p w14:paraId="50EA6786" w14:textId="58AF587E" w:rsidR="008546C8" w:rsidRPr="005D3CF3" w:rsidRDefault="008546C8" w:rsidP="00B44643">
      <w:pPr>
        <w:pStyle w:val="NormalWeb"/>
        <w:spacing w:line="360" w:lineRule="auto"/>
        <w:jc w:val="both"/>
        <w:rPr>
          <w:rFonts w:ascii="Arial" w:hAnsi="Arial" w:cs="Arial"/>
          <w:color w:val="252525"/>
          <w:sz w:val="22"/>
          <w:szCs w:val="22"/>
        </w:rPr>
      </w:pPr>
      <w:r w:rsidRPr="005D3CF3">
        <w:rPr>
          <w:rFonts w:ascii="Arial" w:hAnsi="Arial" w:cs="Arial"/>
          <w:color w:val="252525"/>
          <w:sz w:val="22"/>
          <w:szCs w:val="22"/>
        </w:rPr>
        <w:t>The rate of tuberculosis in England fell by 29 percent in just five years. Th</w:t>
      </w:r>
      <w:r w:rsidR="00385B5E" w:rsidRPr="005D3CF3">
        <w:rPr>
          <w:rFonts w:ascii="Arial" w:hAnsi="Arial" w:cs="Arial"/>
          <w:color w:val="252525"/>
          <w:sz w:val="22"/>
          <w:szCs w:val="22"/>
        </w:rPr>
        <w:t>anks to the</w:t>
      </w:r>
      <w:r w:rsidRPr="005D3CF3">
        <w:rPr>
          <w:rFonts w:ascii="Arial" w:hAnsi="Arial" w:cs="Arial"/>
          <w:color w:val="252525"/>
          <w:sz w:val="22"/>
          <w:szCs w:val="22"/>
        </w:rPr>
        <w:t xml:space="preserve"> effective execution of policy by the UK government </w:t>
      </w:r>
      <w:r w:rsidR="00385B5E" w:rsidRPr="005D3CF3">
        <w:rPr>
          <w:rFonts w:ascii="Arial" w:hAnsi="Arial" w:cs="Arial"/>
          <w:color w:val="252525"/>
          <w:sz w:val="22"/>
          <w:szCs w:val="22"/>
        </w:rPr>
        <w:t>t</w:t>
      </w:r>
      <w:r w:rsidRPr="005D3CF3">
        <w:rPr>
          <w:rFonts w:ascii="Arial" w:hAnsi="Arial" w:cs="Arial"/>
          <w:color w:val="252525"/>
          <w:sz w:val="22"/>
          <w:szCs w:val="22"/>
        </w:rPr>
        <w:t>he death rate dropped from 11.9 per 100,000 in 2014 to 8.4 in 2019</w:t>
      </w:r>
      <w:r w:rsidR="001B4E68" w:rsidRPr="005D3CF3">
        <w:rPr>
          <w:rFonts w:ascii="Arial" w:hAnsi="Arial" w:cs="Arial"/>
          <w:color w:val="252525"/>
          <w:sz w:val="22"/>
          <w:szCs w:val="22"/>
        </w:rPr>
        <w:t xml:space="preserve"> (</w:t>
      </w:r>
      <w:proofErr w:type="spellStart"/>
      <w:r w:rsidR="001B4E68" w:rsidRPr="005D3CF3">
        <w:rPr>
          <w:rFonts w:ascii="Arial" w:hAnsi="Arial" w:cs="Arial"/>
          <w:color w:val="222222"/>
          <w:sz w:val="22"/>
          <w:szCs w:val="22"/>
          <w:shd w:val="clear" w:color="auto" w:fill="FFFFFF"/>
        </w:rPr>
        <w:t>Pedrazzoli</w:t>
      </w:r>
      <w:proofErr w:type="spellEnd"/>
      <w:r w:rsidR="001B4E68" w:rsidRPr="005D3CF3">
        <w:rPr>
          <w:rFonts w:ascii="Arial" w:hAnsi="Arial" w:cs="Arial"/>
          <w:color w:val="222222"/>
          <w:sz w:val="22"/>
          <w:szCs w:val="22"/>
          <w:shd w:val="clear" w:color="auto" w:fill="FFFFFF"/>
        </w:rPr>
        <w:t xml:space="preserve"> et al., 2019)</w:t>
      </w:r>
      <w:r w:rsidRPr="005D3CF3">
        <w:rPr>
          <w:rFonts w:ascii="Arial" w:hAnsi="Arial" w:cs="Arial"/>
          <w:color w:val="252525"/>
          <w:sz w:val="22"/>
          <w:szCs w:val="22"/>
        </w:rPr>
        <w:t>. In contrast, the number of tuberculosis cases in England increased by 2.4% in 2019, the first rise in nine years.</w:t>
      </w:r>
      <w:r w:rsidR="00385B5E" w:rsidRPr="005D3CF3">
        <w:rPr>
          <w:rFonts w:ascii="Arial" w:hAnsi="Arial" w:cs="Arial"/>
          <w:color w:val="252525"/>
          <w:sz w:val="22"/>
          <w:szCs w:val="22"/>
        </w:rPr>
        <w:t xml:space="preserve"> </w:t>
      </w:r>
      <w:r w:rsidRPr="005D3CF3">
        <w:rPr>
          <w:rFonts w:ascii="Arial" w:hAnsi="Arial" w:cs="Arial"/>
          <w:color w:val="252525"/>
          <w:sz w:val="22"/>
          <w:szCs w:val="22"/>
        </w:rPr>
        <w:t xml:space="preserve">Dodd, </w:t>
      </w:r>
      <w:proofErr w:type="spellStart"/>
      <w:r w:rsidRPr="005D3CF3">
        <w:rPr>
          <w:rFonts w:ascii="Arial" w:hAnsi="Arial" w:cs="Arial"/>
          <w:color w:val="252525"/>
          <w:sz w:val="22"/>
          <w:szCs w:val="22"/>
        </w:rPr>
        <w:t>Sismanidis</w:t>
      </w:r>
      <w:proofErr w:type="spellEnd"/>
      <w:r w:rsidRPr="005D3CF3">
        <w:rPr>
          <w:rFonts w:ascii="Arial" w:hAnsi="Arial" w:cs="Arial"/>
          <w:color w:val="252525"/>
          <w:sz w:val="22"/>
          <w:szCs w:val="22"/>
        </w:rPr>
        <w:t xml:space="preserve">, and </w:t>
      </w:r>
      <w:proofErr w:type="spellStart"/>
      <w:r w:rsidRPr="005D3CF3">
        <w:rPr>
          <w:rFonts w:ascii="Arial" w:hAnsi="Arial" w:cs="Arial"/>
          <w:color w:val="252525"/>
          <w:sz w:val="22"/>
          <w:szCs w:val="22"/>
        </w:rPr>
        <w:t>Glaziou</w:t>
      </w:r>
      <w:proofErr w:type="spellEnd"/>
      <w:r w:rsidRPr="005D3CF3">
        <w:rPr>
          <w:rFonts w:ascii="Arial" w:hAnsi="Arial" w:cs="Arial"/>
          <w:color w:val="252525"/>
          <w:sz w:val="22"/>
          <w:szCs w:val="22"/>
        </w:rPr>
        <w:t xml:space="preserve"> (2021) conducted an epidemiological study to determine what factors led to the recent decline in tuberculosis notification rates. This decline was attributed to four key factors: better TB care, fewer immigrants from countries with a high TB incidence, the successful immigrant pre-entry screening scheme, and the early impacts of detecting and treating patients with latent TB infections. Our results imply that in order to reverse the trend of TB notifications, focused screening, efficient management, and early identification and treatment are essential.</w:t>
      </w:r>
    </w:p>
    <w:p w14:paraId="4B924EF4" w14:textId="77777777" w:rsidR="008546C8" w:rsidRPr="005D3CF3" w:rsidRDefault="008546C8" w:rsidP="00B44643">
      <w:pPr>
        <w:pStyle w:val="NormalWeb"/>
        <w:spacing w:line="360" w:lineRule="auto"/>
        <w:jc w:val="both"/>
        <w:rPr>
          <w:rFonts w:ascii="Arial" w:hAnsi="Arial" w:cs="Arial"/>
          <w:color w:val="252525"/>
          <w:sz w:val="22"/>
          <w:szCs w:val="22"/>
        </w:rPr>
      </w:pPr>
      <w:r w:rsidRPr="005D3CF3">
        <w:rPr>
          <w:rFonts w:ascii="Arial" w:hAnsi="Arial" w:cs="Arial"/>
          <w:color w:val="252525"/>
          <w:sz w:val="22"/>
          <w:szCs w:val="22"/>
        </w:rPr>
        <w:t xml:space="preserve">These factors have led to a drop in TB rates across almost all subpopulations, and they are now almost at eradication levels among the UK's non-foreign-born population. This tendency has also been seen in other high-income countries. TB may be acquired anywhere and quickly "exported" </w:t>
      </w:r>
      <w:r w:rsidRPr="005D3CF3">
        <w:rPr>
          <w:rFonts w:ascii="Arial" w:hAnsi="Arial" w:cs="Arial"/>
          <w:color w:val="252525"/>
          <w:sz w:val="22"/>
          <w:szCs w:val="22"/>
        </w:rPr>
        <w:lastRenderedPageBreak/>
        <w:t xml:space="preserve">internationally in the modern, </w:t>
      </w:r>
      <w:proofErr w:type="spellStart"/>
      <w:r w:rsidRPr="005D3CF3">
        <w:rPr>
          <w:rFonts w:ascii="Arial" w:hAnsi="Arial" w:cs="Arial"/>
          <w:color w:val="252525"/>
          <w:sz w:val="22"/>
          <w:szCs w:val="22"/>
        </w:rPr>
        <w:t>globalised</w:t>
      </w:r>
      <w:proofErr w:type="spellEnd"/>
      <w:r w:rsidRPr="005D3CF3">
        <w:rPr>
          <w:rFonts w:ascii="Arial" w:hAnsi="Arial" w:cs="Arial"/>
          <w:color w:val="252525"/>
          <w:sz w:val="22"/>
          <w:szCs w:val="22"/>
        </w:rPr>
        <w:t xml:space="preserve"> world where there are fewer national borders and more practical and rapid travel options. Future progress towards eradication in low-incidence nations will likely depend heavily on how well global </w:t>
      </w:r>
      <w:proofErr w:type="spellStart"/>
      <w:r w:rsidRPr="005D3CF3">
        <w:rPr>
          <w:rFonts w:ascii="Arial" w:hAnsi="Arial" w:cs="Arial"/>
          <w:color w:val="252525"/>
          <w:sz w:val="22"/>
          <w:szCs w:val="22"/>
        </w:rPr>
        <w:t>programmes</w:t>
      </w:r>
      <w:proofErr w:type="spellEnd"/>
      <w:r w:rsidRPr="005D3CF3">
        <w:rPr>
          <w:rFonts w:ascii="Arial" w:hAnsi="Arial" w:cs="Arial"/>
          <w:color w:val="252525"/>
          <w:sz w:val="22"/>
          <w:szCs w:val="22"/>
        </w:rPr>
        <w:t xml:space="preserve"> to treat, control, and prevent TB work.</w:t>
      </w:r>
    </w:p>
    <w:p w14:paraId="60655086" w14:textId="5B2465C5" w:rsidR="00487761" w:rsidRPr="005D3CF3" w:rsidRDefault="008546C8" w:rsidP="00B44643">
      <w:pPr>
        <w:pStyle w:val="NormalWeb"/>
        <w:spacing w:line="360" w:lineRule="auto"/>
        <w:jc w:val="both"/>
        <w:rPr>
          <w:rFonts w:ascii="Arial" w:hAnsi="Arial" w:cs="Arial"/>
          <w:color w:val="252525"/>
          <w:sz w:val="22"/>
          <w:szCs w:val="22"/>
        </w:rPr>
      </w:pPr>
      <w:r w:rsidRPr="005D3CF3">
        <w:rPr>
          <w:rFonts w:ascii="Arial" w:hAnsi="Arial" w:cs="Arial"/>
          <w:color w:val="252525"/>
          <w:sz w:val="22"/>
          <w:szCs w:val="22"/>
        </w:rPr>
        <w:t xml:space="preserve">Indeed, complacency is one of the biggest threats facing public health professionals and everyone else involved in anti-TB initiatives. The decline in TB incidence in the UK might be the cause of the decreased visibility. </w:t>
      </w:r>
      <w:r w:rsidR="00487761" w:rsidRPr="005D3CF3">
        <w:rPr>
          <w:rFonts w:ascii="Arial" w:hAnsi="Arial" w:cs="Arial"/>
          <w:color w:val="252525"/>
          <w:sz w:val="22"/>
          <w:szCs w:val="22"/>
        </w:rPr>
        <w:t xml:space="preserve">In the last decades of the 20th century, when treatment </w:t>
      </w:r>
      <w:proofErr w:type="spellStart"/>
      <w:r w:rsidR="00487761" w:rsidRPr="005D3CF3">
        <w:rPr>
          <w:rFonts w:ascii="Arial" w:hAnsi="Arial" w:cs="Arial"/>
          <w:color w:val="252525"/>
          <w:sz w:val="22"/>
          <w:szCs w:val="22"/>
        </w:rPr>
        <w:t>programmes</w:t>
      </w:r>
      <w:proofErr w:type="spellEnd"/>
      <w:r w:rsidR="00487761" w:rsidRPr="005D3CF3">
        <w:rPr>
          <w:rFonts w:ascii="Arial" w:hAnsi="Arial" w:cs="Arial"/>
          <w:color w:val="252525"/>
          <w:sz w:val="22"/>
          <w:szCs w:val="22"/>
        </w:rPr>
        <w:t xml:space="preserve"> worked well, many people thought that the war against TB, which had been going on for hundreds of years, was over</w:t>
      </w:r>
      <w:r w:rsidR="001B4E68" w:rsidRPr="005D3CF3">
        <w:rPr>
          <w:rFonts w:ascii="Arial" w:hAnsi="Arial" w:cs="Arial"/>
          <w:color w:val="252525"/>
          <w:sz w:val="22"/>
          <w:szCs w:val="22"/>
        </w:rPr>
        <w:t xml:space="preserve"> (Public Health England, 2020)</w:t>
      </w:r>
      <w:r w:rsidR="00487761" w:rsidRPr="005D3CF3">
        <w:rPr>
          <w:rFonts w:ascii="Arial" w:hAnsi="Arial" w:cs="Arial"/>
          <w:color w:val="252525"/>
          <w:sz w:val="22"/>
          <w:szCs w:val="22"/>
        </w:rPr>
        <w:t>.</w:t>
      </w:r>
    </w:p>
    <w:p w14:paraId="50A78C7A" w14:textId="77777777" w:rsidR="00CD473F" w:rsidRPr="005D3CF3" w:rsidRDefault="00CD473F" w:rsidP="00B44643">
      <w:pPr>
        <w:pStyle w:val="Heading1"/>
        <w:rPr>
          <w:rFonts w:ascii="Arial" w:hAnsi="Arial" w:cs="Arial"/>
          <w:sz w:val="22"/>
          <w:szCs w:val="22"/>
        </w:rPr>
      </w:pPr>
      <w:bookmarkStart w:id="4" w:name="_Toc131636678"/>
      <w:r w:rsidRPr="005D3CF3">
        <w:rPr>
          <w:rFonts w:ascii="Arial" w:hAnsi="Arial" w:cs="Arial"/>
          <w:sz w:val="22"/>
          <w:szCs w:val="22"/>
        </w:rPr>
        <w:t>Conclusion</w:t>
      </w:r>
      <w:bookmarkEnd w:id="4"/>
    </w:p>
    <w:p w14:paraId="0E71CF8A" w14:textId="5DEDE7D7" w:rsidR="00EE7737" w:rsidRPr="005D3CF3" w:rsidRDefault="008546C8" w:rsidP="00B44643">
      <w:pPr>
        <w:rPr>
          <w:rFonts w:ascii="Arial" w:hAnsi="Arial" w:cs="Arial"/>
          <w:sz w:val="22"/>
        </w:rPr>
      </w:pPr>
      <w:r w:rsidRPr="005D3CF3">
        <w:rPr>
          <w:rFonts w:ascii="Arial" w:hAnsi="Arial" w:cs="Arial"/>
          <w:sz w:val="22"/>
        </w:rPr>
        <w:t xml:space="preserve">The paper highlights the measures, monitoring, and control techniques implemented by the UK government for tuberculosis (TB), and compares these efforts to those of other nations. </w:t>
      </w:r>
      <w:r w:rsidR="00327F1D" w:rsidRPr="005D3CF3">
        <w:rPr>
          <w:rFonts w:ascii="Arial" w:hAnsi="Arial" w:cs="Arial"/>
          <w:sz w:val="22"/>
        </w:rPr>
        <w:t>Collaboration among key stakeholders is recommended, and measures to improve TB management include providing better information to health professionals and at-risk groups, ensuring early diagnosis and treatment of TB, and promoting testing and treatment of newly admitted individuals. These measures aim to reduce the impact of TB on public health in the UK.</w:t>
      </w:r>
      <w:r w:rsidR="00EE7737" w:rsidRPr="005D3CF3">
        <w:rPr>
          <w:rFonts w:ascii="Arial" w:hAnsi="Arial" w:cs="Arial"/>
          <w:sz w:val="22"/>
        </w:rPr>
        <w:br w:type="page"/>
      </w:r>
    </w:p>
    <w:p w14:paraId="3F339402" w14:textId="77777777" w:rsidR="00CD473F" w:rsidRPr="005D3CF3" w:rsidRDefault="002A64AA" w:rsidP="00B44643">
      <w:pPr>
        <w:pStyle w:val="Heading1"/>
        <w:rPr>
          <w:rFonts w:ascii="Arial" w:hAnsi="Arial" w:cs="Arial"/>
          <w:sz w:val="22"/>
          <w:szCs w:val="22"/>
        </w:rPr>
      </w:pPr>
      <w:bookmarkStart w:id="5" w:name="_Toc131636679"/>
      <w:r w:rsidRPr="005D3CF3">
        <w:rPr>
          <w:rFonts w:ascii="Arial" w:hAnsi="Arial" w:cs="Arial"/>
          <w:sz w:val="22"/>
          <w:szCs w:val="22"/>
        </w:rPr>
        <w:lastRenderedPageBreak/>
        <w:t>Reference</w:t>
      </w:r>
      <w:bookmarkEnd w:id="5"/>
    </w:p>
    <w:p w14:paraId="1A8A8BF0" w14:textId="77777777" w:rsidR="004E1DBC" w:rsidRPr="005D3CF3" w:rsidRDefault="004E1DBC" w:rsidP="00B44643">
      <w:pPr>
        <w:rPr>
          <w:rFonts w:ascii="Arial" w:hAnsi="Arial" w:cs="Arial"/>
          <w:sz w:val="22"/>
          <w:shd w:val="clear" w:color="auto" w:fill="FFFFFF"/>
        </w:rPr>
      </w:pPr>
      <w:proofErr w:type="spellStart"/>
      <w:r w:rsidRPr="005D3CF3">
        <w:rPr>
          <w:rFonts w:ascii="Arial" w:hAnsi="Arial" w:cs="Arial"/>
          <w:color w:val="222222"/>
          <w:sz w:val="22"/>
          <w:shd w:val="clear" w:color="auto" w:fill="FFFFFF"/>
        </w:rPr>
        <w:t>Cernuschi</w:t>
      </w:r>
      <w:proofErr w:type="spellEnd"/>
      <w:r w:rsidRPr="005D3CF3">
        <w:rPr>
          <w:rFonts w:ascii="Arial" w:hAnsi="Arial" w:cs="Arial"/>
          <w:color w:val="222222"/>
          <w:sz w:val="22"/>
          <w:shd w:val="clear" w:color="auto" w:fill="FFFFFF"/>
        </w:rPr>
        <w:t xml:space="preserve">, T., </w:t>
      </w:r>
      <w:proofErr w:type="spellStart"/>
      <w:r w:rsidRPr="005D3CF3">
        <w:rPr>
          <w:rFonts w:ascii="Arial" w:hAnsi="Arial" w:cs="Arial"/>
          <w:color w:val="222222"/>
          <w:sz w:val="22"/>
          <w:shd w:val="clear" w:color="auto" w:fill="FFFFFF"/>
        </w:rPr>
        <w:t>Malvolti</w:t>
      </w:r>
      <w:proofErr w:type="spellEnd"/>
      <w:r w:rsidRPr="005D3CF3">
        <w:rPr>
          <w:rFonts w:ascii="Arial" w:hAnsi="Arial" w:cs="Arial"/>
          <w:color w:val="222222"/>
          <w:sz w:val="22"/>
          <w:shd w:val="clear" w:color="auto" w:fill="FFFFFF"/>
        </w:rPr>
        <w:t xml:space="preserve">, S., Nickels, E. and </w:t>
      </w:r>
      <w:proofErr w:type="spellStart"/>
      <w:r w:rsidRPr="005D3CF3">
        <w:rPr>
          <w:rFonts w:ascii="Arial" w:hAnsi="Arial" w:cs="Arial"/>
          <w:color w:val="222222"/>
          <w:sz w:val="22"/>
          <w:shd w:val="clear" w:color="auto" w:fill="FFFFFF"/>
        </w:rPr>
        <w:t>Friede</w:t>
      </w:r>
      <w:proofErr w:type="spellEnd"/>
      <w:r w:rsidRPr="005D3CF3">
        <w:rPr>
          <w:rFonts w:ascii="Arial" w:hAnsi="Arial" w:cs="Arial"/>
          <w:color w:val="222222"/>
          <w:sz w:val="22"/>
          <w:shd w:val="clear" w:color="auto" w:fill="FFFFFF"/>
        </w:rPr>
        <w:t>, M., (2018). Bacillus Calmette-</w:t>
      </w:r>
      <w:proofErr w:type="spellStart"/>
      <w:r w:rsidRPr="005D3CF3">
        <w:rPr>
          <w:rFonts w:ascii="Arial" w:hAnsi="Arial" w:cs="Arial"/>
          <w:color w:val="222222"/>
          <w:sz w:val="22"/>
          <w:shd w:val="clear" w:color="auto" w:fill="FFFFFF"/>
        </w:rPr>
        <w:t>Guérin</w:t>
      </w:r>
      <w:proofErr w:type="spellEnd"/>
      <w:r w:rsidRPr="005D3CF3">
        <w:rPr>
          <w:rFonts w:ascii="Arial" w:hAnsi="Arial" w:cs="Arial"/>
          <w:color w:val="222222"/>
          <w:sz w:val="22"/>
          <w:shd w:val="clear" w:color="auto" w:fill="FFFFFF"/>
        </w:rPr>
        <w:t xml:space="preserve"> (BCG) vaccine: a global assessment of demand and supply balance. </w:t>
      </w:r>
      <w:r w:rsidRPr="005D3CF3">
        <w:rPr>
          <w:rFonts w:ascii="Arial" w:hAnsi="Arial" w:cs="Arial"/>
          <w:i/>
          <w:iCs/>
          <w:color w:val="222222"/>
          <w:sz w:val="22"/>
          <w:shd w:val="clear" w:color="auto" w:fill="FFFFFF"/>
        </w:rPr>
        <w:t>Vaccine</w:t>
      </w:r>
      <w:r w:rsidRPr="005D3CF3">
        <w:rPr>
          <w:rFonts w:ascii="Arial" w:hAnsi="Arial" w:cs="Arial"/>
          <w:color w:val="222222"/>
          <w:sz w:val="22"/>
          <w:shd w:val="clear" w:color="auto" w:fill="FFFFFF"/>
        </w:rPr>
        <w:t>, </w:t>
      </w:r>
      <w:r w:rsidRPr="005D3CF3">
        <w:rPr>
          <w:rFonts w:ascii="Arial" w:hAnsi="Arial" w:cs="Arial"/>
          <w:i/>
          <w:iCs/>
          <w:color w:val="222222"/>
          <w:sz w:val="22"/>
          <w:shd w:val="clear" w:color="auto" w:fill="FFFFFF"/>
        </w:rPr>
        <w:t>36</w:t>
      </w:r>
      <w:r w:rsidRPr="005D3CF3">
        <w:rPr>
          <w:rFonts w:ascii="Arial" w:hAnsi="Arial" w:cs="Arial"/>
          <w:color w:val="222222"/>
          <w:sz w:val="22"/>
          <w:shd w:val="clear" w:color="auto" w:fill="FFFFFF"/>
        </w:rPr>
        <w:t>(4), pp.498-506.</w:t>
      </w:r>
    </w:p>
    <w:p w14:paraId="50272CCF" w14:textId="77777777" w:rsidR="004E1DBC" w:rsidRPr="005D3CF3" w:rsidRDefault="004E1DBC" w:rsidP="00B44643">
      <w:pPr>
        <w:rPr>
          <w:rFonts w:ascii="Arial" w:hAnsi="Arial" w:cs="Arial"/>
          <w:color w:val="222222"/>
          <w:sz w:val="22"/>
          <w:shd w:val="clear" w:color="auto" w:fill="FFFFFF"/>
        </w:rPr>
      </w:pPr>
      <w:proofErr w:type="spellStart"/>
      <w:r w:rsidRPr="005D3CF3">
        <w:rPr>
          <w:rFonts w:ascii="Arial" w:hAnsi="Arial" w:cs="Arial"/>
          <w:color w:val="222222"/>
          <w:sz w:val="22"/>
          <w:shd w:val="clear" w:color="auto" w:fill="FFFFFF"/>
        </w:rPr>
        <w:t>Chavda</w:t>
      </w:r>
      <w:proofErr w:type="spellEnd"/>
      <w:r w:rsidRPr="005D3CF3">
        <w:rPr>
          <w:rFonts w:ascii="Arial" w:hAnsi="Arial" w:cs="Arial"/>
          <w:color w:val="222222"/>
          <w:sz w:val="22"/>
          <w:shd w:val="clear" w:color="auto" w:fill="FFFFFF"/>
        </w:rPr>
        <w:t xml:space="preserve">, A., </w:t>
      </w:r>
      <w:proofErr w:type="spellStart"/>
      <w:r w:rsidRPr="005D3CF3">
        <w:rPr>
          <w:rFonts w:ascii="Arial" w:hAnsi="Arial" w:cs="Arial"/>
          <w:color w:val="222222"/>
          <w:sz w:val="22"/>
          <w:shd w:val="clear" w:color="auto" w:fill="FFFFFF"/>
        </w:rPr>
        <w:t>Capstick</w:t>
      </w:r>
      <w:proofErr w:type="spellEnd"/>
      <w:r w:rsidRPr="005D3CF3">
        <w:rPr>
          <w:rFonts w:ascii="Arial" w:hAnsi="Arial" w:cs="Arial"/>
          <w:color w:val="222222"/>
          <w:sz w:val="22"/>
          <w:shd w:val="clear" w:color="auto" w:fill="FFFFFF"/>
        </w:rPr>
        <w:t>, T.G. and Kon, O.M., (2023). Managing patients with tuberculosis in primary care. </w:t>
      </w:r>
      <w:r w:rsidRPr="005D3CF3">
        <w:rPr>
          <w:rFonts w:ascii="Arial" w:hAnsi="Arial" w:cs="Arial"/>
          <w:i/>
          <w:iCs/>
          <w:color w:val="222222"/>
          <w:sz w:val="22"/>
          <w:shd w:val="clear" w:color="auto" w:fill="FFFFFF"/>
        </w:rPr>
        <w:t>Prescriber</w:t>
      </w:r>
      <w:r w:rsidRPr="005D3CF3">
        <w:rPr>
          <w:rFonts w:ascii="Arial" w:hAnsi="Arial" w:cs="Arial"/>
          <w:color w:val="222222"/>
          <w:sz w:val="22"/>
          <w:shd w:val="clear" w:color="auto" w:fill="FFFFFF"/>
        </w:rPr>
        <w:t>, </w:t>
      </w:r>
      <w:r w:rsidRPr="005D3CF3">
        <w:rPr>
          <w:rFonts w:ascii="Arial" w:hAnsi="Arial" w:cs="Arial"/>
          <w:i/>
          <w:iCs/>
          <w:color w:val="222222"/>
          <w:sz w:val="22"/>
          <w:shd w:val="clear" w:color="auto" w:fill="FFFFFF"/>
        </w:rPr>
        <w:t>34</w:t>
      </w:r>
      <w:r w:rsidRPr="005D3CF3">
        <w:rPr>
          <w:rFonts w:ascii="Arial" w:hAnsi="Arial" w:cs="Arial"/>
          <w:color w:val="222222"/>
          <w:sz w:val="22"/>
          <w:shd w:val="clear" w:color="auto" w:fill="FFFFFF"/>
        </w:rPr>
        <w:t>(2), pp.9-14.</w:t>
      </w:r>
    </w:p>
    <w:p w14:paraId="09EEEB00" w14:textId="77777777" w:rsidR="004E1DBC" w:rsidRPr="005D3CF3" w:rsidRDefault="004E1DBC" w:rsidP="00B44643">
      <w:pPr>
        <w:rPr>
          <w:rFonts w:ascii="Arial" w:hAnsi="Arial" w:cs="Arial"/>
          <w:sz w:val="22"/>
          <w:shd w:val="clear" w:color="auto" w:fill="FFFFFF"/>
        </w:rPr>
      </w:pPr>
      <w:r w:rsidRPr="005D3CF3">
        <w:rPr>
          <w:rFonts w:ascii="Arial" w:hAnsi="Arial" w:cs="Arial"/>
          <w:sz w:val="22"/>
          <w:shd w:val="clear" w:color="auto" w:fill="FFFFFF"/>
        </w:rPr>
        <w:t xml:space="preserve">Dodd, P.J., </w:t>
      </w:r>
      <w:proofErr w:type="spellStart"/>
      <w:r w:rsidRPr="005D3CF3">
        <w:rPr>
          <w:rFonts w:ascii="Arial" w:hAnsi="Arial" w:cs="Arial"/>
          <w:sz w:val="22"/>
          <w:shd w:val="clear" w:color="auto" w:fill="FFFFFF"/>
        </w:rPr>
        <w:t>Sismanidis</w:t>
      </w:r>
      <w:proofErr w:type="spellEnd"/>
      <w:r w:rsidRPr="005D3CF3">
        <w:rPr>
          <w:rFonts w:ascii="Arial" w:hAnsi="Arial" w:cs="Arial"/>
          <w:sz w:val="22"/>
          <w:shd w:val="clear" w:color="auto" w:fill="FFFFFF"/>
        </w:rPr>
        <w:t xml:space="preserve">, C. and </w:t>
      </w:r>
      <w:proofErr w:type="spellStart"/>
      <w:r w:rsidRPr="005D3CF3">
        <w:rPr>
          <w:rFonts w:ascii="Arial" w:hAnsi="Arial" w:cs="Arial"/>
          <w:sz w:val="22"/>
          <w:shd w:val="clear" w:color="auto" w:fill="FFFFFF"/>
        </w:rPr>
        <w:t>Glaziou</w:t>
      </w:r>
      <w:proofErr w:type="spellEnd"/>
      <w:r w:rsidRPr="005D3CF3">
        <w:rPr>
          <w:rFonts w:ascii="Arial" w:hAnsi="Arial" w:cs="Arial"/>
          <w:sz w:val="22"/>
          <w:shd w:val="clear" w:color="auto" w:fill="FFFFFF"/>
        </w:rPr>
        <w:t>, P. (2021) Methods for estimating tuberculosis incidence and mortality by age and sex. </w:t>
      </w:r>
      <w:r w:rsidRPr="005D3CF3">
        <w:rPr>
          <w:rFonts w:ascii="Arial" w:hAnsi="Arial" w:cs="Arial"/>
          <w:i/>
          <w:iCs/>
          <w:sz w:val="22"/>
          <w:shd w:val="clear" w:color="auto" w:fill="FFFFFF"/>
        </w:rPr>
        <w:t>International Journal of Epidemiology</w:t>
      </w:r>
      <w:r w:rsidRPr="005D3CF3">
        <w:rPr>
          <w:rFonts w:ascii="Arial" w:hAnsi="Arial" w:cs="Arial"/>
          <w:sz w:val="22"/>
          <w:shd w:val="clear" w:color="auto" w:fill="FFFFFF"/>
        </w:rPr>
        <w:t>, </w:t>
      </w:r>
      <w:r w:rsidRPr="005D3CF3">
        <w:rPr>
          <w:rFonts w:ascii="Arial" w:hAnsi="Arial" w:cs="Arial"/>
          <w:i/>
          <w:iCs/>
          <w:sz w:val="22"/>
          <w:shd w:val="clear" w:color="auto" w:fill="FFFFFF"/>
        </w:rPr>
        <w:t>50</w:t>
      </w:r>
      <w:r w:rsidRPr="005D3CF3">
        <w:rPr>
          <w:rFonts w:ascii="Arial" w:hAnsi="Arial" w:cs="Arial"/>
          <w:sz w:val="22"/>
          <w:shd w:val="clear" w:color="auto" w:fill="FFFFFF"/>
        </w:rPr>
        <w:t>(2), pp.570-577.</w:t>
      </w:r>
    </w:p>
    <w:p w14:paraId="2DBA24C2" w14:textId="77777777" w:rsidR="004E1DBC" w:rsidRPr="005D3CF3" w:rsidRDefault="004E1DBC" w:rsidP="00B44643">
      <w:pPr>
        <w:rPr>
          <w:rFonts w:ascii="Arial" w:hAnsi="Arial" w:cs="Arial"/>
          <w:color w:val="222222"/>
          <w:sz w:val="22"/>
          <w:shd w:val="clear" w:color="auto" w:fill="FFFFFF"/>
        </w:rPr>
      </w:pPr>
      <w:proofErr w:type="spellStart"/>
      <w:r w:rsidRPr="005D3CF3">
        <w:rPr>
          <w:rFonts w:ascii="Arial" w:hAnsi="Arial" w:cs="Arial"/>
          <w:color w:val="222222"/>
          <w:sz w:val="22"/>
          <w:shd w:val="clear" w:color="auto" w:fill="FFFFFF"/>
        </w:rPr>
        <w:t>Pedrazzoli</w:t>
      </w:r>
      <w:proofErr w:type="spellEnd"/>
      <w:r w:rsidRPr="005D3CF3">
        <w:rPr>
          <w:rFonts w:ascii="Arial" w:hAnsi="Arial" w:cs="Arial"/>
          <w:color w:val="222222"/>
          <w:sz w:val="22"/>
          <w:shd w:val="clear" w:color="auto" w:fill="FFFFFF"/>
        </w:rPr>
        <w:t xml:space="preserve">, D., </w:t>
      </w:r>
      <w:proofErr w:type="spellStart"/>
      <w:r w:rsidRPr="005D3CF3">
        <w:rPr>
          <w:rFonts w:ascii="Arial" w:hAnsi="Arial" w:cs="Arial"/>
          <w:color w:val="222222"/>
          <w:sz w:val="22"/>
          <w:shd w:val="clear" w:color="auto" w:fill="FFFFFF"/>
        </w:rPr>
        <w:t>Kranzer</w:t>
      </w:r>
      <w:proofErr w:type="spellEnd"/>
      <w:r w:rsidRPr="005D3CF3">
        <w:rPr>
          <w:rFonts w:ascii="Arial" w:hAnsi="Arial" w:cs="Arial"/>
          <w:color w:val="222222"/>
          <w:sz w:val="22"/>
          <w:shd w:val="clear" w:color="auto" w:fill="FFFFFF"/>
        </w:rPr>
        <w:t>, K., Thomas, H.L. and Lalor, M.K., (2019). Trends and risk factors for death and excess all-cause mortality among notified tuberculosis patients in the UK: an analysis of surveillance data. </w:t>
      </w:r>
      <w:r w:rsidRPr="005D3CF3">
        <w:rPr>
          <w:rFonts w:ascii="Arial" w:hAnsi="Arial" w:cs="Arial"/>
          <w:i/>
          <w:iCs/>
          <w:color w:val="222222"/>
          <w:sz w:val="22"/>
          <w:shd w:val="clear" w:color="auto" w:fill="FFFFFF"/>
        </w:rPr>
        <w:t>ERJ Open Research</w:t>
      </w:r>
      <w:r w:rsidRPr="005D3CF3">
        <w:rPr>
          <w:rFonts w:ascii="Arial" w:hAnsi="Arial" w:cs="Arial"/>
          <w:color w:val="222222"/>
          <w:sz w:val="22"/>
          <w:shd w:val="clear" w:color="auto" w:fill="FFFFFF"/>
        </w:rPr>
        <w:t>, </w:t>
      </w:r>
      <w:r w:rsidRPr="005D3CF3">
        <w:rPr>
          <w:rFonts w:ascii="Arial" w:hAnsi="Arial" w:cs="Arial"/>
          <w:i/>
          <w:iCs/>
          <w:color w:val="222222"/>
          <w:sz w:val="22"/>
          <w:shd w:val="clear" w:color="auto" w:fill="FFFFFF"/>
        </w:rPr>
        <w:t>5</w:t>
      </w:r>
      <w:r w:rsidRPr="005D3CF3">
        <w:rPr>
          <w:rFonts w:ascii="Arial" w:hAnsi="Arial" w:cs="Arial"/>
          <w:color w:val="222222"/>
          <w:sz w:val="22"/>
          <w:shd w:val="clear" w:color="auto" w:fill="FFFFFF"/>
        </w:rPr>
        <w:t>(4).</w:t>
      </w:r>
    </w:p>
    <w:p w14:paraId="5921046F" w14:textId="47C2C839" w:rsidR="004E1DBC" w:rsidRPr="005D3CF3" w:rsidRDefault="004E1DBC" w:rsidP="00B44643">
      <w:pPr>
        <w:rPr>
          <w:rFonts w:ascii="Arial" w:hAnsi="Arial" w:cs="Arial"/>
          <w:sz w:val="22"/>
          <w:shd w:val="clear" w:color="auto" w:fill="FFFFFF"/>
        </w:rPr>
      </w:pPr>
      <w:r w:rsidRPr="005D3CF3">
        <w:rPr>
          <w:rFonts w:ascii="Arial" w:hAnsi="Arial" w:cs="Arial"/>
          <w:sz w:val="22"/>
          <w:shd w:val="clear" w:color="auto" w:fill="FFFFFF"/>
        </w:rPr>
        <w:t xml:space="preserve">Public Health England. (2020) </w:t>
      </w:r>
      <w:r w:rsidRPr="005D3CF3">
        <w:rPr>
          <w:rFonts w:ascii="Arial" w:hAnsi="Arial" w:cs="Arial"/>
          <w:i/>
          <w:sz w:val="22"/>
          <w:shd w:val="clear" w:color="auto" w:fill="FFFFFF"/>
        </w:rPr>
        <w:t>Collaborative TB strategy for England, 2015 to 2020: End of programme report</w:t>
      </w:r>
      <w:r w:rsidRPr="005D3CF3">
        <w:rPr>
          <w:rFonts w:ascii="Arial" w:hAnsi="Arial" w:cs="Arial"/>
          <w:sz w:val="22"/>
          <w:shd w:val="clear" w:color="auto" w:fill="FFFFFF"/>
        </w:rPr>
        <w:t xml:space="preserve">. [online] gov.uk. Available at: </w:t>
      </w:r>
      <w:hyperlink r:id="rId8" w:history="1">
        <w:r w:rsidRPr="005D3CF3">
          <w:rPr>
            <w:rStyle w:val="Hyperlink"/>
            <w:rFonts w:ascii="Arial" w:hAnsi="Arial" w:cs="Arial"/>
            <w:sz w:val="22"/>
            <w:shd w:val="clear" w:color="auto" w:fill="FFFFFF"/>
          </w:rPr>
          <w:t>https://assets.publishing.service.gov.uk/government/uploads/system/uploads/attachment_data/file/971925/Collaborative_TB_Strategy_for_England_2015-2020_End_of_Programme_Report.pdf?cv=1</w:t>
        </w:r>
      </w:hyperlink>
      <w:r w:rsidRPr="005D3CF3">
        <w:rPr>
          <w:rFonts w:ascii="Arial" w:hAnsi="Arial" w:cs="Arial"/>
          <w:sz w:val="22"/>
          <w:shd w:val="clear" w:color="auto" w:fill="FFFFFF"/>
        </w:rPr>
        <w:t xml:space="preserve"> [Accessed 2</w:t>
      </w:r>
      <w:r w:rsidR="005D3CF3" w:rsidRPr="005D3CF3">
        <w:rPr>
          <w:rFonts w:ascii="Arial" w:hAnsi="Arial" w:cs="Arial"/>
          <w:sz w:val="22"/>
          <w:shd w:val="clear" w:color="auto" w:fill="FFFFFF"/>
        </w:rPr>
        <w:t xml:space="preserve">2 March </w:t>
      </w:r>
      <w:r w:rsidRPr="005D3CF3">
        <w:rPr>
          <w:rFonts w:ascii="Arial" w:hAnsi="Arial" w:cs="Arial"/>
          <w:sz w:val="22"/>
          <w:shd w:val="clear" w:color="auto" w:fill="FFFFFF"/>
        </w:rPr>
        <w:t>202</w:t>
      </w:r>
      <w:r w:rsidR="005D3CF3" w:rsidRPr="005D3CF3">
        <w:rPr>
          <w:rFonts w:ascii="Arial" w:hAnsi="Arial" w:cs="Arial"/>
          <w:sz w:val="22"/>
          <w:shd w:val="clear" w:color="auto" w:fill="FFFFFF"/>
        </w:rPr>
        <w:t>3</w:t>
      </w:r>
      <w:r w:rsidRPr="005D3CF3">
        <w:rPr>
          <w:rFonts w:ascii="Arial" w:hAnsi="Arial" w:cs="Arial"/>
          <w:sz w:val="22"/>
          <w:shd w:val="clear" w:color="auto" w:fill="FFFFFF"/>
        </w:rPr>
        <w:t>]</w:t>
      </w:r>
    </w:p>
    <w:p w14:paraId="7E33AC26" w14:textId="77777777" w:rsidR="002A64AA" w:rsidRPr="005D3CF3" w:rsidRDefault="002A64AA" w:rsidP="00B44643">
      <w:pPr>
        <w:rPr>
          <w:rFonts w:ascii="Arial" w:hAnsi="Arial" w:cs="Arial"/>
          <w:sz w:val="22"/>
        </w:rPr>
      </w:pPr>
    </w:p>
    <w:sectPr w:rsidR="002A64AA" w:rsidRPr="005D3CF3" w:rsidSect="008D43DA">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7B5A3" w14:textId="77777777" w:rsidR="00682939" w:rsidRDefault="00682939" w:rsidP="00EE7737">
      <w:pPr>
        <w:spacing w:after="0" w:line="240" w:lineRule="auto"/>
      </w:pPr>
      <w:r>
        <w:separator/>
      </w:r>
    </w:p>
  </w:endnote>
  <w:endnote w:type="continuationSeparator" w:id="0">
    <w:p w14:paraId="7DBAD9F1" w14:textId="77777777" w:rsidR="00682939" w:rsidRDefault="00682939" w:rsidP="00EE7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5818549"/>
      <w:docPartObj>
        <w:docPartGallery w:val="Page Numbers (Bottom of Page)"/>
        <w:docPartUnique/>
      </w:docPartObj>
    </w:sdtPr>
    <w:sdtEndPr>
      <w:rPr>
        <w:color w:val="7F7F7F" w:themeColor="background1" w:themeShade="7F"/>
        <w:spacing w:val="60"/>
      </w:rPr>
    </w:sdtEndPr>
    <w:sdtContent>
      <w:p w14:paraId="4B52D75B" w14:textId="15BD3E18" w:rsidR="004E1DBC" w:rsidRDefault="004E1DB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292C89A" w14:textId="77777777" w:rsidR="004E1DBC" w:rsidRDefault="004E1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CE03A" w14:textId="77777777" w:rsidR="00682939" w:rsidRDefault="00682939" w:rsidP="00EE7737">
      <w:pPr>
        <w:spacing w:after="0" w:line="240" w:lineRule="auto"/>
      </w:pPr>
      <w:r>
        <w:separator/>
      </w:r>
    </w:p>
  </w:footnote>
  <w:footnote w:type="continuationSeparator" w:id="0">
    <w:p w14:paraId="29523FD0" w14:textId="77777777" w:rsidR="00682939" w:rsidRDefault="00682939" w:rsidP="00EE7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0684C" w14:textId="7FD137A5" w:rsidR="008D43DA" w:rsidRDefault="008D43DA" w:rsidP="004E1DBC">
    <w:pPr>
      <w:pStyle w:val="Header"/>
      <w:jc w:val="center"/>
    </w:pPr>
  </w:p>
  <w:p w14:paraId="310A0F04" w14:textId="77777777" w:rsidR="00EE7737" w:rsidRDefault="00EE77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96BEF"/>
    <w:multiLevelType w:val="multilevel"/>
    <w:tmpl w:val="EE8E6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AF38ED"/>
    <w:multiLevelType w:val="hybridMultilevel"/>
    <w:tmpl w:val="3CCCDF88"/>
    <w:lvl w:ilvl="0" w:tplc="B12691FC">
      <w:start w:val="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923E2"/>
    <w:multiLevelType w:val="hybridMultilevel"/>
    <w:tmpl w:val="8174B2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2AD388A"/>
    <w:multiLevelType w:val="hybridMultilevel"/>
    <w:tmpl w:val="66845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CC5395"/>
    <w:multiLevelType w:val="hybridMultilevel"/>
    <w:tmpl w:val="403CCAA8"/>
    <w:lvl w:ilvl="0" w:tplc="1FF69CC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244760"/>
    <w:multiLevelType w:val="hybridMultilevel"/>
    <w:tmpl w:val="ECEA5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B40829"/>
    <w:multiLevelType w:val="hybridMultilevel"/>
    <w:tmpl w:val="59A208DC"/>
    <w:lvl w:ilvl="0" w:tplc="B12691FC">
      <w:start w:val="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D46206"/>
    <w:multiLevelType w:val="hybridMultilevel"/>
    <w:tmpl w:val="A8A40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117AC3"/>
    <w:multiLevelType w:val="hybridMultilevel"/>
    <w:tmpl w:val="01C65B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9" w15:restartNumberingAfterBreak="0">
    <w:nsid w:val="480D6B51"/>
    <w:multiLevelType w:val="hybridMultilevel"/>
    <w:tmpl w:val="E318B87E"/>
    <w:lvl w:ilvl="0" w:tplc="B12691FC">
      <w:start w:val="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E01807"/>
    <w:multiLevelType w:val="hybridMultilevel"/>
    <w:tmpl w:val="A9687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8E668B"/>
    <w:multiLevelType w:val="hybridMultilevel"/>
    <w:tmpl w:val="80F25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6694180">
    <w:abstractNumId w:val="8"/>
  </w:num>
  <w:num w:numId="2" w16cid:durableId="1059133488">
    <w:abstractNumId w:val="0"/>
  </w:num>
  <w:num w:numId="3" w16cid:durableId="1211377746">
    <w:abstractNumId w:val="11"/>
  </w:num>
  <w:num w:numId="4" w16cid:durableId="1823810777">
    <w:abstractNumId w:val="10"/>
  </w:num>
  <w:num w:numId="5" w16cid:durableId="914896852">
    <w:abstractNumId w:val="3"/>
  </w:num>
  <w:num w:numId="6" w16cid:durableId="393167676">
    <w:abstractNumId w:val="9"/>
  </w:num>
  <w:num w:numId="7" w16cid:durableId="1414207761">
    <w:abstractNumId w:val="6"/>
  </w:num>
  <w:num w:numId="8" w16cid:durableId="1291321402">
    <w:abstractNumId w:val="1"/>
  </w:num>
  <w:num w:numId="9" w16cid:durableId="381445881">
    <w:abstractNumId w:val="7"/>
  </w:num>
  <w:num w:numId="10" w16cid:durableId="668027289">
    <w:abstractNumId w:val="2"/>
  </w:num>
  <w:num w:numId="11" w16cid:durableId="606280260">
    <w:abstractNumId w:val="5"/>
  </w:num>
  <w:num w:numId="12" w16cid:durableId="17135338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SwMDE2NzcwNDEztTBS0lEKTi0uzszPAykwrAUAWNz6FSwAAAA="/>
  </w:docVars>
  <w:rsids>
    <w:rsidRoot w:val="00362846"/>
    <w:rsid w:val="00006232"/>
    <w:rsid w:val="00040D0F"/>
    <w:rsid w:val="00065014"/>
    <w:rsid w:val="000A53D0"/>
    <w:rsid w:val="000A59A1"/>
    <w:rsid w:val="000E4EA9"/>
    <w:rsid w:val="000F6023"/>
    <w:rsid w:val="00176AD8"/>
    <w:rsid w:val="001B4E68"/>
    <w:rsid w:val="001F566B"/>
    <w:rsid w:val="002041D4"/>
    <w:rsid w:val="002154D7"/>
    <w:rsid w:val="0028551F"/>
    <w:rsid w:val="002A57D7"/>
    <w:rsid w:val="002A64AA"/>
    <w:rsid w:val="002D34E9"/>
    <w:rsid w:val="002E5725"/>
    <w:rsid w:val="00327F1D"/>
    <w:rsid w:val="0035071E"/>
    <w:rsid w:val="00362846"/>
    <w:rsid w:val="00364469"/>
    <w:rsid w:val="00385B5E"/>
    <w:rsid w:val="003A0EA7"/>
    <w:rsid w:val="003F3AE0"/>
    <w:rsid w:val="00423F46"/>
    <w:rsid w:val="00446E1D"/>
    <w:rsid w:val="00446F68"/>
    <w:rsid w:val="00481E3D"/>
    <w:rsid w:val="00487761"/>
    <w:rsid w:val="004B0541"/>
    <w:rsid w:val="004E1DBC"/>
    <w:rsid w:val="00533BA0"/>
    <w:rsid w:val="00593A99"/>
    <w:rsid w:val="005D3CF3"/>
    <w:rsid w:val="006144E7"/>
    <w:rsid w:val="00640FC0"/>
    <w:rsid w:val="00654225"/>
    <w:rsid w:val="00665E60"/>
    <w:rsid w:val="00682939"/>
    <w:rsid w:val="00694996"/>
    <w:rsid w:val="006F0D34"/>
    <w:rsid w:val="007A3534"/>
    <w:rsid w:val="007C4924"/>
    <w:rsid w:val="00817C60"/>
    <w:rsid w:val="008546C8"/>
    <w:rsid w:val="00876B3A"/>
    <w:rsid w:val="00883EDE"/>
    <w:rsid w:val="008C1A4E"/>
    <w:rsid w:val="008D43DA"/>
    <w:rsid w:val="008E45CE"/>
    <w:rsid w:val="00933A13"/>
    <w:rsid w:val="009716E0"/>
    <w:rsid w:val="009B79D7"/>
    <w:rsid w:val="009D5A56"/>
    <w:rsid w:val="00A04992"/>
    <w:rsid w:val="00A54888"/>
    <w:rsid w:val="00A60B35"/>
    <w:rsid w:val="00A95A63"/>
    <w:rsid w:val="00AC2410"/>
    <w:rsid w:val="00B12B35"/>
    <w:rsid w:val="00B44643"/>
    <w:rsid w:val="00B47A15"/>
    <w:rsid w:val="00B63B64"/>
    <w:rsid w:val="00B84D9D"/>
    <w:rsid w:val="00BE7394"/>
    <w:rsid w:val="00C16FE1"/>
    <w:rsid w:val="00C26C95"/>
    <w:rsid w:val="00C46E1C"/>
    <w:rsid w:val="00C5100E"/>
    <w:rsid w:val="00C716FF"/>
    <w:rsid w:val="00CA0FD8"/>
    <w:rsid w:val="00CD473F"/>
    <w:rsid w:val="00CD4CAC"/>
    <w:rsid w:val="00CD51C9"/>
    <w:rsid w:val="00CE7CA0"/>
    <w:rsid w:val="00D6030F"/>
    <w:rsid w:val="00E422AE"/>
    <w:rsid w:val="00E57F73"/>
    <w:rsid w:val="00EB2FBA"/>
    <w:rsid w:val="00EC47F9"/>
    <w:rsid w:val="00EE7737"/>
    <w:rsid w:val="00F21F25"/>
    <w:rsid w:val="00F55A31"/>
    <w:rsid w:val="00F703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7680B"/>
  <w15:chartTrackingRefBased/>
  <w15:docId w15:val="{4A7571E3-E9D8-4946-BE08-925884ED0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992"/>
    <w:pPr>
      <w:spacing w:line="360" w:lineRule="auto"/>
      <w:jc w:val="both"/>
    </w:pPr>
    <w:rPr>
      <w:rFonts w:asciiTheme="majorBidi" w:hAnsiTheme="majorBidi"/>
      <w:sz w:val="24"/>
      <w:lang w:val="en-GB"/>
    </w:rPr>
  </w:style>
  <w:style w:type="paragraph" w:styleId="Heading1">
    <w:name w:val="heading 1"/>
    <w:basedOn w:val="Normal"/>
    <w:next w:val="Normal"/>
    <w:link w:val="Heading1Char"/>
    <w:autoRedefine/>
    <w:uiPriority w:val="9"/>
    <w:qFormat/>
    <w:rsid w:val="00933A13"/>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semiHidden/>
    <w:unhideWhenUsed/>
    <w:qFormat/>
    <w:rsid w:val="00933A13"/>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CD4CAC"/>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A13"/>
    <w:rPr>
      <w:rFonts w:asciiTheme="majorBidi" w:eastAsiaTheme="majorEastAsia" w:hAnsiTheme="majorBidi"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933A13"/>
    <w:rPr>
      <w:rFonts w:asciiTheme="majorBidi" w:eastAsiaTheme="majorEastAsia" w:hAnsiTheme="majorBidi" w:cstheme="majorBidi"/>
      <w:b/>
      <w:sz w:val="28"/>
      <w:szCs w:val="26"/>
      <w:lang w:val="en-GB"/>
    </w:rPr>
  </w:style>
  <w:style w:type="character" w:customStyle="1" w:styleId="Heading3Char">
    <w:name w:val="Heading 3 Char"/>
    <w:basedOn w:val="DefaultParagraphFont"/>
    <w:link w:val="Heading3"/>
    <w:uiPriority w:val="9"/>
    <w:semiHidden/>
    <w:rsid w:val="00CD4CAC"/>
    <w:rPr>
      <w:rFonts w:asciiTheme="majorBidi" w:eastAsiaTheme="majorEastAsia" w:hAnsiTheme="majorBidi" w:cstheme="majorBidi"/>
      <w:b/>
      <w:color w:val="000000" w:themeColor="text1"/>
      <w:sz w:val="24"/>
      <w:szCs w:val="24"/>
      <w:lang w:val="en-GB"/>
    </w:rPr>
  </w:style>
  <w:style w:type="character" w:customStyle="1" w:styleId="bulletChar">
    <w:name w:val="bullet Char"/>
    <w:link w:val="bullet"/>
    <w:locked/>
    <w:rsid w:val="00362846"/>
    <w:rPr>
      <w:sz w:val="24"/>
      <w:lang w:eastAsia="en-GB"/>
    </w:rPr>
  </w:style>
  <w:style w:type="paragraph" w:customStyle="1" w:styleId="bullet">
    <w:name w:val="bullet"/>
    <w:link w:val="bulletChar"/>
    <w:rsid w:val="00362846"/>
    <w:pPr>
      <w:overflowPunct w:val="0"/>
      <w:autoSpaceDE w:val="0"/>
      <w:autoSpaceDN w:val="0"/>
      <w:adjustRightInd w:val="0"/>
      <w:spacing w:before="120" w:after="0" w:line="240" w:lineRule="auto"/>
      <w:ind w:left="1004" w:hanging="284"/>
      <w:jc w:val="both"/>
    </w:pPr>
    <w:rPr>
      <w:sz w:val="24"/>
      <w:lang w:eastAsia="en-GB"/>
    </w:rPr>
  </w:style>
  <w:style w:type="character" w:styleId="Hyperlink">
    <w:name w:val="Hyperlink"/>
    <w:basedOn w:val="DefaultParagraphFont"/>
    <w:uiPriority w:val="99"/>
    <w:unhideWhenUsed/>
    <w:rsid w:val="00362846"/>
    <w:rPr>
      <w:color w:val="0563C1" w:themeColor="hyperlink"/>
      <w:u w:val="single"/>
    </w:rPr>
  </w:style>
  <w:style w:type="paragraph" w:styleId="ListParagraph">
    <w:name w:val="List Paragraph"/>
    <w:basedOn w:val="Normal"/>
    <w:uiPriority w:val="34"/>
    <w:qFormat/>
    <w:rsid w:val="0028551F"/>
    <w:pPr>
      <w:ind w:left="720"/>
      <w:contextualSpacing/>
    </w:pPr>
  </w:style>
  <w:style w:type="paragraph" w:styleId="Header">
    <w:name w:val="header"/>
    <w:basedOn w:val="Normal"/>
    <w:link w:val="HeaderChar"/>
    <w:uiPriority w:val="99"/>
    <w:unhideWhenUsed/>
    <w:rsid w:val="00EE77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737"/>
    <w:rPr>
      <w:rFonts w:asciiTheme="majorBidi" w:hAnsiTheme="majorBidi"/>
      <w:sz w:val="24"/>
      <w:lang w:val="en-GB"/>
    </w:rPr>
  </w:style>
  <w:style w:type="paragraph" w:styleId="Footer">
    <w:name w:val="footer"/>
    <w:basedOn w:val="Normal"/>
    <w:link w:val="FooterChar"/>
    <w:uiPriority w:val="99"/>
    <w:unhideWhenUsed/>
    <w:rsid w:val="00EE77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737"/>
    <w:rPr>
      <w:rFonts w:asciiTheme="majorBidi" w:hAnsiTheme="majorBidi"/>
      <w:sz w:val="24"/>
      <w:lang w:val="en-GB"/>
    </w:rPr>
  </w:style>
  <w:style w:type="paragraph" w:styleId="TOCHeading">
    <w:name w:val="TOC Heading"/>
    <w:basedOn w:val="Heading1"/>
    <w:next w:val="Normal"/>
    <w:uiPriority w:val="39"/>
    <w:unhideWhenUsed/>
    <w:qFormat/>
    <w:rsid w:val="00446E1D"/>
    <w:pPr>
      <w:spacing w:after="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446E1D"/>
    <w:pPr>
      <w:spacing w:after="100"/>
    </w:pPr>
  </w:style>
  <w:style w:type="character" w:styleId="UnresolvedMention">
    <w:name w:val="Unresolved Mention"/>
    <w:basedOn w:val="DefaultParagraphFont"/>
    <w:uiPriority w:val="99"/>
    <w:semiHidden/>
    <w:unhideWhenUsed/>
    <w:rsid w:val="00423F46"/>
    <w:rPr>
      <w:color w:val="605E5C"/>
      <w:shd w:val="clear" w:color="auto" w:fill="E1DFDD"/>
    </w:rPr>
  </w:style>
  <w:style w:type="paragraph" w:styleId="NormalWeb">
    <w:name w:val="Normal (Web)"/>
    <w:basedOn w:val="Normal"/>
    <w:uiPriority w:val="99"/>
    <w:unhideWhenUsed/>
    <w:rsid w:val="008546C8"/>
    <w:pPr>
      <w:spacing w:before="100" w:beforeAutospacing="1" w:after="100" w:afterAutospacing="1" w:line="240" w:lineRule="auto"/>
      <w:jc w:val="left"/>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87688">
      <w:bodyDiv w:val="1"/>
      <w:marLeft w:val="0"/>
      <w:marRight w:val="0"/>
      <w:marTop w:val="0"/>
      <w:marBottom w:val="0"/>
      <w:divBdr>
        <w:top w:val="none" w:sz="0" w:space="0" w:color="auto"/>
        <w:left w:val="none" w:sz="0" w:space="0" w:color="auto"/>
        <w:bottom w:val="none" w:sz="0" w:space="0" w:color="auto"/>
        <w:right w:val="none" w:sz="0" w:space="0" w:color="auto"/>
      </w:divBdr>
    </w:div>
    <w:div w:id="415322299">
      <w:bodyDiv w:val="1"/>
      <w:marLeft w:val="0"/>
      <w:marRight w:val="0"/>
      <w:marTop w:val="0"/>
      <w:marBottom w:val="0"/>
      <w:divBdr>
        <w:top w:val="none" w:sz="0" w:space="0" w:color="auto"/>
        <w:left w:val="none" w:sz="0" w:space="0" w:color="auto"/>
        <w:bottom w:val="none" w:sz="0" w:space="0" w:color="auto"/>
        <w:right w:val="none" w:sz="0" w:space="0" w:color="auto"/>
      </w:divBdr>
    </w:div>
    <w:div w:id="766467848">
      <w:bodyDiv w:val="1"/>
      <w:marLeft w:val="0"/>
      <w:marRight w:val="0"/>
      <w:marTop w:val="0"/>
      <w:marBottom w:val="0"/>
      <w:divBdr>
        <w:top w:val="none" w:sz="0" w:space="0" w:color="auto"/>
        <w:left w:val="none" w:sz="0" w:space="0" w:color="auto"/>
        <w:bottom w:val="none" w:sz="0" w:space="0" w:color="auto"/>
        <w:right w:val="none" w:sz="0" w:space="0" w:color="auto"/>
      </w:divBdr>
    </w:div>
    <w:div w:id="780689930">
      <w:bodyDiv w:val="1"/>
      <w:marLeft w:val="0"/>
      <w:marRight w:val="0"/>
      <w:marTop w:val="0"/>
      <w:marBottom w:val="0"/>
      <w:divBdr>
        <w:top w:val="none" w:sz="0" w:space="0" w:color="auto"/>
        <w:left w:val="none" w:sz="0" w:space="0" w:color="auto"/>
        <w:bottom w:val="none" w:sz="0" w:space="0" w:color="auto"/>
        <w:right w:val="none" w:sz="0" w:space="0" w:color="auto"/>
      </w:divBdr>
    </w:div>
    <w:div w:id="858935171">
      <w:bodyDiv w:val="1"/>
      <w:marLeft w:val="0"/>
      <w:marRight w:val="0"/>
      <w:marTop w:val="0"/>
      <w:marBottom w:val="0"/>
      <w:divBdr>
        <w:top w:val="none" w:sz="0" w:space="0" w:color="auto"/>
        <w:left w:val="none" w:sz="0" w:space="0" w:color="auto"/>
        <w:bottom w:val="none" w:sz="0" w:space="0" w:color="auto"/>
        <w:right w:val="none" w:sz="0" w:space="0" w:color="auto"/>
      </w:divBdr>
    </w:div>
    <w:div w:id="1748578559">
      <w:bodyDiv w:val="1"/>
      <w:marLeft w:val="0"/>
      <w:marRight w:val="0"/>
      <w:marTop w:val="0"/>
      <w:marBottom w:val="0"/>
      <w:divBdr>
        <w:top w:val="none" w:sz="0" w:space="0" w:color="auto"/>
        <w:left w:val="none" w:sz="0" w:space="0" w:color="auto"/>
        <w:bottom w:val="none" w:sz="0" w:space="0" w:color="auto"/>
        <w:right w:val="none" w:sz="0" w:space="0" w:color="auto"/>
      </w:divBdr>
    </w:div>
    <w:div w:id="1748645184">
      <w:bodyDiv w:val="1"/>
      <w:marLeft w:val="0"/>
      <w:marRight w:val="0"/>
      <w:marTop w:val="0"/>
      <w:marBottom w:val="0"/>
      <w:divBdr>
        <w:top w:val="none" w:sz="0" w:space="0" w:color="auto"/>
        <w:left w:val="none" w:sz="0" w:space="0" w:color="auto"/>
        <w:bottom w:val="none" w:sz="0" w:space="0" w:color="auto"/>
        <w:right w:val="none" w:sz="0" w:space="0" w:color="auto"/>
      </w:divBdr>
    </w:div>
    <w:div w:id="1886528855">
      <w:bodyDiv w:val="1"/>
      <w:marLeft w:val="0"/>
      <w:marRight w:val="0"/>
      <w:marTop w:val="0"/>
      <w:marBottom w:val="0"/>
      <w:divBdr>
        <w:top w:val="none" w:sz="0" w:space="0" w:color="auto"/>
        <w:left w:val="none" w:sz="0" w:space="0" w:color="auto"/>
        <w:bottom w:val="none" w:sz="0" w:space="0" w:color="auto"/>
        <w:right w:val="none" w:sz="0" w:space="0" w:color="auto"/>
      </w:divBdr>
    </w:div>
    <w:div w:id="212789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71925/Collaborative_TB_Strategy_for_England_2015-2020_End_of_Programme_Report.pdf?cv=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BB200-F3F4-4973-B725-40D84A1CD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6</Pages>
  <Words>1235</Words>
  <Characters>7043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Sasha Ahmed (2123641)</cp:lastModifiedBy>
  <cp:revision>29</cp:revision>
  <dcterms:created xsi:type="dcterms:W3CDTF">2022-10-24T05:28:00Z</dcterms:created>
  <dcterms:modified xsi:type="dcterms:W3CDTF">2023-05-03T00:13:00Z</dcterms:modified>
</cp:coreProperties>
</file>